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99E" w:rsidRPr="00A2599E" w:rsidRDefault="00000000">
      <w:pPr>
        <w:pStyle w:val="aa"/>
        <w:spacing w:before="0" w:beforeAutospacing="0" w:after="0" w:afterAutospacing="0" w:line="596" w:lineRule="exact"/>
        <w:jc w:val="center"/>
        <w:rPr>
          <w:rFonts w:ascii="方正小标宋_GBK" w:eastAsia="方正小标宋_GBK" w:hAnsi="方正小标宋_GBK" w:cs="方正小标宋_GBK"/>
          <w:w w:val="90"/>
          <w:sz w:val="44"/>
          <w:szCs w:val="44"/>
        </w:rPr>
      </w:pPr>
      <w:r w:rsidRPr="00A2599E">
        <w:rPr>
          <w:rFonts w:ascii="方正小标宋_GBK" w:eastAsia="方正小标宋_GBK" w:hAnsi="方正小标宋_GBK" w:cs="方正小标宋_GBK"/>
          <w:w w:val="90"/>
          <w:sz w:val="44"/>
          <w:szCs w:val="44"/>
        </w:rPr>
        <w:t>重庆高新技术产业开发区管理委员会科技创新局</w:t>
      </w:r>
    </w:p>
    <w:p w:rsidR="001D2CCD" w:rsidRDefault="00B860B3">
      <w:pPr>
        <w:pStyle w:val="aa"/>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sidRPr="00B860B3">
        <w:rPr>
          <w:rFonts w:ascii="Times New Roman" w:eastAsia="方正小标宋_GBK" w:hAnsi="Times New Roman"/>
          <w:sz w:val="44"/>
          <w:szCs w:val="44"/>
          <w:shd w:val="clear" w:color="auto" w:fill="FFFFFF"/>
        </w:rPr>
        <w:t>2024</w:t>
      </w:r>
      <w:r w:rsidRPr="00B860B3">
        <w:rPr>
          <w:rFonts w:ascii="Times New Roman" w:eastAsia="方正小标宋_GBK" w:hAnsi="Times New Roman"/>
          <w:sz w:val="44"/>
          <w:szCs w:val="44"/>
          <w:shd w:val="clear" w:color="auto" w:fill="FFFFFF"/>
        </w:rPr>
        <w:t>年度部门决算公开说明及公开报表</w:t>
      </w:r>
    </w:p>
    <w:p w:rsidR="001D2CCD" w:rsidRDefault="001D2CCD">
      <w:pPr>
        <w:pStyle w:val="aa"/>
        <w:shd w:val="clear" w:color="auto" w:fill="FFFFFF"/>
        <w:spacing w:before="0" w:beforeAutospacing="0" w:after="0" w:afterAutospacing="0" w:line="596" w:lineRule="exact"/>
        <w:ind w:firstLineChars="200" w:firstLine="643"/>
        <w:rPr>
          <w:rStyle w:val="ac"/>
          <w:rFonts w:ascii="黑体" w:eastAsia="黑体" w:hAnsi="黑体" w:cs="黑体"/>
          <w:sz w:val="32"/>
          <w:szCs w:val="32"/>
          <w:shd w:val="clear" w:color="auto" w:fill="FFFFFF"/>
        </w:rPr>
      </w:pPr>
    </w:p>
    <w:p w:rsidR="001D2CCD" w:rsidRDefault="00000000">
      <w:pPr>
        <w:pStyle w:val="aa"/>
        <w:shd w:val="clear" w:color="auto" w:fill="FFFFFF"/>
        <w:spacing w:before="0" w:beforeAutospacing="0" w:after="0" w:afterAutospacing="0" w:line="596" w:lineRule="exact"/>
        <w:ind w:firstLineChars="200" w:firstLine="640"/>
        <w:rPr>
          <w:rFonts w:ascii="方正黑体_GBK" w:eastAsia="方正黑体_GBK" w:hAnsi="方正黑体_GBK" w:cs="方正黑体_GBK"/>
          <w:bCs/>
          <w:sz w:val="27"/>
          <w:szCs w:val="27"/>
          <w:shd w:val="clear" w:color="auto" w:fill="FFFF00"/>
        </w:rPr>
      </w:pPr>
      <w:r>
        <w:rPr>
          <w:rStyle w:val="ac"/>
          <w:rFonts w:ascii="方正黑体_GBK" w:eastAsia="方正黑体_GBK" w:hAnsi="方正黑体_GBK" w:cs="方正黑体_GBK"/>
          <w:b w:val="0"/>
          <w:bCs/>
          <w:sz w:val="32"/>
          <w:szCs w:val="32"/>
          <w:shd w:val="clear" w:color="auto" w:fill="FFFFFF"/>
        </w:rPr>
        <w:t>一、部门基本情况</w:t>
      </w:r>
    </w:p>
    <w:p w:rsidR="001D2CCD" w:rsidRDefault="00000000">
      <w:pPr>
        <w:pStyle w:val="aa"/>
        <w:shd w:val="clear" w:color="auto" w:fill="FFFFFF"/>
        <w:spacing w:before="0" w:beforeAutospacing="0" w:after="0" w:afterAutospacing="0" w:line="596" w:lineRule="exact"/>
        <w:ind w:firstLineChars="200" w:firstLine="640"/>
        <w:rPr>
          <w:rFonts w:ascii="方正仿宋_GBK" w:eastAsia="方正仿宋_GBK" w:hAnsi="方正仿宋_GBK" w:cs="方正仿宋_GBK"/>
          <w:bCs/>
          <w:sz w:val="32"/>
          <w:szCs w:val="32"/>
        </w:rPr>
      </w:pPr>
      <w:r>
        <w:rPr>
          <w:rStyle w:val="ac"/>
          <w:rFonts w:ascii="楷体" w:eastAsia="楷体" w:hAnsi="楷体" w:cs="楷体"/>
          <w:b w:val="0"/>
          <w:bCs/>
          <w:sz w:val="32"/>
          <w:szCs w:val="32"/>
          <w:shd w:val="clear" w:color="auto" w:fill="FFFFFF"/>
        </w:rPr>
        <w:t>（一）职能职责</w:t>
      </w:r>
    </w:p>
    <w:p w:rsidR="001D2CCD" w:rsidRDefault="00000000">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负责高新区科技创新和校地协同创新发展等工作。负责创新驱动发展战略及科技发展规划、科技创新体制改革、政策和措施研究；负责政产学研用协同创新和国际化科技创新技术交流、科技创新信息平台和科技创新载体的搭建和管理；负责科学城和大学城等校地协同创新项目引进、落地服务及相关活动组织实施；负责科技成果转化、技术转移等。</w:t>
      </w:r>
    </w:p>
    <w:p w:rsidR="001D2CCD" w:rsidRDefault="00000000">
      <w:pPr>
        <w:pStyle w:val="aa"/>
        <w:shd w:val="clear" w:color="auto" w:fill="FFFFFF"/>
        <w:spacing w:before="0" w:beforeAutospacing="0" w:after="0" w:afterAutospacing="0" w:line="596" w:lineRule="exact"/>
        <w:ind w:firstLineChars="200" w:firstLine="640"/>
        <w:rPr>
          <w:rFonts w:ascii="楷体" w:eastAsia="楷体" w:hAnsi="楷体" w:cs="楷体"/>
          <w:bCs/>
          <w:sz w:val="32"/>
          <w:szCs w:val="32"/>
        </w:rPr>
      </w:pPr>
      <w:r>
        <w:rPr>
          <w:rStyle w:val="ac"/>
          <w:rFonts w:ascii="楷体" w:eastAsia="楷体" w:hAnsi="楷体" w:cs="楷体"/>
          <w:b w:val="0"/>
          <w:bCs/>
          <w:sz w:val="32"/>
          <w:szCs w:val="32"/>
          <w:shd w:val="clear" w:color="auto" w:fill="FFFFFF"/>
        </w:rPr>
        <w:t>（二）机构设置</w:t>
      </w:r>
    </w:p>
    <w:p w:rsidR="001D2CCD" w:rsidRDefault="00000000">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科技创新局内设综合科、创新规划科、协同创新科和成果转化科。2024年无变动。</w:t>
      </w:r>
    </w:p>
    <w:p w:rsidR="001D2CCD" w:rsidRDefault="00000000">
      <w:pPr>
        <w:pStyle w:val="aa"/>
        <w:shd w:val="clear" w:color="auto" w:fill="FFFFFF"/>
        <w:spacing w:before="0" w:beforeAutospacing="0" w:after="0" w:afterAutospacing="0" w:line="596" w:lineRule="exact"/>
        <w:ind w:firstLineChars="200" w:firstLine="640"/>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二、部门决算收支情况说明</w:t>
      </w:r>
    </w:p>
    <w:p w:rsidR="001D2CCD" w:rsidRDefault="00000000">
      <w:pPr>
        <w:pStyle w:val="aa"/>
        <w:shd w:val="clear" w:color="auto" w:fill="FFFFFF"/>
        <w:spacing w:before="0" w:beforeAutospacing="0" w:after="0" w:afterAutospacing="0" w:line="596" w:lineRule="exact"/>
        <w:ind w:firstLineChars="200" w:firstLine="640"/>
        <w:rPr>
          <w:rStyle w:val="ac"/>
          <w:rFonts w:ascii="楷体" w:eastAsia="楷体" w:hAnsi="楷体" w:cs="楷体"/>
          <w:b w:val="0"/>
          <w:bCs/>
          <w:sz w:val="32"/>
          <w:szCs w:val="32"/>
          <w:shd w:val="clear" w:color="auto" w:fill="FFFFFF"/>
        </w:rPr>
      </w:pPr>
      <w:r>
        <w:rPr>
          <w:rStyle w:val="ac"/>
          <w:rFonts w:ascii="楷体" w:eastAsia="楷体" w:hAnsi="楷体" w:cs="楷体"/>
          <w:b w:val="0"/>
          <w:bCs/>
          <w:sz w:val="32"/>
          <w:szCs w:val="32"/>
          <w:shd w:val="clear" w:color="auto" w:fill="FFFFFF"/>
        </w:rPr>
        <w:t>（一）收入支出决算总体情况说明</w:t>
      </w:r>
    </w:p>
    <w:p w:rsidR="001D2CCD" w:rsidRDefault="00000000">
      <w:pPr>
        <w:pStyle w:val="aa"/>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2024年科创类项目增加及收到上级专项资金。</w:t>
      </w:r>
    </w:p>
    <w:p w:rsidR="001D2CCD" w:rsidRDefault="00000000">
      <w:pPr>
        <w:pStyle w:val="aa"/>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rPr>
        <w:t>为2024年科创类项目增加及收到上级专项资金。</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w:t>
      </w:r>
    </w:p>
    <w:p w:rsidR="001D2CCD"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c"/>
          <w:rFonts w:ascii="Times New Roman" w:eastAsia="方正仿宋_GBK" w:hAnsi="Times New Roman"/>
          <w:sz w:val="32"/>
          <w:szCs w:val="32"/>
          <w:shd w:val="clear" w:color="auto" w:fill="FFFFFF"/>
        </w:rPr>
        <w:lastRenderedPageBreak/>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294.96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50533.2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99.4%</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D2CCD"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c"/>
          <w:rFonts w:ascii="Times New Roman" w:eastAsia="方正仿宋_GBK" w:hAnsi="Times New Roman"/>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1D2CCD" w:rsidRDefault="00000000">
      <w:pPr>
        <w:pStyle w:val="aa"/>
        <w:shd w:val="clear" w:color="auto" w:fill="FFFFFF"/>
        <w:spacing w:before="0" w:beforeAutospacing="0" w:after="0" w:afterAutospacing="0" w:line="596" w:lineRule="exact"/>
        <w:ind w:firstLineChars="200" w:firstLine="640"/>
        <w:rPr>
          <w:rStyle w:val="ac"/>
          <w:rFonts w:ascii="楷体" w:eastAsia="楷体" w:hAnsi="楷体" w:cs="楷体"/>
          <w:b w:val="0"/>
          <w:bCs/>
          <w:sz w:val="32"/>
          <w:szCs w:val="32"/>
          <w:shd w:val="clear" w:color="auto" w:fill="FFFFFF"/>
        </w:rPr>
      </w:pPr>
      <w:r>
        <w:rPr>
          <w:rStyle w:val="ac"/>
          <w:rFonts w:ascii="楷体" w:eastAsia="楷体" w:hAnsi="楷体" w:cs="楷体"/>
          <w:b w:val="0"/>
          <w:bCs/>
          <w:sz w:val="32"/>
          <w:szCs w:val="32"/>
          <w:shd w:val="clear" w:color="auto" w:fill="FFFFFF"/>
        </w:rPr>
        <w:t>（二）财政拨款收入支出决算总体情况说明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2024年科创类项目增加及收到上级专项资金</w:t>
      </w:r>
      <w:r>
        <w:rPr>
          <w:rFonts w:ascii="方正仿宋_GBK" w:eastAsia="方正仿宋_GBK" w:hAnsi="方正仿宋_GBK" w:cs="方正仿宋_GBK"/>
          <w:sz w:val="32"/>
          <w:szCs w:val="32"/>
          <w:shd w:val="clear" w:color="auto" w:fill="FFFFFF"/>
        </w:rPr>
        <w:t>。</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（三）一般公共预算财政拨款收入支出决算情况说明</w:t>
      </w:r>
    </w:p>
    <w:p w:rsidR="001D2CCD"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c"/>
          <w:rFonts w:ascii="Times New Roman" w:eastAsia="方正仿宋_GBK" w:hAnsi="Times New Roman" w:hint="default"/>
          <w:sz w:val="32"/>
          <w:szCs w:val="32"/>
          <w:shd w:val="clear" w:color="auto" w:fill="FFFFFF"/>
        </w:rPr>
        <w:t>1</w:t>
      </w:r>
      <w:r>
        <w:rPr>
          <w:rStyle w:val="ac"/>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2024年科创类项目增加及收到上级专项资金</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10193.06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科创类项目增加及收到上级专项资金</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D2CCD"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t>2</w:t>
      </w:r>
      <w:r>
        <w:rPr>
          <w:rStyle w:val="ac"/>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50828.15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14828.25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2024年科创类项目增加及收到上级专项资金</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10193.06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科创类项目增加及收到上级专项资金</w:t>
      </w:r>
      <w:r>
        <w:rPr>
          <w:rFonts w:ascii="方正仿宋_GBK" w:eastAsia="方正仿宋_GBK" w:hAnsi="方正仿宋_GBK" w:cs="方正仿宋_GBK"/>
          <w:sz w:val="32"/>
          <w:szCs w:val="32"/>
          <w:shd w:val="clear" w:color="auto" w:fill="FFFFFF"/>
        </w:rPr>
        <w:t>。</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一般公共预算财政拨款支出主要用途如下：</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）科学技术支出</w:t>
      </w:r>
      <w:r>
        <w:rPr>
          <w:rFonts w:ascii="Times New Roman" w:eastAsia="方正仿宋_GBK" w:hAnsi="Times New Roman" w:hint="default"/>
          <w:sz w:val="32"/>
          <w:szCs w:val="32"/>
          <w:shd w:val="clear" w:color="auto" w:fill="FFFFFF"/>
        </w:rPr>
        <w:t>48327.73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95.1%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7711.12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2024年科创类项目增加及收到上级专项资金</w:t>
      </w:r>
      <w:r>
        <w:rPr>
          <w:rFonts w:ascii="方正仿宋_GBK" w:eastAsia="方正仿宋_GBK" w:hAnsi="方正仿宋_GBK" w:cs="方正仿宋_GBK"/>
          <w:sz w:val="32"/>
          <w:szCs w:val="32"/>
          <w:shd w:val="clear" w:color="auto" w:fill="FFFFFF"/>
        </w:rPr>
        <w:t>。</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（2）社会保障和就业支出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主要原因是由社保缴纳部门统一缴纳。</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72.7%</w:t>
      </w:r>
      <w:r>
        <w:rPr>
          <w:rFonts w:ascii="方正仿宋_GBK" w:eastAsia="方正仿宋_GBK" w:hAnsi="方正仿宋_GBK" w:cs="方正仿宋_GBK"/>
          <w:sz w:val="32"/>
          <w:szCs w:val="32"/>
          <w:shd w:val="clear" w:color="auto" w:fill="FFFFFF"/>
        </w:rPr>
        <w:t>，主要原因是由社保缴纳部门统一缴纳。</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）资源勘探信息等支出</w:t>
      </w:r>
      <w:r>
        <w:rPr>
          <w:rFonts w:ascii="Times New Roman" w:eastAsia="方正仿宋_GBK" w:hAnsi="Times New Roman" w:hint="default"/>
          <w:sz w:val="32"/>
          <w:szCs w:val="32"/>
          <w:shd w:val="clear" w:color="auto" w:fill="FFFFFF"/>
        </w:rPr>
        <w:t>2499.37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2499.37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2024年科创类项目增加</w:t>
      </w:r>
      <w:r>
        <w:rPr>
          <w:rFonts w:ascii="方正仿宋_GBK" w:eastAsia="方正仿宋_GBK" w:hAnsi="方正仿宋_GBK" w:cs="方正仿宋_GBK"/>
          <w:sz w:val="32"/>
          <w:szCs w:val="32"/>
          <w:shd w:val="clear" w:color="auto" w:fill="FFFFFF"/>
        </w:rPr>
        <w:t>。</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，主要原因是由社保缴纳部门统一缴纳。</w:t>
      </w:r>
    </w:p>
    <w:p w:rsidR="001D2CCD" w:rsidRDefault="00000000">
      <w:pPr>
        <w:pStyle w:val="aa"/>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c"/>
          <w:rFonts w:ascii="Times New Roman" w:eastAsia="方正仿宋_GBK" w:hAnsi="Times New Roman" w:hint="default"/>
          <w:sz w:val="32"/>
          <w:szCs w:val="32"/>
          <w:shd w:val="clear" w:color="auto" w:fill="FFFFFF"/>
        </w:rPr>
        <w:t>3</w:t>
      </w:r>
      <w:r>
        <w:rPr>
          <w:rStyle w:val="ac"/>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，主要原因是区级执行部门预算零结转。</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（四）一般公共预算财政拨款基本支出决算情况说明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294.96</w:t>
      </w:r>
      <w:r>
        <w:rPr>
          <w:rFonts w:ascii="方正仿宋_GBK" w:eastAsia="方正仿宋_GBK" w:hAnsi="方正仿宋_GBK"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244.5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，主要原因是2023年年末人员增加。人员经费用途主要包括人员工资、社保及公积金单位承担部分。</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lastRenderedPageBreak/>
        <w:t>公用经费</w:t>
      </w:r>
      <w:r>
        <w:rPr>
          <w:rFonts w:ascii="Times New Roman" w:eastAsia="方正仿宋_GBK" w:hAnsi="Times New Roman" w:hint="default"/>
          <w:sz w:val="32"/>
          <w:szCs w:val="32"/>
          <w:shd w:val="clear" w:color="auto" w:fill="FFFFFF"/>
        </w:rPr>
        <w:t>50.45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6.2%</w:t>
      </w:r>
      <w:r>
        <w:rPr>
          <w:rFonts w:ascii="方正仿宋_GBK" w:eastAsia="方正仿宋_GBK" w:hAnsi="方正仿宋_GBK" w:cs="方正仿宋_GBK"/>
          <w:sz w:val="32"/>
          <w:szCs w:val="32"/>
          <w:shd w:val="clear" w:color="auto" w:fill="FFFFFF"/>
        </w:rPr>
        <w:t>，主要原因是人员增加。公用经费用途主要包括办公费、公务接待费、邮电费、公务用车运行维护费等支出。</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（五）政府性基金预算收支决算情况说明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（六）国有资本经营预算财政拨款支出决算情况说明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1D2CCD" w:rsidRDefault="00000000">
      <w:pPr>
        <w:pStyle w:val="aa"/>
        <w:shd w:val="clear" w:color="auto" w:fill="FFFFFF"/>
        <w:spacing w:before="0" w:beforeAutospacing="0" w:after="0" w:afterAutospacing="0" w:line="596" w:lineRule="exact"/>
        <w:ind w:firstLineChars="200" w:firstLine="640"/>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三、财政拨款“三公”经费情况说明</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（一）“三公”经费支出总体情况说明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5.61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11.99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68.1%</w:t>
      </w:r>
      <w:r>
        <w:rPr>
          <w:rFonts w:ascii="方正仿宋_GBK" w:eastAsia="方正仿宋_GBK" w:hAnsi="方正仿宋_GBK" w:cs="方正仿宋_GBK"/>
          <w:sz w:val="32"/>
          <w:szCs w:val="32"/>
          <w:shd w:val="clear" w:color="auto" w:fill="FFFFFF"/>
        </w:rPr>
        <w:t>，主要原因是厉行节约，节俭开支。</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1.43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20.3%</w:t>
      </w:r>
      <w:r>
        <w:rPr>
          <w:rFonts w:ascii="方正仿宋_GBK" w:eastAsia="方正仿宋_GBK" w:hAnsi="方正仿宋_GBK" w:cs="方正仿宋_GBK"/>
          <w:sz w:val="32"/>
          <w:szCs w:val="32"/>
          <w:shd w:val="clear" w:color="auto" w:fill="FFFFFF"/>
        </w:rPr>
        <w:t>，主要原因是厉行节约，节俭开支。</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（二）“三公”经费分项支出情况</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1.89</w:t>
      </w:r>
      <w:r>
        <w:rPr>
          <w:rFonts w:ascii="方正仿宋_GBK" w:eastAsia="方正仿宋_GBK" w:hAnsi="方正仿宋_GBK" w:cs="方正仿宋_GBK"/>
          <w:sz w:val="32"/>
          <w:szCs w:val="32"/>
          <w:shd w:val="clear" w:color="auto" w:fill="FFFFFF"/>
        </w:rPr>
        <w:t>万元，主要是用于赴香港招商引资团费。费用支出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70.9%</w:t>
      </w:r>
      <w:r>
        <w:rPr>
          <w:rFonts w:ascii="方正仿宋_GBK" w:eastAsia="方正仿宋_GBK" w:hAnsi="方正仿宋_GBK" w:cs="方正仿宋_GBK"/>
          <w:sz w:val="32"/>
          <w:szCs w:val="32"/>
          <w:shd w:val="clear" w:color="auto" w:fill="FFFFFF"/>
        </w:rPr>
        <w:t>，主要原因是厉行节约，节俭开支。</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1.89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，主要原因是2023年无因公出国（境）费用。</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0.87</w:t>
      </w:r>
      <w:r>
        <w:rPr>
          <w:rFonts w:ascii="方正仿宋_GBK" w:eastAsia="方正仿宋_GBK" w:hAnsi="方正仿宋_GBK" w:cs="方正仿宋_GBK"/>
          <w:sz w:val="32"/>
          <w:szCs w:val="32"/>
          <w:shd w:val="clear" w:color="auto" w:fill="FFFFFF"/>
        </w:rPr>
        <w:t>万元，主要用于车辆保险费、车辆充电费等支出。费用支出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82.6%</w:t>
      </w:r>
      <w:r>
        <w:rPr>
          <w:rFonts w:ascii="方正仿宋_GBK" w:eastAsia="方正仿宋_GBK" w:hAnsi="方正仿宋_GBK" w:cs="方正仿宋_GBK"/>
          <w:sz w:val="32"/>
          <w:szCs w:val="32"/>
          <w:shd w:val="clear" w:color="auto" w:fill="FFFFFF"/>
        </w:rPr>
        <w:t>，主要原因是车辆为新能源车辆，运维成本较低。</w:t>
      </w:r>
      <w:r>
        <w:rPr>
          <w:rFonts w:ascii="Times New Roman" w:eastAsia="方正仿宋_GBK" w:hAnsi="Times New Roman" w:hint="default"/>
          <w:sz w:val="32"/>
          <w:szCs w:val="32"/>
          <w:shd w:val="clear" w:color="auto" w:fill="FFFFFF"/>
        </w:rPr>
        <w:lastRenderedPageBreak/>
        <w:t>较上年支出数减少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，主要原因是严控开支。</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2.85</w:t>
      </w:r>
      <w:r>
        <w:rPr>
          <w:rFonts w:ascii="方正仿宋_GBK" w:eastAsia="方正仿宋_GBK" w:hAnsi="方正仿宋_GBK" w:cs="方正仿宋_GBK"/>
          <w:sz w:val="32"/>
          <w:szCs w:val="32"/>
          <w:shd w:val="clear" w:color="auto" w:fill="FFFFFF"/>
        </w:rPr>
        <w:t>万元，主要用于接待赴高新区实地考察的招商项目主体、赴高新区公务接洽的其他单位部门及高校院所。费用支出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53.3%</w:t>
      </w:r>
      <w:r>
        <w:rPr>
          <w:rFonts w:ascii="方正仿宋_GBK" w:eastAsia="方正仿宋_GBK" w:hAnsi="方正仿宋_GBK" w:cs="方正仿宋_GBK"/>
          <w:sz w:val="32"/>
          <w:szCs w:val="32"/>
          <w:shd w:val="clear" w:color="auto" w:fill="FFFFFF"/>
        </w:rPr>
        <w:t>，主要原因是厉行节约，严控开支。</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3.23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53.1%</w:t>
      </w:r>
      <w:r>
        <w:rPr>
          <w:rFonts w:ascii="方正仿宋_GBK" w:eastAsia="方正仿宋_GBK" w:hAnsi="方正仿宋_GBK" w:cs="方正仿宋_GBK"/>
          <w:sz w:val="32"/>
          <w:szCs w:val="32"/>
          <w:shd w:val="clear" w:color="auto" w:fill="FFFFFF"/>
        </w:rPr>
        <w:t>，主要原因是厉行节约，控制支出。</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（三）“三公”经费实物量情况</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shd w:val="clear" w:color="auto" w:fill="FFFFFF"/>
        </w:rPr>
        <w:t>22</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149</w:t>
      </w:r>
      <w:r>
        <w:rPr>
          <w:rFonts w:ascii="Times New Roman" w:eastAsia="方正仿宋_GBK" w:hAnsi="Times New Roman" w:hint="default"/>
          <w:sz w:val="32"/>
          <w:szCs w:val="32"/>
          <w:shd w:val="clear" w:color="auto" w:fill="FFFFFF"/>
        </w:rPr>
        <w:t>人（不含陪餐人员），其中：国内外事接待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33.03</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shd w:val="clear" w:color="auto" w:fill="FFFFFF"/>
        </w:rPr>
        <w:t>0.87</w:t>
      </w:r>
      <w:r>
        <w:rPr>
          <w:rFonts w:ascii="Times New Roman" w:eastAsia="方正仿宋_GBK" w:hAnsi="Times New Roman" w:hint="default"/>
          <w:sz w:val="32"/>
          <w:szCs w:val="32"/>
          <w:shd w:val="clear" w:color="auto" w:fill="FFFFFF"/>
        </w:rPr>
        <w:t>万元。</w:t>
      </w:r>
    </w:p>
    <w:p w:rsidR="001D2CCD" w:rsidRDefault="00000000">
      <w:pPr>
        <w:pStyle w:val="aa"/>
        <w:shd w:val="clear" w:color="auto" w:fill="FFFFFF"/>
        <w:spacing w:before="0" w:beforeAutospacing="0" w:after="0" w:afterAutospacing="0" w:line="596" w:lineRule="exact"/>
        <w:ind w:firstLineChars="200" w:firstLine="640"/>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四、其他需要说明的事项</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（一）财政拨款会议费、培训费和差旅费情况说明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因2024年度未承办会议，未使用财政资金保障</w:t>
      </w:r>
      <w:r>
        <w:rPr>
          <w:rFonts w:ascii="方正仿宋_GBK" w:eastAsia="方正仿宋_GBK" w:hAnsi="方正仿宋_GBK" w:cs="方正仿宋_GBK" w:hint="default"/>
          <w:sz w:val="32"/>
          <w:szCs w:val="32"/>
          <w:shd w:val="clear" w:color="auto" w:fill="FFFFFF"/>
        </w:rPr>
        <w:t>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423.5%</w:t>
      </w:r>
      <w:r>
        <w:rPr>
          <w:rFonts w:ascii="方正仿宋_GBK" w:eastAsia="方正仿宋_GBK" w:hAnsi="方正仿宋_GBK" w:cs="方正仿宋_GBK"/>
          <w:sz w:val="32"/>
          <w:szCs w:val="32"/>
          <w:shd w:val="clear" w:color="auto" w:fill="FFFFFF"/>
        </w:rPr>
        <w:t>，主要原因是为提升干部职工素质，开展党员教育培训，支出培训费0.89万元。本年度差旅费支出</w:t>
      </w:r>
      <w:r>
        <w:rPr>
          <w:rFonts w:ascii="Times New Roman" w:eastAsia="方正仿宋_GBK" w:hAnsi="Times New Roman" w:hint="default"/>
          <w:sz w:val="32"/>
          <w:szCs w:val="32"/>
          <w:shd w:val="clear" w:color="auto" w:fill="FFFFFF"/>
        </w:rPr>
        <w:t>36.57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21.6%</w:t>
      </w:r>
      <w:r>
        <w:rPr>
          <w:rFonts w:ascii="方正仿宋_GBK" w:eastAsia="方正仿宋_GBK" w:hAnsi="方正仿宋_GBK" w:cs="方正仿宋_GBK"/>
          <w:sz w:val="32"/>
          <w:szCs w:val="32"/>
          <w:shd w:val="clear" w:color="auto" w:fill="FFFFFF"/>
        </w:rPr>
        <w:t>，主要原因是执行市外招商洽谈任务。</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（二）机关运行经费情况说明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50.45</w:t>
      </w:r>
      <w:r>
        <w:rPr>
          <w:rFonts w:ascii="方正仿宋_GBK" w:eastAsia="方正仿宋_GBK" w:hAnsi="方正仿宋_GBK" w:cs="方正仿宋_GBK"/>
          <w:sz w:val="32"/>
          <w:szCs w:val="32"/>
          <w:shd w:val="clear" w:color="auto" w:fill="FFFFFF"/>
        </w:rPr>
        <w:t>万元，机关运行经费主要用于开支办公费28.95万元、邮电费2.18万元、因公出境费用1.89万元，培训费0.89万元、公务接待费2.85万元、公务用车运行维护费0.87万元、其他交通费用2.69万元、其他商品和服务支出7.5万元、其他科目2.63万元。机关运行经费</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6.2%</w:t>
      </w:r>
      <w:r>
        <w:rPr>
          <w:rFonts w:ascii="方正仿宋_GBK" w:eastAsia="方正仿宋_GBK" w:hAnsi="方正仿宋_GBK" w:cs="方正仿宋_GBK"/>
          <w:sz w:val="32"/>
          <w:szCs w:val="32"/>
          <w:shd w:val="clear" w:color="auto" w:fill="FFFFFF"/>
        </w:rPr>
        <w:t>，主要原因是人员增加。</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（三）国有资产占用情况说明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（四）政府采购支出情况说明</w:t>
      </w:r>
    </w:p>
    <w:p w:rsidR="001D2CCD" w:rsidRDefault="00000000">
      <w:pPr>
        <w:pStyle w:val="aa"/>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118.6</w:t>
      </w:r>
      <w:r>
        <w:rPr>
          <w:rFonts w:ascii="方正仿宋_GBK" w:eastAsia="方正仿宋_GBK" w:hAnsi="方正仿宋_GBK" w:cs="方正仿宋_GBK"/>
          <w:sz w:val="32"/>
          <w:szCs w:val="32"/>
          <w:shd w:val="clear" w:color="auto" w:fill="FFFFFF"/>
        </w:rPr>
        <w:t>万元，其中：政府采购服务支出</w:t>
      </w:r>
      <w:r>
        <w:rPr>
          <w:rFonts w:ascii="Times New Roman" w:eastAsia="方正仿宋_GBK" w:hAnsi="Times New Roman" w:hint="default"/>
          <w:sz w:val="32"/>
          <w:szCs w:val="32"/>
          <w:shd w:val="clear" w:color="auto" w:fill="FFFFFF"/>
        </w:rPr>
        <w:t>118.6</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118.6</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118.6</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。主要用于采购2024年“数据要素X”大赛重庆分赛策划及执行服务费。</w:t>
      </w:r>
    </w:p>
    <w:p w:rsidR="001D2CCD" w:rsidRDefault="00000000">
      <w:pPr>
        <w:pStyle w:val="aa"/>
        <w:shd w:val="clear" w:color="auto" w:fill="FFFFFF"/>
        <w:spacing w:before="0" w:beforeAutospacing="0" w:after="0" w:afterAutospacing="0" w:line="596" w:lineRule="exact"/>
        <w:ind w:firstLineChars="200" w:firstLine="640"/>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五、2024年度预算绩效管理情况说明</w:t>
      </w:r>
    </w:p>
    <w:p w:rsidR="001D2CCD"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（一）部门自评情况</w:t>
      </w:r>
    </w:p>
    <w:p w:rsidR="001D2CCD"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根据预算绩效管理要求，我部门对部门整体和10个二级项目开展了绩效自评，涉及财政拨款项目支出资金</w:t>
      </w:r>
      <w:r>
        <w:rPr>
          <w:rFonts w:ascii="Times New Roman" w:eastAsia="方正仿宋_GBK" w:hAnsi="Times New Roman" w:hint="default"/>
          <w:sz w:val="32"/>
          <w:szCs w:val="32"/>
          <w:shd w:val="clear" w:color="auto" w:fill="FFFFFF"/>
        </w:rPr>
        <w:t>50533.2</w:t>
      </w:r>
      <w:r>
        <w:rPr>
          <w:rFonts w:ascii="方正仿宋_GBK" w:eastAsia="方正仿宋_GBK" w:hAnsi="方正仿宋_GBK" w:cs="方正仿宋_GBK"/>
          <w:sz w:val="32"/>
          <w:szCs w:val="32"/>
          <w:shd w:val="clear" w:color="auto" w:fill="FFFFFF"/>
        </w:rPr>
        <w:t>万元。</w:t>
      </w:r>
      <w:bookmarkStart w:id="0" w:name="_Hlk178005546"/>
    </w:p>
    <w:p w:rsidR="001D2CCD" w:rsidRDefault="00000000">
      <w:pPr>
        <w:pStyle w:val="aa"/>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部门整体绩效自评表、项目支出绩效自评表见附件。</w:t>
      </w:r>
      <w:bookmarkEnd w:id="0"/>
    </w:p>
    <w:p w:rsidR="001D2CCD" w:rsidRDefault="00000000">
      <w:pPr>
        <w:pStyle w:val="Char"/>
        <w:autoSpaceDE w:val="0"/>
        <w:spacing w:before="0" w:beforeAutospacing="0" w:after="0" w:afterAutospacing="0" w:line="596" w:lineRule="exact"/>
        <w:ind w:firstLineChars="200" w:firstLine="640"/>
        <w:rPr>
          <w:rFonts w:ascii="楷体" w:eastAsia="楷体" w:hAnsi="楷体" w:cs="楷体" w:hint="eastAsia"/>
          <w:b/>
          <w:bCs/>
          <w:sz w:val="32"/>
          <w:szCs w:val="32"/>
          <w:shd w:val="clear" w:color="auto" w:fill="FFFFFF"/>
        </w:rPr>
      </w:pPr>
      <w:r>
        <w:rPr>
          <w:rFonts w:ascii="楷体" w:eastAsia="楷体" w:hAnsi="楷体" w:cs="楷体" w:hint="eastAsia"/>
          <w:sz w:val="32"/>
          <w:szCs w:val="32"/>
          <w:shd w:val="clear" w:color="auto" w:fill="FFFFFF"/>
        </w:rPr>
        <w:t>（二）部门绩效评价情况</w:t>
      </w:r>
    </w:p>
    <w:p w:rsidR="001D2CCD"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部门</w:t>
      </w:r>
      <w:r>
        <w:rPr>
          <w:rFonts w:ascii="Times New Roman" w:eastAsia="方正仿宋_GBK" w:hAnsi="Times New Roman" w:hint="default"/>
          <w:bCs/>
          <w:sz w:val="32"/>
          <w:szCs w:val="32"/>
        </w:rPr>
        <w:t>未组织开展绩效评价。</w:t>
      </w:r>
    </w:p>
    <w:p w:rsidR="001D2CCD" w:rsidRDefault="00000000">
      <w:pPr>
        <w:pStyle w:val="10"/>
        <w:autoSpaceDE w:val="0"/>
        <w:spacing w:line="596" w:lineRule="exact"/>
        <w:ind w:firstLine="640"/>
        <w:rPr>
          <w:rFonts w:ascii="方正仿宋_GBK" w:eastAsia="方正仿宋_GBK" w:hAnsi="方正仿宋_GBK" w:cs="方正仿宋_GBK"/>
          <w:sz w:val="32"/>
          <w:szCs w:val="32"/>
          <w:shd w:val="clear" w:color="auto" w:fill="FFFFFF"/>
        </w:rPr>
      </w:pPr>
      <w:r>
        <w:rPr>
          <w:rFonts w:ascii="楷体" w:eastAsia="楷体" w:hAnsi="楷体" w:cs="楷体"/>
          <w:sz w:val="32"/>
          <w:szCs w:val="32"/>
          <w:shd w:val="clear" w:color="auto" w:fill="FFFFFF"/>
          <w:lang w:bidi="ar"/>
        </w:rPr>
        <w:t>（三）财政绩效评价情况</w:t>
      </w:r>
    </w:p>
    <w:p w:rsidR="001D2CCD"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区财政局委托第三方对我</w:t>
      </w:r>
      <w:r>
        <w:rPr>
          <w:rFonts w:eastAsia="方正仿宋_GBK"/>
          <w:bCs/>
          <w:sz w:val="32"/>
          <w:szCs w:val="32"/>
        </w:rPr>
        <w:t>部门</w:t>
      </w:r>
      <w:r>
        <w:rPr>
          <w:rFonts w:eastAsia="方正仿宋_GBK"/>
          <w:bCs/>
          <w:sz w:val="32"/>
          <w:szCs w:val="32"/>
        </w:rPr>
        <w:t>2024</w:t>
      </w:r>
      <w:r>
        <w:rPr>
          <w:rFonts w:eastAsia="方正仿宋_GBK"/>
          <w:bCs/>
          <w:sz w:val="32"/>
          <w:szCs w:val="32"/>
        </w:rPr>
        <w:t>年科技创新扶持普惠政策专项资金项目</w:t>
      </w:r>
      <w:r>
        <w:rPr>
          <w:rFonts w:ascii="Times New Roman" w:eastAsia="方正仿宋_GBK" w:hAnsi="Times New Roman" w:hint="default"/>
          <w:bCs/>
          <w:sz w:val="32"/>
          <w:szCs w:val="32"/>
        </w:rPr>
        <w:t>开展了重点绩效评价，涉及财政拨款项目资金</w:t>
      </w:r>
      <w:r>
        <w:rPr>
          <w:rFonts w:ascii="Times New Roman" w:eastAsia="方正仿宋_GBK" w:hAnsi="Times New Roman"/>
          <w:bCs/>
          <w:sz w:val="32"/>
          <w:szCs w:val="32"/>
        </w:rPr>
        <w:t>5863.35</w:t>
      </w:r>
      <w:r>
        <w:rPr>
          <w:rFonts w:ascii="Times New Roman" w:eastAsia="方正仿宋_GBK" w:hAnsi="Times New Roman" w:hint="default"/>
          <w:bCs/>
          <w:sz w:val="32"/>
          <w:szCs w:val="32"/>
        </w:rPr>
        <w:t>万元，评价得分</w:t>
      </w:r>
      <w:r>
        <w:rPr>
          <w:rFonts w:ascii="Times New Roman" w:eastAsia="方正仿宋_GBK" w:hAnsi="Times New Roman"/>
          <w:bCs/>
          <w:sz w:val="32"/>
          <w:szCs w:val="32"/>
        </w:rPr>
        <w:t>91.48</w:t>
      </w:r>
      <w:r>
        <w:rPr>
          <w:rFonts w:ascii="Times New Roman" w:eastAsia="方正仿宋_GBK" w:hAnsi="Times New Roman" w:hint="default"/>
          <w:bCs/>
          <w:sz w:val="32"/>
          <w:szCs w:val="32"/>
        </w:rPr>
        <w:t>分，评价等次为</w:t>
      </w:r>
      <w:r>
        <w:rPr>
          <w:rFonts w:ascii="Times New Roman" w:eastAsia="方正仿宋_GBK" w:hAnsi="Times New Roman"/>
          <w:bCs/>
          <w:sz w:val="32"/>
          <w:szCs w:val="32"/>
        </w:rPr>
        <w:t>优</w:t>
      </w:r>
      <w:r>
        <w:rPr>
          <w:rFonts w:ascii="Times New Roman" w:eastAsia="方正仿宋_GBK" w:hAnsi="Times New Roman" w:hint="default"/>
          <w:bCs/>
          <w:sz w:val="32"/>
          <w:szCs w:val="32"/>
        </w:rPr>
        <w:t>，绩效评价发现了项目绩效目标部分指标需进一步优化</w:t>
      </w:r>
      <w:r>
        <w:rPr>
          <w:rFonts w:ascii="Times New Roman" w:eastAsia="方正仿宋_GBK" w:hAnsi="Times New Roman"/>
          <w:bCs/>
          <w:sz w:val="32"/>
          <w:szCs w:val="32"/>
        </w:rPr>
        <w:t>、</w:t>
      </w:r>
      <w:r>
        <w:rPr>
          <w:rFonts w:ascii="Times New Roman" w:eastAsia="方正仿宋_GBK" w:hAnsi="Times New Roman" w:hint="default"/>
          <w:bCs/>
          <w:sz w:val="32"/>
          <w:szCs w:val="32"/>
        </w:rPr>
        <w:t>项目年初预算准确性有待加强等主要问题，提出充分调研后设置项目绩效指标</w:t>
      </w:r>
      <w:r>
        <w:rPr>
          <w:rFonts w:ascii="Times New Roman" w:eastAsia="方正仿宋_GBK" w:hAnsi="Times New Roman"/>
          <w:bCs/>
          <w:sz w:val="32"/>
          <w:szCs w:val="32"/>
        </w:rPr>
        <w:t>、年初预算</w:t>
      </w:r>
      <w:r>
        <w:rPr>
          <w:rFonts w:ascii="Times New Roman" w:eastAsia="方正仿宋_GBK" w:hAnsi="Times New Roman" w:hint="default"/>
          <w:bCs/>
          <w:sz w:val="32"/>
          <w:szCs w:val="32"/>
        </w:rPr>
        <w:t>等下一步工作建议</w:t>
      </w:r>
      <w:r>
        <w:rPr>
          <w:rFonts w:ascii="Times New Roman" w:eastAsia="方正仿宋_GBK" w:hAnsi="Times New Roman"/>
          <w:bCs/>
          <w:sz w:val="32"/>
          <w:szCs w:val="32"/>
        </w:rPr>
        <w:t>。</w:t>
      </w:r>
    </w:p>
    <w:p w:rsidR="001D2CCD" w:rsidRDefault="00000000">
      <w:pPr>
        <w:pStyle w:val="aa"/>
        <w:shd w:val="clear" w:color="auto" w:fill="FFFFFF"/>
        <w:spacing w:before="0" w:beforeAutospacing="0" w:after="0" w:afterAutospacing="0" w:line="596" w:lineRule="exact"/>
        <w:ind w:firstLineChars="200" w:firstLine="640"/>
        <w:rPr>
          <w:rStyle w:val="ac"/>
          <w:rFonts w:ascii="方正黑体_GBK" w:eastAsia="方正黑体_GBK" w:hAnsi="方正黑体_GBK" w:cs="方正黑体_GBK"/>
          <w:b w:val="0"/>
          <w:bCs/>
          <w:sz w:val="32"/>
          <w:szCs w:val="32"/>
          <w:shd w:val="clear" w:color="auto" w:fill="FFFFFF"/>
        </w:rPr>
      </w:pPr>
      <w:r>
        <w:rPr>
          <w:rStyle w:val="ac"/>
          <w:rFonts w:ascii="方正黑体_GBK" w:eastAsia="方正黑体_GBK" w:hAnsi="方正黑体_GBK" w:cs="方正黑体_GBK"/>
          <w:b w:val="0"/>
          <w:bCs/>
          <w:sz w:val="32"/>
          <w:szCs w:val="32"/>
          <w:shd w:val="clear" w:color="auto" w:fill="FFFFFF"/>
        </w:rPr>
        <w:t>六、专业名词解释</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1D2CC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c"/>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D2CCD" w:rsidRDefault="00000000">
      <w:pPr>
        <w:pStyle w:val="Char"/>
        <w:spacing w:before="0" w:beforeAutospacing="0" w:after="0" w:afterAutospacing="0" w:line="596" w:lineRule="exact"/>
        <w:ind w:firstLineChars="200" w:firstLine="640"/>
        <w:rPr>
          <w:rFonts w:ascii="方正黑体_GBK" w:eastAsia="方正黑体_GBK" w:hAnsi="方正黑体_GBK" w:cs="方正黑体_GBK" w:hint="eastAsia"/>
          <w:bCs/>
          <w:sz w:val="32"/>
          <w:szCs w:val="32"/>
        </w:rPr>
      </w:pPr>
      <w:r>
        <w:rPr>
          <w:rStyle w:val="ac"/>
          <w:rFonts w:ascii="方正黑体_GBK" w:eastAsia="方正黑体_GBK" w:hAnsi="方正黑体_GBK" w:cs="方正黑体_GBK" w:hint="eastAsia"/>
          <w:b w:val="0"/>
          <w:bCs/>
          <w:sz w:val="32"/>
          <w:szCs w:val="32"/>
          <w:shd w:val="clear" w:color="auto" w:fill="FFFFFF"/>
        </w:rPr>
        <w:t>七、决算公开联系方式及信息反馈渠道</w:t>
      </w:r>
    </w:p>
    <w:p w:rsidR="001D2CC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p>
    <w:p w:rsidR="001D2CC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朱花   023-68609058</w:t>
      </w:r>
    </w:p>
    <w:p w:rsidR="001D2CCD" w:rsidRDefault="001D2CCD">
      <w:pPr>
        <w:pStyle w:val="1"/>
        <w:autoSpaceDE w:val="0"/>
        <w:spacing w:line="596" w:lineRule="exact"/>
        <w:ind w:firstLine="643"/>
        <w:jc w:val="both"/>
        <w:rPr>
          <w:rStyle w:val="21"/>
          <w:rFonts w:ascii="方正仿宋_GBK" w:eastAsia="方正仿宋_GBK" w:hAnsi="方正仿宋_GBK" w:cs="方正仿宋_GBK" w:hint="eastAsia"/>
          <w:sz w:val="32"/>
          <w:szCs w:val="32"/>
          <w:shd w:val="clear" w:color="auto" w:fill="FFFF00"/>
        </w:rPr>
      </w:pPr>
    </w:p>
    <w:p w:rsidR="001D2CCD" w:rsidRDefault="001D2CCD">
      <w:pPr>
        <w:pStyle w:val="1"/>
        <w:autoSpaceDE w:val="0"/>
        <w:spacing w:line="596" w:lineRule="exact"/>
        <w:ind w:firstLine="643"/>
        <w:jc w:val="both"/>
        <w:rPr>
          <w:rStyle w:val="21"/>
          <w:rFonts w:ascii="方正仿宋_GBK" w:eastAsia="方正仿宋_GBK" w:hAnsi="方正仿宋_GBK" w:cs="方正仿宋_GBK" w:hint="eastAsia"/>
          <w:sz w:val="32"/>
          <w:szCs w:val="32"/>
          <w:shd w:val="clear" w:color="auto" w:fill="FFFF00"/>
        </w:rPr>
        <w:sectPr w:rsidR="001D2CCD">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D2CC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1D2CC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D2CC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重庆高新技术产业开发区管理委员会科技创新局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50,828.15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48,327.73</w:t>
            </w: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50,828.15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50,828.15</w:t>
            </w: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D2CC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50,828.15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D2CCD"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50,828.15</w:t>
            </w:r>
            <w:r>
              <w:rPr>
                <w:rFonts w:ascii="Times New Roman" w:hAnsi="Times New Roman"/>
                <w:color w:val="000000"/>
                <w:sz w:val="20"/>
              </w:rPr>
              <w:t xml:space="preserve"> </w:t>
            </w:r>
          </w:p>
        </w:tc>
      </w:tr>
    </w:tbl>
    <w:p w:rsidR="001D2CCD" w:rsidRDefault="001D2CCD">
      <w:pPr>
        <w:rPr>
          <w:rFonts w:cs="宋体"/>
          <w:sz w:val="21"/>
          <w:szCs w:val="21"/>
        </w:rPr>
      </w:pPr>
    </w:p>
    <w:p w:rsidR="001D2CCD"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jc w:val="center"/>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1D2CCD">
        <w:trPr>
          <w:trHeight w:val="641"/>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1D2CCD">
        <w:trPr>
          <w:trHeight w:val="328"/>
          <w:jc w:val="center"/>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20"/>
                <w:szCs w:val="20"/>
              </w:rPr>
            </w:pPr>
            <w:r>
              <w:rPr>
                <w:rFonts w:cs="宋体"/>
                <w:sz w:val="20"/>
                <w:szCs w:val="20"/>
              </w:rPr>
              <w:t>部门：</w:t>
            </w:r>
            <w:r>
              <w:rPr>
                <w:sz w:val="20"/>
              </w:rPr>
              <w:t>重庆高新技术产业开发区管理委员会科技创新局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D2CCD">
        <w:trPr>
          <w:trHeight w:val="328"/>
          <w:jc w:val="center"/>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431"/>
          <w:jc w:val="center"/>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其他收入</w:t>
            </w:r>
          </w:p>
        </w:tc>
      </w:tr>
      <w:tr w:rsidR="001D2CCD">
        <w:trPr>
          <w:trHeight w:val="334"/>
          <w:jc w:val="center"/>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4"/>
          <w:jc w:val="center"/>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4"/>
          <w:jc w:val="center"/>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4"/>
          <w:jc w:val="center"/>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8"/>
          <w:jc w:val="center"/>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50,828.15</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50,828.15</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48,327.73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48,327.73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6,222.44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6,222.44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基础研究</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其他基础研究支出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技术研究与开发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其他技术研究与开发支出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资源勘探工业信息等支出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工业和信息产业监管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48"/>
          <w:jc w:val="center"/>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2150517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产业发展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D2CCD"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1D2CCD" w:rsidRDefault="00000000">
      <w:pPr>
        <w:rPr>
          <w:rFonts w:cs="宋体"/>
          <w:sz w:val="20"/>
          <w:szCs w:val="20"/>
        </w:rPr>
      </w:pPr>
      <w:r>
        <w:rPr>
          <w:rFonts w:cs="宋体"/>
          <w:sz w:val="20"/>
          <w:szCs w:val="20"/>
        </w:rPr>
        <w:lastRenderedPageBreak/>
        <w:br w:type="page"/>
      </w:r>
    </w:p>
    <w:tbl>
      <w:tblPr>
        <w:tblW w:w="5000" w:type="pct"/>
        <w:jc w:val="center"/>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1D2CCD">
        <w:trPr>
          <w:trHeight w:val="654"/>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1D2CCD">
        <w:trPr>
          <w:trHeight w:val="342"/>
          <w:jc w:val="center"/>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重庆高新技术产业开发区管理委员会科技创新局 </w:t>
            </w:r>
          </w:p>
        </w:tc>
        <w:tc>
          <w:tcPr>
            <w:tcW w:w="56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D2CCD">
        <w:trPr>
          <w:trHeight w:val="342"/>
          <w:jc w:val="center"/>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362"/>
          <w:jc w:val="center"/>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1D2CCD">
        <w:trPr>
          <w:trHeight w:val="338"/>
          <w:jc w:val="center"/>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8"/>
          <w:jc w:val="center"/>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8"/>
          <w:jc w:val="center"/>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8"/>
          <w:jc w:val="center"/>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2CCD" w:rsidRDefault="001D2CC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62"/>
          <w:jc w:val="center"/>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50,828.15</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294.96</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50,533.20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48,327.73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293.91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48,033.82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6,222.44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293.91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5,928.54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基础研究</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其他基础研究支出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技术研究与开发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其他技术研究与开发支出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资源勘探工业信息等支出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工业和信息产业监管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82"/>
          <w:jc w:val="center"/>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2150517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产业发展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D2CCD"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p>
    <w:p w:rsidR="001D2CCD" w:rsidRDefault="00000000">
      <w:pPr>
        <w:rPr>
          <w:rFonts w:cs="宋体"/>
          <w:sz w:val="21"/>
          <w:szCs w:val="21"/>
        </w:rPr>
      </w:pPr>
      <w:r>
        <w:rPr>
          <w:rFonts w:cs="宋体"/>
          <w:sz w:val="21"/>
          <w:szCs w:val="21"/>
        </w:rPr>
        <w:lastRenderedPageBreak/>
        <w:br w:type="page"/>
      </w:r>
    </w:p>
    <w:p w:rsidR="001D2CCD" w:rsidRDefault="001D2CCD">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D2CC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1D2CC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重庆高新技术产业开发区管理委员会科技创新局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D2CC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1D2CC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1D2CC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48,327.73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48,327.73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200" w:lineRule="exact"/>
              <w:rPr>
                <w:rFonts w:ascii="Times New Roman" w:hAnsi="Times New Roman" w:hint="default"/>
                <w:color w:val="000000"/>
                <w:sz w:val="18"/>
                <w:szCs w:val="18"/>
              </w:rPr>
            </w:pP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200" w:lineRule="exact"/>
              <w:jc w:val="right"/>
              <w:rPr>
                <w:rFonts w:ascii="Times New Roman" w:hAnsi="Times New Roman" w:hint="default"/>
                <w:color w:val="000000"/>
                <w:sz w:val="18"/>
                <w:szCs w:val="18"/>
              </w:rPr>
            </w:pPr>
          </w:p>
        </w:tc>
      </w:tr>
      <w:tr w:rsidR="001D2C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50,828.15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D2CCD"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1D2CC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1D2CC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重庆高新技术产业开发区管理委员会科技创新局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D2CC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本年支出</w:t>
            </w:r>
          </w:p>
        </w:tc>
      </w:tr>
      <w:tr w:rsidR="001D2CC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项目支出</w:t>
            </w:r>
          </w:p>
        </w:tc>
      </w:tr>
      <w:tr w:rsidR="001D2CC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50,828.15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294.96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50,533.20</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48,327.73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48,033.82</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6,222.44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5,928.54</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293.91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11.22</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5,917.31</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基础研究</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7,971.00</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其他基础研究支出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7,971.00</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34,134.29</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2060499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其他技术研究与开发支出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34,134.29</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资源勘探工业信息等支出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21505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b/>
                <w:color w:val="000000"/>
                <w:sz w:val="20"/>
                <w:szCs w:val="20"/>
              </w:rPr>
              <w:t>工业和信息产业监管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2,499.37</w:t>
            </w:r>
            <w:r>
              <w:rPr>
                <w:rFonts w:ascii="Times New Roman" w:hAnsi="Times New Roman"/>
                <w:b/>
                <w:color w:val="000000"/>
                <w:sz w:val="20"/>
              </w:rPr>
              <w:t xml:space="preserve"> </w:t>
            </w:r>
          </w:p>
        </w:tc>
      </w:tr>
      <w:tr w:rsidR="001D2C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2150517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textAlignment w:val="center"/>
              <w:rPr>
                <w:rFonts w:cs="宋体"/>
                <w:color w:val="000000"/>
                <w:sz w:val="20"/>
                <w:szCs w:val="20"/>
              </w:rPr>
            </w:pPr>
            <w:r>
              <w:rPr>
                <w:rFonts w:cs="宋体"/>
                <w:color w:val="000000"/>
                <w:sz w:val="20"/>
                <w:szCs w:val="20"/>
              </w:rPr>
              <w:t>产业发展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2,499.37</w:t>
            </w:r>
            <w:r>
              <w:rPr>
                <w:rFonts w:ascii="Times New Roman" w:hAnsi="Times New Roman"/>
                <w:color w:val="000000"/>
                <w:sz w:val="20"/>
              </w:rPr>
              <w:t xml:space="preserve"> </w:t>
            </w:r>
          </w:p>
        </w:tc>
      </w:tr>
    </w:tbl>
    <w:p w:rsidR="001D2CCD"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D2CCD"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D2CC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1D2CC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重庆高新技术产业开发区管理委员会科技创新局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D2CC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D2CCD" w:rsidRDefault="001D2CC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1D2CC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1D2CC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spacing w:line="192" w:lineRule="exact"/>
              <w:jc w:val="center"/>
              <w:rPr>
                <w:rFonts w:cs="宋体"/>
                <w:b/>
                <w:color w:val="000000"/>
                <w:sz w:val="18"/>
                <w:szCs w:val="18"/>
              </w:rPr>
            </w:pP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244.50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jc w:val="right"/>
              <w:rPr>
                <w:rFonts w:ascii="Times New Roman" w:hAnsi="Times New Roman" w:hint="default"/>
                <w:color w:val="000000"/>
                <w:sz w:val="18"/>
                <w:szCs w:val="18"/>
              </w:rPr>
            </w:pPr>
          </w:p>
        </w:tc>
      </w:tr>
      <w:tr w:rsidR="001D2C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jc w:val="right"/>
              <w:rPr>
                <w:rFonts w:ascii="Times New Roman" w:hAnsi="Times New Roman" w:hint="default"/>
                <w:color w:val="000000"/>
                <w:sz w:val="18"/>
                <w:szCs w:val="18"/>
              </w:rPr>
            </w:pPr>
          </w:p>
        </w:tc>
      </w:tr>
      <w:tr w:rsidR="001D2CC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1D2CC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spacing w:line="192" w:lineRule="exact"/>
              <w:jc w:val="right"/>
              <w:rPr>
                <w:rFonts w:ascii="Times New Roman" w:hAnsi="Times New Roman" w:hint="default"/>
                <w:color w:val="000000"/>
                <w:sz w:val="18"/>
                <w:szCs w:val="18"/>
              </w:rPr>
            </w:pPr>
          </w:p>
        </w:tc>
      </w:tr>
      <w:tr w:rsidR="001D2CC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244.50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50.45</w:t>
            </w:r>
            <w:r>
              <w:rPr>
                <w:rFonts w:ascii="Times New Roman" w:hAnsi="Times New Roman"/>
                <w:color w:val="000000"/>
                <w:sz w:val="18"/>
              </w:rPr>
              <w:t xml:space="preserve"> </w:t>
            </w:r>
          </w:p>
        </w:tc>
      </w:tr>
    </w:tbl>
    <w:p w:rsidR="001D2CCD"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1D2CC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1D2CC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重庆高新技术产业开发区管理委员会科技创新局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D2CC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年末结转和结余</w:t>
            </w:r>
          </w:p>
        </w:tc>
      </w:tr>
      <w:tr w:rsidR="001D2CCD">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D2CC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both"/>
              <w:textAlignment w:val="center"/>
              <w:rPr>
                <w:rFonts w:cs="宋体"/>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D2CCD" w:rsidRDefault="00000000">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1D2CCD"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1D2CC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1D2CC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重庆高新技术产业开发区管理委员会科技创新局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D2CC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D2CCD" w:rsidRDefault="001D2CC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D2CC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2CCD" w:rsidRDefault="00000000">
            <w:pPr>
              <w:jc w:val="center"/>
              <w:textAlignment w:val="bottom"/>
              <w:rPr>
                <w:rFonts w:cs="宋体"/>
                <w:b/>
                <w:color w:val="000000"/>
                <w:sz w:val="20"/>
                <w:szCs w:val="20"/>
              </w:rPr>
            </w:pPr>
            <w:r>
              <w:rPr>
                <w:rFonts w:cs="宋体"/>
                <w:b/>
                <w:color w:val="000000"/>
                <w:sz w:val="20"/>
                <w:szCs w:val="20"/>
              </w:rPr>
              <w:t>本年支出</w:t>
            </w:r>
          </w:p>
        </w:tc>
      </w:tr>
      <w:tr w:rsidR="001D2CCD">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项目支出</w:t>
            </w:r>
          </w:p>
        </w:tc>
      </w:tr>
      <w:tr w:rsidR="001D2CCD">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2CCD" w:rsidRDefault="001D2CCD">
            <w:pPr>
              <w:jc w:val="center"/>
              <w:rPr>
                <w:rFonts w:cs="宋体"/>
                <w:b/>
                <w:color w:val="000000"/>
                <w:sz w:val="20"/>
                <w:szCs w:val="20"/>
              </w:rPr>
            </w:pPr>
          </w:p>
        </w:tc>
      </w:tr>
      <w:tr w:rsidR="001D2CC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CCD"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D2CCD">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1D2CC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2CC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D2CCD"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1D2CCD"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1D2CCD">
        <w:trPr>
          <w:trHeight w:val="343"/>
        </w:trPr>
        <w:tc>
          <w:tcPr>
            <w:tcW w:w="5000" w:type="pct"/>
            <w:gridSpan w:val="5"/>
            <w:shd w:val="clear" w:color="auto" w:fill="auto"/>
            <w:noWrap/>
            <w:tcMar>
              <w:top w:w="15" w:type="dxa"/>
              <w:left w:w="15" w:type="dxa"/>
              <w:right w:w="15" w:type="dxa"/>
            </w:tcMar>
            <w:vAlign w:val="bottom"/>
          </w:tcPr>
          <w:p w:rsidR="001D2CCD"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1D2CCD">
        <w:trPr>
          <w:trHeight w:val="244"/>
        </w:trPr>
        <w:tc>
          <w:tcPr>
            <w:tcW w:w="1124" w:type="pct"/>
            <w:shd w:val="clear" w:color="auto" w:fill="auto"/>
            <w:noWrap/>
            <w:tcMar>
              <w:top w:w="15" w:type="dxa"/>
              <w:left w:w="15" w:type="dxa"/>
              <w:right w:w="15" w:type="dxa"/>
            </w:tcMar>
            <w:vAlign w:val="bottom"/>
          </w:tcPr>
          <w:p w:rsidR="001D2CCD" w:rsidRDefault="001D2CC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1D2CCD" w:rsidRDefault="001D2CC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1D2CCD" w:rsidRDefault="001D2CC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1D2CCD" w:rsidRDefault="001D2CC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D2CC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D2CCD"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重庆高新技术产业开发区管理委员会科技创新局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D2CCD" w:rsidRDefault="001D2CCD">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D2CCD" w:rsidRDefault="001D2CCD">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D2CCD"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1D2C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1D2C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50.45</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5.61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50.45</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118.60</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118.60</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118.60</w:t>
            </w:r>
            <w:r>
              <w:rPr>
                <w:rFonts w:ascii="Times New Roman" w:hAnsi="Times New Roman"/>
                <w:color w:val="000000"/>
                <w:sz w:val="18"/>
              </w:rPr>
              <w:t xml:space="preserve"> </w:t>
            </w:r>
          </w:p>
        </w:tc>
      </w:tr>
      <w:tr w:rsidR="001D2C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118.60</w:t>
            </w:r>
            <w:r>
              <w:rPr>
                <w:rFonts w:ascii="Times New Roman" w:hAnsi="Times New Roman"/>
                <w:color w:val="000000"/>
                <w:sz w:val="18"/>
              </w:rPr>
              <w:t xml:space="preserve"> </w:t>
            </w:r>
          </w:p>
        </w:tc>
      </w:tr>
      <w:tr w:rsidR="001D2CC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1D2CC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1D2CCD">
            <w:pPr>
              <w:spacing w:line="280" w:lineRule="exact"/>
              <w:jc w:val="right"/>
              <w:rPr>
                <w:rFonts w:cs="宋体"/>
                <w:color w:val="000000"/>
                <w:kern w:val="2"/>
                <w:sz w:val="16"/>
                <w:szCs w:val="16"/>
              </w:rPr>
            </w:pPr>
          </w:p>
        </w:tc>
      </w:tr>
      <w:tr w:rsidR="001D2C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1D2CC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1D2CCD">
            <w:pPr>
              <w:spacing w:line="280" w:lineRule="exact"/>
              <w:jc w:val="right"/>
              <w:rPr>
                <w:rFonts w:cs="宋体"/>
                <w:color w:val="000000"/>
                <w:kern w:val="2"/>
                <w:sz w:val="16"/>
                <w:szCs w:val="16"/>
              </w:rPr>
            </w:pPr>
          </w:p>
        </w:tc>
      </w:tr>
      <w:tr w:rsidR="001D2C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36.57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2CCD" w:rsidRDefault="001D2CCD">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2CCD" w:rsidRDefault="001D2CCD">
            <w:pPr>
              <w:spacing w:line="280" w:lineRule="exact"/>
              <w:jc w:val="right"/>
              <w:rPr>
                <w:rFonts w:cs="宋体"/>
                <w:color w:val="000000"/>
                <w:sz w:val="16"/>
                <w:szCs w:val="16"/>
              </w:rPr>
            </w:pPr>
          </w:p>
        </w:tc>
      </w:tr>
    </w:tbl>
    <w:p w:rsidR="001D2CCD"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1D2CCD">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297" w:rsidRDefault="00156297">
      <w:r>
        <w:separator/>
      </w:r>
    </w:p>
  </w:endnote>
  <w:endnote w:type="continuationSeparator" w:id="0">
    <w:p w:rsidR="00156297" w:rsidRDefault="0015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CCD" w:rsidRDefault="00000000">
    <w:pPr>
      <w:pStyle w:val="a7"/>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2CCD" w:rsidRDefault="00000000">
                          <w:pPr>
                            <w:pStyle w:val="a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1D2CCD" w:rsidRDefault="00000000">
                    <w:pPr>
                      <w:pStyle w:val="a7"/>
                    </w:pPr>
                    <w:r>
                      <w:fldChar w:fldCharType="begin"/>
                    </w:r>
                    <w:r>
                      <w:instrText xml:space="preserve"> PAGE  \* MERGEFORMAT </w:instrText>
                    </w:r>
                    <w:r>
                      <w:fldChar w:fldCharType="separate"/>
                    </w:r>
                    <w:r>
                      <w:rPr>
                        <w:rFonts w:hint="default"/>
                      </w:rPr>
                      <w:t>- 21 -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CCD" w:rsidRDefault="00000000">
    <w:pPr>
      <w:pStyle w:val="a7"/>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2CCD"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1D2CCD"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D2CCD" w:rsidRDefault="00000000">
                          <w:pPr>
                            <w:pStyle w:val="a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1D2CCD" w:rsidRDefault="00000000">
                    <w:pPr>
                      <w:pStyle w:val="a7"/>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297" w:rsidRDefault="00156297">
      <w:r>
        <w:separator/>
      </w:r>
    </w:p>
  </w:footnote>
  <w:footnote w:type="continuationSeparator" w:id="0">
    <w:p w:rsidR="00156297" w:rsidRDefault="0015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CCD" w:rsidRDefault="001D2CCD">
    <w:pPr>
      <w:pStyle w:val="a8"/>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C01CC"/>
    <w:rsid w:val="000D7702"/>
    <w:rsid w:val="000F6721"/>
    <w:rsid w:val="00156297"/>
    <w:rsid w:val="001632EC"/>
    <w:rsid w:val="001D2CCD"/>
    <w:rsid w:val="00261065"/>
    <w:rsid w:val="002D0E5A"/>
    <w:rsid w:val="002D71F4"/>
    <w:rsid w:val="002E5443"/>
    <w:rsid w:val="0032196C"/>
    <w:rsid w:val="0034151A"/>
    <w:rsid w:val="004852DA"/>
    <w:rsid w:val="004C12FF"/>
    <w:rsid w:val="004D0390"/>
    <w:rsid w:val="005267A1"/>
    <w:rsid w:val="00550ABE"/>
    <w:rsid w:val="00560D96"/>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2599E"/>
    <w:rsid w:val="00A67739"/>
    <w:rsid w:val="00A820B7"/>
    <w:rsid w:val="00A830E1"/>
    <w:rsid w:val="00AC5566"/>
    <w:rsid w:val="00B03CCD"/>
    <w:rsid w:val="00B104B0"/>
    <w:rsid w:val="00B40138"/>
    <w:rsid w:val="00B860B3"/>
    <w:rsid w:val="00BF5A85"/>
    <w:rsid w:val="00C307F6"/>
    <w:rsid w:val="00C96B11"/>
    <w:rsid w:val="00C97747"/>
    <w:rsid w:val="00CC6B99"/>
    <w:rsid w:val="00D168D6"/>
    <w:rsid w:val="00DC72DB"/>
    <w:rsid w:val="00DF7706"/>
    <w:rsid w:val="00E05175"/>
    <w:rsid w:val="00E654E2"/>
    <w:rsid w:val="00E76362"/>
    <w:rsid w:val="00E86B80"/>
    <w:rsid w:val="00F137D3"/>
    <w:rsid w:val="00F13C36"/>
    <w:rsid w:val="00F23C68"/>
    <w:rsid w:val="00F32C53"/>
    <w:rsid w:val="00F42A0F"/>
    <w:rsid w:val="00F73F90"/>
    <w:rsid w:val="00F7623D"/>
    <w:rsid w:val="00F8598B"/>
    <w:rsid w:val="00FA0819"/>
    <w:rsid w:val="00FB7EF0"/>
    <w:rsid w:val="01474EBF"/>
    <w:rsid w:val="018067FB"/>
    <w:rsid w:val="01F3521E"/>
    <w:rsid w:val="03077B2E"/>
    <w:rsid w:val="03B87EA0"/>
    <w:rsid w:val="03E3214F"/>
    <w:rsid w:val="03E42333"/>
    <w:rsid w:val="044C50BA"/>
    <w:rsid w:val="05B559EA"/>
    <w:rsid w:val="05BC6D49"/>
    <w:rsid w:val="06194FF1"/>
    <w:rsid w:val="06A2550B"/>
    <w:rsid w:val="06F80EE2"/>
    <w:rsid w:val="07001CCA"/>
    <w:rsid w:val="07181283"/>
    <w:rsid w:val="075678DB"/>
    <w:rsid w:val="077706A0"/>
    <w:rsid w:val="077961C6"/>
    <w:rsid w:val="079D7CC7"/>
    <w:rsid w:val="08051BCA"/>
    <w:rsid w:val="086C12F4"/>
    <w:rsid w:val="08BA052C"/>
    <w:rsid w:val="08DB07BA"/>
    <w:rsid w:val="0969353F"/>
    <w:rsid w:val="098305D0"/>
    <w:rsid w:val="098A0877"/>
    <w:rsid w:val="0A5C4B69"/>
    <w:rsid w:val="0A86124A"/>
    <w:rsid w:val="0AB54CC0"/>
    <w:rsid w:val="0ACB31DC"/>
    <w:rsid w:val="0B9335CE"/>
    <w:rsid w:val="0C7927C4"/>
    <w:rsid w:val="0C9B098C"/>
    <w:rsid w:val="0D673E11"/>
    <w:rsid w:val="0DDA54E4"/>
    <w:rsid w:val="0E084ABF"/>
    <w:rsid w:val="0E3A5F83"/>
    <w:rsid w:val="0E74421A"/>
    <w:rsid w:val="0EA46639"/>
    <w:rsid w:val="0EC6180C"/>
    <w:rsid w:val="0F4075C9"/>
    <w:rsid w:val="0F497FB6"/>
    <w:rsid w:val="0F836721"/>
    <w:rsid w:val="0FA25D96"/>
    <w:rsid w:val="107B59E5"/>
    <w:rsid w:val="10EC0126"/>
    <w:rsid w:val="10F70B9A"/>
    <w:rsid w:val="111445C7"/>
    <w:rsid w:val="112533CF"/>
    <w:rsid w:val="114278C6"/>
    <w:rsid w:val="1158083A"/>
    <w:rsid w:val="11643A4B"/>
    <w:rsid w:val="11ED0F98"/>
    <w:rsid w:val="11F03528"/>
    <w:rsid w:val="12AD31C8"/>
    <w:rsid w:val="12C921C4"/>
    <w:rsid w:val="12F40DF6"/>
    <w:rsid w:val="12F52ECF"/>
    <w:rsid w:val="13871C70"/>
    <w:rsid w:val="13A71CB4"/>
    <w:rsid w:val="13AF1D43"/>
    <w:rsid w:val="13BE7284"/>
    <w:rsid w:val="13CE1647"/>
    <w:rsid w:val="13DA0C25"/>
    <w:rsid w:val="13FD55AB"/>
    <w:rsid w:val="14200702"/>
    <w:rsid w:val="14907817"/>
    <w:rsid w:val="151324BB"/>
    <w:rsid w:val="153674A4"/>
    <w:rsid w:val="15714980"/>
    <w:rsid w:val="15AE34DE"/>
    <w:rsid w:val="15E52C78"/>
    <w:rsid w:val="160A01D1"/>
    <w:rsid w:val="161B527E"/>
    <w:rsid w:val="163A6CEE"/>
    <w:rsid w:val="17244882"/>
    <w:rsid w:val="173708E3"/>
    <w:rsid w:val="174C19C7"/>
    <w:rsid w:val="179901BE"/>
    <w:rsid w:val="17C374FC"/>
    <w:rsid w:val="189079DC"/>
    <w:rsid w:val="189B0D0B"/>
    <w:rsid w:val="18B43F7C"/>
    <w:rsid w:val="194A1770"/>
    <w:rsid w:val="19B906A4"/>
    <w:rsid w:val="19FB026E"/>
    <w:rsid w:val="1B4C2051"/>
    <w:rsid w:val="1B6F15B6"/>
    <w:rsid w:val="1BAA2EDC"/>
    <w:rsid w:val="1C5C0973"/>
    <w:rsid w:val="1CA55E64"/>
    <w:rsid w:val="1CDA105D"/>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61D6D"/>
    <w:rsid w:val="1FCD26AF"/>
    <w:rsid w:val="20642787"/>
    <w:rsid w:val="20F4064E"/>
    <w:rsid w:val="21556F04"/>
    <w:rsid w:val="220A4192"/>
    <w:rsid w:val="22403BD3"/>
    <w:rsid w:val="23A83C63"/>
    <w:rsid w:val="23AE66CF"/>
    <w:rsid w:val="23DA37D9"/>
    <w:rsid w:val="23F5732E"/>
    <w:rsid w:val="24B92327"/>
    <w:rsid w:val="24C14514"/>
    <w:rsid w:val="2533755C"/>
    <w:rsid w:val="25791755"/>
    <w:rsid w:val="26396DF4"/>
    <w:rsid w:val="26F92E80"/>
    <w:rsid w:val="27167136"/>
    <w:rsid w:val="27A7649B"/>
    <w:rsid w:val="27B23302"/>
    <w:rsid w:val="27F22438"/>
    <w:rsid w:val="28100029"/>
    <w:rsid w:val="29310A5F"/>
    <w:rsid w:val="294E705B"/>
    <w:rsid w:val="29C37A35"/>
    <w:rsid w:val="2A076083"/>
    <w:rsid w:val="2A720B27"/>
    <w:rsid w:val="2A73162E"/>
    <w:rsid w:val="2A751F0B"/>
    <w:rsid w:val="2B167953"/>
    <w:rsid w:val="2B200583"/>
    <w:rsid w:val="2B220436"/>
    <w:rsid w:val="2B8209DE"/>
    <w:rsid w:val="2C6762A3"/>
    <w:rsid w:val="2C9319F8"/>
    <w:rsid w:val="2E13617D"/>
    <w:rsid w:val="2EBF7B3E"/>
    <w:rsid w:val="2EDE1934"/>
    <w:rsid w:val="2FB13A70"/>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4D66156"/>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77D6972"/>
    <w:rsid w:val="48225EF7"/>
    <w:rsid w:val="48253069"/>
    <w:rsid w:val="484B7DE4"/>
    <w:rsid w:val="488F422B"/>
    <w:rsid w:val="48A169EB"/>
    <w:rsid w:val="48E36915"/>
    <w:rsid w:val="495C4A24"/>
    <w:rsid w:val="497135DF"/>
    <w:rsid w:val="4A1605D9"/>
    <w:rsid w:val="4A263DF2"/>
    <w:rsid w:val="4A6F6675"/>
    <w:rsid w:val="4ABF0746"/>
    <w:rsid w:val="4B0502DF"/>
    <w:rsid w:val="4B135857"/>
    <w:rsid w:val="4B7951CB"/>
    <w:rsid w:val="4B7C315C"/>
    <w:rsid w:val="4CCF773C"/>
    <w:rsid w:val="4D41465D"/>
    <w:rsid w:val="4DAC4ACA"/>
    <w:rsid w:val="4DBE01D2"/>
    <w:rsid w:val="4E9F6551"/>
    <w:rsid w:val="4EC92552"/>
    <w:rsid w:val="4EED094E"/>
    <w:rsid w:val="4EFC6D10"/>
    <w:rsid w:val="4F0C6BA3"/>
    <w:rsid w:val="4F10477D"/>
    <w:rsid w:val="4F186D58"/>
    <w:rsid w:val="4FCB7957"/>
    <w:rsid w:val="4FEA65B7"/>
    <w:rsid w:val="5042146E"/>
    <w:rsid w:val="50B31390"/>
    <w:rsid w:val="50F06B6E"/>
    <w:rsid w:val="51E97071"/>
    <w:rsid w:val="52234D33"/>
    <w:rsid w:val="52261ABA"/>
    <w:rsid w:val="522F6E0C"/>
    <w:rsid w:val="52463BA1"/>
    <w:rsid w:val="5298794F"/>
    <w:rsid w:val="52D93C9C"/>
    <w:rsid w:val="52F163D4"/>
    <w:rsid w:val="531A2DB4"/>
    <w:rsid w:val="53AC65A8"/>
    <w:rsid w:val="53C0244D"/>
    <w:rsid w:val="53DD4D4E"/>
    <w:rsid w:val="53E578CE"/>
    <w:rsid w:val="541330F0"/>
    <w:rsid w:val="54272666"/>
    <w:rsid w:val="543B029D"/>
    <w:rsid w:val="544C3364"/>
    <w:rsid w:val="546724CF"/>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EFF1C82"/>
    <w:rsid w:val="5F2D4A41"/>
    <w:rsid w:val="5FB0107D"/>
    <w:rsid w:val="5FEB1832"/>
    <w:rsid w:val="60903494"/>
    <w:rsid w:val="60C74F6C"/>
    <w:rsid w:val="61025A59"/>
    <w:rsid w:val="613D5BBC"/>
    <w:rsid w:val="61536C39"/>
    <w:rsid w:val="61C210E3"/>
    <w:rsid w:val="61E64F4A"/>
    <w:rsid w:val="623E0993"/>
    <w:rsid w:val="62944DD7"/>
    <w:rsid w:val="6319381F"/>
    <w:rsid w:val="63236436"/>
    <w:rsid w:val="63C25DC5"/>
    <w:rsid w:val="63C62057"/>
    <w:rsid w:val="63E018BF"/>
    <w:rsid w:val="64571EF5"/>
    <w:rsid w:val="64921BDB"/>
    <w:rsid w:val="64CB0157"/>
    <w:rsid w:val="64FB113D"/>
    <w:rsid w:val="65036946"/>
    <w:rsid w:val="654A25FE"/>
    <w:rsid w:val="656152C6"/>
    <w:rsid w:val="6587477F"/>
    <w:rsid w:val="658C3A08"/>
    <w:rsid w:val="65C031CA"/>
    <w:rsid w:val="65CE6852"/>
    <w:rsid w:val="66267C04"/>
    <w:rsid w:val="663F505A"/>
    <w:rsid w:val="66967186"/>
    <w:rsid w:val="66B23A2B"/>
    <w:rsid w:val="66EE5541"/>
    <w:rsid w:val="67924660"/>
    <w:rsid w:val="683200C2"/>
    <w:rsid w:val="68407834"/>
    <w:rsid w:val="6883293E"/>
    <w:rsid w:val="688412AD"/>
    <w:rsid w:val="68E87C2B"/>
    <w:rsid w:val="68EB1B71"/>
    <w:rsid w:val="69470A9E"/>
    <w:rsid w:val="69475C96"/>
    <w:rsid w:val="6AAD2300"/>
    <w:rsid w:val="6B474EF5"/>
    <w:rsid w:val="6BBF53FD"/>
    <w:rsid w:val="6BFF3C0B"/>
    <w:rsid w:val="6C560CAE"/>
    <w:rsid w:val="6C576495"/>
    <w:rsid w:val="6D903FF5"/>
    <w:rsid w:val="6DA955B8"/>
    <w:rsid w:val="6DE346AB"/>
    <w:rsid w:val="6DE36C58"/>
    <w:rsid w:val="6DE5391A"/>
    <w:rsid w:val="6DFB0400"/>
    <w:rsid w:val="6EFD1324"/>
    <w:rsid w:val="6F5A53AC"/>
    <w:rsid w:val="6FAC003D"/>
    <w:rsid w:val="6FE55E12"/>
    <w:rsid w:val="6FFB2E76"/>
    <w:rsid w:val="708F6F7F"/>
    <w:rsid w:val="70CE5958"/>
    <w:rsid w:val="70D94BD3"/>
    <w:rsid w:val="71685DAD"/>
    <w:rsid w:val="71C34D91"/>
    <w:rsid w:val="72700EBA"/>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E6E4CD3"/>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64A97B-DE95-4468-9003-C184F02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alutation" w:uiPriority="99"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sz w:val="20"/>
    </w:r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a9">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a">
    <w:name w:val="Normal (Web)"/>
    <w:basedOn w:val="a"/>
    <w:unhideWhenUsed/>
    <w:qFormat/>
    <w:pPr>
      <w:spacing w:before="100" w:beforeAutospacing="1" w:after="100" w:afterAutospacing="1"/>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6">
    <w:name w:val="批注框文本 字符"/>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98612">
      <w:bodyDiv w:val="1"/>
      <w:marLeft w:val="0"/>
      <w:marRight w:val="0"/>
      <w:marTop w:val="0"/>
      <w:marBottom w:val="0"/>
      <w:divBdr>
        <w:top w:val="none" w:sz="0" w:space="0" w:color="auto"/>
        <w:left w:val="none" w:sz="0" w:space="0" w:color="auto"/>
        <w:bottom w:val="none" w:sz="0" w:space="0" w:color="auto"/>
        <w:right w:val="none" w:sz="0" w:space="0" w:color="auto"/>
      </w:divBdr>
    </w:div>
    <w:div w:id="213178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9</cp:revision>
  <cp:lastPrinted>2025-10-17T04:16:00Z</cp:lastPrinted>
  <dcterms:created xsi:type="dcterms:W3CDTF">2025-06-26T07:40:00Z</dcterms:created>
  <dcterms:modified xsi:type="dcterms:W3CDTF">2025-10-27T03:10:00Z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1FD5A80EB1B145D1BA394D8375B5FCC6_13</vt:lpwstr>
  </property>
  <property fmtid="{D5CDD505-2E9C-101B-9397-08002B2CF9AE}" pid="4" name="KSOTemplateDocerSaveRecord">
    <vt:lpwstr>eyJoZGlkIjoiMjQzNGIzMjFhNDg4OGM1YzRkOWRjMzNlNDJjZjUyMzQiLCJ1c2VySWQiOiIxMDQ5ODMyMTUwIn0=</vt:lpwstr>
  </property>
</Properties>
</file>