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1462D">
      <w:pPr>
        <w:pStyle w:val="6"/>
        <w:spacing w:before="0" w:beforeAutospacing="0" w:after="0" w:afterAutospacing="0" w:line="600"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重庆高新技术产业开发区管理委员会公共服务局</w:t>
      </w:r>
      <w:r>
        <w:rPr>
          <w:rFonts w:ascii="方正小标宋_GBK" w:hAnsi="方正小标宋_GBK" w:eastAsia="方正小标宋_GBK" w:cs="方正小标宋_GBK"/>
          <w:sz w:val="36"/>
          <w:szCs w:val="36"/>
          <w:shd w:val="clear" w:color="auto" w:fill="FFFFFF"/>
        </w:rPr>
        <w:t>2023年度决算公开说明</w:t>
      </w:r>
    </w:p>
    <w:p w14:paraId="73FDF387">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一、部门基本情况</w:t>
      </w:r>
    </w:p>
    <w:p w14:paraId="7074714F">
      <w:pPr>
        <w:pStyle w:val="6"/>
        <w:shd w:val="clear" w:color="auto" w:fill="FFFFFF"/>
        <w:spacing w:before="0" w:beforeAutospacing="0" w:after="0" w:afterAutospacing="0" w:line="600" w:lineRule="exact"/>
        <w:ind w:firstLine="643" w:firstLineChars="20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（一）职能职责</w:t>
      </w:r>
    </w:p>
    <w:p w14:paraId="3E2BD9DD">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负责教育、卫生健康、民政、文化旅游、退役军人服务等工作。承担高新区教育教学管理和学生资助管理的具体事务性工作等。完成高新区党工委、管委会交办的其他任务。</w:t>
      </w:r>
    </w:p>
    <w:p w14:paraId="3351B7FF">
      <w:pPr>
        <w:pStyle w:val="6"/>
        <w:shd w:val="clear" w:color="auto" w:fill="FFFFFF"/>
        <w:spacing w:before="0" w:beforeAutospacing="0" w:after="0" w:afterAutospacing="0" w:line="600" w:lineRule="exact"/>
        <w:ind w:firstLine="643" w:firstLineChars="200"/>
        <w:rPr>
          <w:rStyle w:val="10"/>
          <w:rFonts w:hint="default"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（二）机构设置</w:t>
      </w:r>
    </w:p>
    <w:p w14:paraId="610C7AC4">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综合科（重庆高新区党工委教育工作领导小组秘书组秘书科）、教育发展科、教育管理科（教育督导室）、卫生发展科、卫生管理科、文化旅游科、民政科（婚姻登记处）、退役军人科、校外教育培训监管科、疾病预防控制科。</w:t>
      </w:r>
    </w:p>
    <w:p w14:paraId="36CE95D5">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二、部门决算情况说明</w:t>
      </w:r>
    </w:p>
    <w:p w14:paraId="2E56E40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67767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2023年度收入总计75837.91万元，支出总计</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万元。收支较上年决算数减少39323.95万元，下降34.15%，主要原因是</w:t>
      </w:r>
      <w:bookmarkStart w:id="0" w:name="OLE_LINK1"/>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022年新建、改建学校及基层医疗机构相关项目支出较多，2023年上述项目减少，导致部门收支减少。</w:t>
      </w:r>
    </w:p>
    <w:bookmarkEnd w:id="0"/>
    <w:p w14:paraId="3DD4A8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2023年度收入合计75837.91万元，较上年决算数减少39323.95万元，下降34.15%，主要原因是2023年新建、改建学校及基层医疗机构相关项目减少，部门年度预算相应减少</w:t>
      </w:r>
      <w:r>
        <w:rPr>
          <w:rFonts w:ascii="方正仿宋_GBK" w:hAnsi="方正仿宋_GBK" w:eastAsia="方正仿宋_GBK" w:cs="方正仿宋_GBK"/>
          <w:sz w:val="32"/>
          <w:szCs w:val="32"/>
        </w:rPr>
        <w:t>，导致部门收入减少。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23E64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万元，较上年决算数减少39323.95万元，下降34.15%，主要原因是2023年新建、改建学校及基层医疗机构相关项目较2022年有所减少，因此</w:t>
      </w:r>
      <w:r>
        <w:rPr>
          <w:rFonts w:ascii="方正仿宋_GBK" w:hAnsi="方正仿宋_GBK" w:eastAsia="方正仿宋_GBK" w:cs="方正仿宋_GBK"/>
          <w:sz w:val="32"/>
          <w:szCs w:val="32"/>
        </w:rPr>
        <w:t>2023年支出相对较少。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882.92</w:t>
      </w:r>
      <w:r>
        <w:rPr>
          <w:rFonts w:ascii="方正仿宋_GBK" w:hAnsi="方正仿宋_GBK" w:eastAsia="方正仿宋_GBK" w:cs="方正仿宋_GBK"/>
          <w:sz w:val="32"/>
          <w:szCs w:val="32"/>
          <w:shd w:val="clear" w:color="auto" w:fill="FFFFFF"/>
        </w:rPr>
        <w:t>万元，占1.16%；项目支出</w:t>
      </w:r>
      <w:r>
        <w:rPr>
          <w:rFonts w:ascii="方正仿宋_GBK" w:hAnsi="方正仿宋_GBK" w:eastAsia="方正仿宋_GBK" w:cs="方正仿宋_GBK"/>
          <w:sz w:val="32"/>
          <w:szCs w:val="32"/>
        </w:rPr>
        <w:t>74954.99</w:t>
      </w:r>
      <w:r>
        <w:rPr>
          <w:rFonts w:ascii="方正仿宋_GBK" w:hAnsi="方正仿宋_GBK" w:eastAsia="方正仿宋_GBK" w:cs="方正仿宋_GBK"/>
          <w:sz w:val="32"/>
          <w:szCs w:val="32"/>
          <w:shd w:val="clear" w:color="auto" w:fill="FFFFFF"/>
        </w:rPr>
        <w:t>万元，占98.84%；经营支出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AE64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万元，与上年持平。</w:t>
      </w:r>
    </w:p>
    <w:p w14:paraId="135AA291">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71B3F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2023年度财政拨款收、支总计75837.91万元。与2022年相比，财政拨款收、支总计各减少39323.95万元，下降34.15%。</w:t>
      </w:r>
      <w:bookmarkStart w:id="1" w:name="OLE_LINK3"/>
      <w:r>
        <w:rPr>
          <w:rFonts w:ascii="方正仿宋_GBK" w:hAnsi="方正仿宋_GBK" w:eastAsia="方正仿宋_GBK" w:cs="方正仿宋_GBK"/>
          <w:sz w:val="32"/>
          <w:szCs w:val="32"/>
          <w:shd w:val="clear" w:color="auto" w:fill="FFFFFF"/>
        </w:rPr>
        <w:t>主要原因是2</w:t>
      </w:r>
      <w:r>
        <w:rPr>
          <w:rFonts w:ascii="方正仿宋_GBK" w:hAnsi="方正仿宋_GBK" w:eastAsia="方正仿宋_GBK" w:cs="方正仿宋_GBK"/>
          <w:sz w:val="32"/>
          <w:szCs w:val="32"/>
        </w:rPr>
        <w:t>022年新建、改建学校及基层医疗机构相关项目支出较多，2023年上述项目减少，</w:t>
      </w:r>
      <w:bookmarkStart w:id="2" w:name="OLE_LINK2"/>
      <w:r>
        <w:rPr>
          <w:rFonts w:ascii="方正仿宋_GBK" w:hAnsi="方正仿宋_GBK" w:eastAsia="方正仿宋_GBK" w:cs="方正仿宋_GBK"/>
          <w:sz w:val="32"/>
          <w:szCs w:val="32"/>
        </w:rPr>
        <w:t>导致财政拨款收支减少较多。</w:t>
      </w:r>
    </w:p>
    <w:bookmarkEnd w:id="1"/>
    <w:bookmarkEnd w:id="2"/>
    <w:p w14:paraId="0B55C13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3E2C5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75461.50</w:t>
      </w:r>
      <w:r>
        <w:rPr>
          <w:rFonts w:ascii="方正仿宋_GBK" w:hAnsi="方正仿宋_GBK" w:eastAsia="方正仿宋_GBK" w:cs="方正仿宋_GBK"/>
          <w:sz w:val="32"/>
          <w:szCs w:val="32"/>
          <w:shd w:val="clear" w:color="auto" w:fill="FFFFFF"/>
        </w:rPr>
        <w:t>万元，较上年决算数减少36319.05万元，下降32.49%。主要原因是2</w:t>
      </w:r>
      <w:r>
        <w:rPr>
          <w:rFonts w:ascii="方正仿宋_GBK" w:hAnsi="方正仿宋_GBK" w:eastAsia="方正仿宋_GBK" w:cs="方正仿宋_GBK"/>
          <w:sz w:val="32"/>
          <w:szCs w:val="32"/>
        </w:rPr>
        <w:t>022年新建、改建学校及基层医疗机构相关项目支出较多，2023年上述项目减少</w:t>
      </w:r>
      <w:bookmarkStart w:id="3" w:name="OLE_LINK4"/>
      <w:r>
        <w:rPr>
          <w:rFonts w:ascii="方正仿宋_GBK" w:hAnsi="方正仿宋_GBK" w:eastAsia="方正仿宋_GBK" w:cs="方正仿宋_GBK"/>
          <w:sz w:val="32"/>
          <w:szCs w:val="32"/>
        </w:rPr>
        <w:t>，导致一般公共预算财政拨款收入减少。</w:t>
      </w:r>
      <w:bookmarkEnd w:id="3"/>
      <w:r>
        <w:rPr>
          <w:rFonts w:ascii="方正仿宋_GBK" w:hAnsi="方正仿宋_GBK" w:eastAsia="方正仿宋_GBK" w:cs="方正仿宋_GBK"/>
          <w:sz w:val="32"/>
          <w:szCs w:val="32"/>
          <w:shd w:val="clear" w:color="auto" w:fill="FFFFFF"/>
        </w:rPr>
        <w:t>较年初预算数减少12537.31万元，下降14.25%。主要原因</w:t>
      </w:r>
      <w:r>
        <w:rPr>
          <w:rFonts w:ascii="方正仿宋_GBK" w:hAnsi="方正仿宋_GBK" w:eastAsia="方正仿宋_GBK" w:cs="方正仿宋_GBK"/>
          <w:sz w:val="32"/>
          <w:szCs w:val="32"/>
        </w:rPr>
        <w:t>是</w:t>
      </w:r>
      <w:bookmarkStart w:id="4" w:name="OLE_LINK5"/>
      <w:r>
        <w:rPr>
          <w:rFonts w:ascii="方正仿宋_GBK" w:hAnsi="方正仿宋_GBK" w:eastAsia="方正仿宋_GBK" w:cs="方正仿宋_GBK"/>
          <w:sz w:val="32"/>
          <w:szCs w:val="32"/>
        </w:rPr>
        <w:t>部分教育、卫生系统经费统一纳入本部门年初预算，年度执行过程中，已按照预算调整程序调剂至各学校及基层医疗机构</w:t>
      </w:r>
      <w:r>
        <w:rPr>
          <w:rFonts w:ascii="方正仿宋_GBK" w:hAnsi="方正仿宋_GBK" w:eastAsia="方正仿宋_GBK" w:cs="方正仿宋_GBK"/>
          <w:sz w:val="32"/>
          <w:szCs w:val="32"/>
          <w:shd w:val="clear" w:color="auto" w:fill="FFFFFF"/>
        </w:rPr>
        <w:t>。</w:t>
      </w:r>
      <w:bookmarkEnd w:id="4"/>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BFD43B">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75461.50</w:t>
      </w:r>
      <w:r>
        <w:rPr>
          <w:rFonts w:ascii="方正仿宋_GBK" w:hAnsi="方正仿宋_GBK" w:eastAsia="方正仿宋_GBK" w:cs="方正仿宋_GBK"/>
          <w:sz w:val="32"/>
          <w:szCs w:val="32"/>
          <w:shd w:val="clear" w:color="auto" w:fill="FFFFFF"/>
        </w:rPr>
        <w:t>万元，较上年决算数减少36319.05万元，下降32.49%。主要原因是2023年新建、改建学校及基层医疗机构相关项目较2022年有所减少，</w:t>
      </w:r>
      <w:r>
        <w:rPr>
          <w:rFonts w:ascii="方正仿宋_GBK" w:hAnsi="方正仿宋_GBK" w:eastAsia="方正仿宋_GBK" w:cs="方正仿宋_GBK"/>
          <w:sz w:val="32"/>
          <w:szCs w:val="32"/>
        </w:rPr>
        <w:t>2023年相关支出减少，导致一般公共预算财政拨款支出减少。</w:t>
      </w:r>
      <w:r>
        <w:rPr>
          <w:rFonts w:ascii="方正仿宋_GBK" w:hAnsi="方正仿宋_GBK" w:eastAsia="方正仿宋_GBK" w:cs="方正仿宋_GBK"/>
          <w:sz w:val="32"/>
          <w:szCs w:val="32"/>
          <w:shd w:val="clear" w:color="auto" w:fill="FFFFFF"/>
        </w:rPr>
        <w:t>较年初预算数减少12537.31万元，下降14.25%，主要原因</w:t>
      </w:r>
      <w:bookmarkStart w:id="5" w:name="OLE_LINK7"/>
      <w:r>
        <w:rPr>
          <w:rFonts w:ascii="方正仿宋_GBK" w:hAnsi="方正仿宋_GBK" w:eastAsia="方正仿宋_GBK" w:cs="方正仿宋_GBK"/>
          <w:sz w:val="32"/>
          <w:szCs w:val="32"/>
          <w:shd w:val="clear" w:color="auto" w:fill="FFFFFF"/>
        </w:rPr>
        <w:t>是</w:t>
      </w:r>
      <w:r>
        <w:rPr>
          <w:rFonts w:ascii="方正仿宋_GBK" w:hAnsi="方正仿宋_GBK" w:eastAsia="方正仿宋_GBK" w:cs="方正仿宋_GBK"/>
          <w:sz w:val="32"/>
          <w:szCs w:val="32"/>
        </w:rPr>
        <w:t>部分教育、卫生系统经费统一纳入本部门年初预算，年度执行过程中，已按照预算调整程序调剂至各学校及基层医疗机构。</w:t>
      </w:r>
      <w:bookmarkEnd w:id="5"/>
    </w:p>
    <w:p w14:paraId="233DCA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万元，与上年持平。</w:t>
      </w:r>
    </w:p>
    <w:p w14:paraId="14962B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000DB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1124.01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%，较年初预算数减少11.06万元，下降0.97%，主要原因是按照“过紧日子”相关要求，压减日常支出。</w:t>
      </w:r>
    </w:p>
    <w:p w14:paraId="1BF40F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41373.49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54.83</w:t>
      </w:r>
      <w:r>
        <w:rPr>
          <w:rFonts w:ascii="方正仿宋_GBK" w:hAnsi="方正仿宋_GBK" w:eastAsia="方正仿宋_GBK" w:cs="方正仿宋_GBK"/>
          <w:sz w:val="32"/>
          <w:szCs w:val="32"/>
          <w:shd w:val="clear" w:color="auto" w:fill="FFFFFF"/>
        </w:rPr>
        <w:t>%，较年初预算数减少22034.51万元，下降34.75%，主要原因</w:t>
      </w:r>
      <w:bookmarkStart w:id="6" w:name="OLE_LINK8"/>
      <w:r>
        <w:rPr>
          <w:rFonts w:ascii="方正仿宋_GBK" w:hAnsi="方正仿宋_GBK" w:eastAsia="方正仿宋_GBK" w:cs="方正仿宋_GBK"/>
          <w:sz w:val="32"/>
          <w:szCs w:val="32"/>
          <w:shd w:val="clear" w:color="auto" w:fill="FFFFFF"/>
        </w:rPr>
        <w:t>是</w:t>
      </w:r>
      <w:r>
        <w:rPr>
          <w:rFonts w:ascii="方正仿宋_GBK" w:hAnsi="方正仿宋_GBK" w:eastAsia="方正仿宋_GBK" w:cs="方正仿宋_GBK"/>
          <w:sz w:val="32"/>
          <w:szCs w:val="32"/>
        </w:rPr>
        <w:t>2023年年初预算数含部分教育系统经费，年度执行过程中，已按照预算调整程序调剂至各学校使用</w:t>
      </w:r>
      <w:bookmarkEnd w:id="6"/>
      <w:r>
        <w:rPr>
          <w:rFonts w:ascii="方正仿宋_GBK" w:hAnsi="方正仿宋_GBK" w:eastAsia="方正仿宋_GBK" w:cs="方正仿宋_GBK"/>
          <w:sz w:val="32"/>
          <w:szCs w:val="32"/>
        </w:rPr>
        <w:t>。</w:t>
      </w:r>
    </w:p>
    <w:p w14:paraId="7D1512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%，较年初预算数增加907.00万元，增长100.00%，主要原因是年中增加产业引育相关支出。</w:t>
      </w:r>
    </w:p>
    <w:p w14:paraId="2C6EEE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599.64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%，较年初预算数减少187.12万元，下降23.78%，主要原因是根据实际工作需要，压减相关支出。</w:t>
      </w:r>
    </w:p>
    <w:p w14:paraId="7815027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3028.64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%，较年初预算数减少4433.17万元，下降59.41%，主要原因是困难群众救助补助、退役军人相关政策等资金纳入本部门年初预算，</w:t>
      </w:r>
      <w:r>
        <w:rPr>
          <w:rFonts w:ascii="方正仿宋_GBK" w:hAnsi="方正仿宋_GBK" w:eastAsia="方正仿宋_GBK" w:cs="方正仿宋_GBK"/>
          <w:sz w:val="32"/>
          <w:szCs w:val="32"/>
        </w:rPr>
        <w:t>年度执行过程中，已按照预算调整程序调剂至各镇街。</w:t>
      </w:r>
    </w:p>
    <w:p w14:paraId="36AF484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4" w:name="_GoBack"/>
      <w:bookmarkEnd w:id="14"/>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13008.35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17.24</w:t>
      </w:r>
      <w:r>
        <w:rPr>
          <w:rFonts w:ascii="方正仿宋_GBK" w:hAnsi="方正仿宋_GBK" w:eastAsia="方正仿宋_GBK" w:cs="方正仿宋_GBK"/>
          <w:sz w:val="32"/>
          <w:szCs w:val="32"/>
          <w:shd w:val="clear" w:color="auto" w:fill="FFFFFF"/>
        </w:rPr>
        <w:t>%，较年初预算数减少2189.46万元，下降14.41%，主要原因是</w:t>
      </w:r>
      <w:r>
        <w:rPr>
          <w:rFonts w:ascii="方正仿宋_GBK" w:hAnsi="方正仿宋_GBK" w:eastAsia="方正仿宋_GBK" w:cs="方正仿宋_GBK"/>
          <w:sz w:val="32"/>
          <w:szCs w:val="32"/>
        </w:rPr>
        <w:t>2023年年初预算数含部分卫生系统经费，年度执行过程中，已按照预算调整程序调剂至各医疗机构使用。</w:t>
      </w:r>
    </w:p>
    <w:p w14:paraId="7D73D6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15420.37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20.43</w:t>
      </w:r>
      <w:r>
        <w:rPr>
          <w:rFonts w:ascii="方正仿宋_GBK" w:hAnsi="方正仿宋_GBK" w:eastAsia="方正仿宋_GBK" w:cs="方正仿宋_GBK"/>
          <w:sz w:val="32"/>
          <w:szCs w:val="32"/>
          <w:shd w:val="clear" w:color="auto" w:fill="FFFFFF"/>
        </w:rPr>
        <w:t>%，较年初预算数增加15420.37万元，增长100.00%，主要原因是年中追加城乡社区配套设施建设项目支出。</w:t>
      </w:r>
    </w:p>
    <w:p w14:paraId="5FEB8FA0">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F1D7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882.92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682.66</w:t>
      </w:r>
      <w:r>
        <w:rPr>
          <w:rFonts w:ascii="方正仿宋_GBK" w:hAnsi="方正仿宋_GBK" w:eastAsia="方正仿宋_GBK" w:cs="方正仿宋_GBK"/>
          <w:sz w:val="32"/>
          <w:szCs w:val="32"/>
          <w:shd w:val="clear" w:color="auto" w:fill="FFFFFF"/>
        </w:rPr>
        <w:t>万元，较上年决算数增加554.59万元，增长433.04%，主要原因是预算编制口径变动，2022年文职人员薪酬归属项目支出，2023年调整至人员经费。人员经费用途主要</w:t>
      </w:r>
      <w:r>
        <w:rPr>
          <w:rFonts w:ascii="方正仿宋_GBK" w:hAnsi="方正仿宋_GBK" w:eastAsia="方正仿宋_GBK" w:cs="方正仿宋_GBK"/>
          <w:sz w:val="32"/>
          <w:szCs w:val="32"/>
        </w:rPr>
        <w:t>包括人员工资、社保缴费等。公</w:t>
      </w:r>
      <w:r>
        <w:rPr>
          <w:rFonts w:ascii="方正仿宋_GBK" w:hAnsi="方正仿宋_GBK" w:eastAsia="方正仿宋_GBK" w:cs="方正仿宋_GBK"/>
          <w:sz w:val="32"/>
          <w:szCs w:val="32"/>
          <w:shd w:val="clear" w:color="auto" w:fill="FFFFFF"/>
        </w:rPr>
        <w:t>用经费</w:t>
      </w:r>
      <w:r>
        <w:rPr>
          <w:rFonts w:ascii="方正仿宋_GBK" w:hAnsi="方正仿宋_GBK" w:eastAsia="方正仿宋_GBK" w:cs="方正仿宋_GBK"/>
          <w:sz w:val="32"/>
          <w:szCs w:val="32"/>
        </w:rPr>
        <w:t>200.26</w:t>
      </w:r>
      <w:r>
        <w:rPr>
          <w:rFonts w:ascii="方正仿宋_GBK" w:hAnsi="方正仿宋_GBK" w:eastAsia="方正仿宋_GBK" w:cs="方正仿宋_GBK"/>
          <w:sz w:val="32"/>
          <w:szCs w:val="32"/>
          <w:shd w:val="clear" w:color="auto" w:fill="FFFFFF"/>
        </w:rPr>
        <w:t>万元，较上年决算数增加154.71万元，增长339.65%，主要原因是</w:t>
      </w:r>
      <w:bookmarkStart w:id="7" w:name="OLE_LINK14"/>
      <w:r>
        <w:rPr>
          <w:rFonts w:ascii="方正仿宋_GBK" w:hAnsi="方正仿宋_GBK" w:eastAsia="方正仿宋_GBK" w:cs="方正仿宋_GBK"/>
          <w:sz w:val="32"/>
          <w:szCs w:val="32"/>
          <w:shd w:val="clear" w:color="auto" w:fill="FFFFFF"/>
        </w:rPr>
        <w:t>预算编制口径变动，文职人员公用经费2022年归属项目支出，2023年调整至公用经费，此外，2023年新增公务车购置费87.4万元</w:t>
      </w:r>
      <w:bookmarkEnd w:id="7"/>
      <w:r>
        <w:rPr>
          <w:rFonts w:ascii="方正仿宋_GBK" w:hAnsi="方正仿宋_GBK" w:eastAsia="方正仿宋_GBK" w:cs="方正仿宋_GBK"/>
          <w:sz w:val="32"/>
          <w:szCs w:val="32"/>
          <w:shd w:val="clear" w:color="auto" w:fill="FFFFFF"/>
        </w:rPr>
        <w:t>。公用经费用途主要包括</w:t>
      </w:r>
      <w:bookmarkStart w:id="8" w:name="OLE_LINK12"/>
      <w:bookmarkStart w:id="9" w:name="OLE_LINK13"/>
      <w:r>
        <w:rPr>
          <w:rFonts w:ascii="方正仿宋_GBK" w:hAnsi="方正仿宋_GBK" w:eastAsia="方正仿宋_GBK" w:cs="方正仿宋_GBK"/>
          <w:sz w:val="32"/>
          <w:szCs w:val="32"/>
          <w:shd w:val="clear" w:color="auto" w:fill="FFFFFF"/>
        </w:rPr>
        <w:t>办公费、邮电费、差旅费、租赁费、委托业务费等</w:t>
      </w:r>
      <w:bookmarkEnd w:id="8"/>
      <w:r>
        <w:rPr>
          <w:rFonts w:ascii="方正仿宋_GBK" w:hAnsi="方正仿宋_GBK" w:eastAsia="方正仿宋_GBK" w:cs="方正仿宋_GBK"/>
          <w:sz w:val="32"/>
          <w:szCs w:val="32"/>
          <w:shd w:val="clear" w:color="auto" w:fill="FFFFFF"/>
        </w:rPr>
        <w:t>。</w:t>
      </w:r>
      <w:bookmarkEnd w:id="9"/>
    </w:p>
    <w:p w14:paraId="5AF4662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D009B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376.41</w:t>
      </w:r>
      <w:r>
        <w:rPr>
          <w:rFonts w:ascii="方正仿宋_GBK" w:hAnsi="方正仿宋_GBK" w:eastAsia="方正仿宋_GBK" w:cs="方正仿宋_GBK"/>
          <w:sz w:val="32"/>
          <w:szCs w:val="32"/>
          <w:shd w:val="clear" w:color="auto" w:fill="FFFFFF"/>
        </w:rPr>
        <w:t>万元，较上年决算数减少3004.89万元，下降88.87%，主要原因是</w:t>
      </w:r>
      <w:bookmarkStart w:id="10" w:name="OLE_LINK9"/>
      <w:r>
        <w:rPr>
          <w:rFonts w:ascii="方正仿宋_GBK" w:hAnsi="方正仿宋_GBK" w:eastAsia="方正仿宋_GBK" w:cs="方正仿宋_GBK"/>
          <w:sz w:val="32"/>
          <w:szCs w:val="32"/>
          <w:shd w:val="clear" w:color="auto" w:fill="FFFFFF"/>
        </w:rPr>
        <w:t>2022年政府性基金预算安排的基层医疗机构设备购置支出较多，2023年基层医疗机构设备购置支出减少，政府性基金主要用于困难群众救助、养老事业发展等社会福利支出。</w:t>
      </w:r>
      <w:bookmarkEnd w:id="10"/>
      <w:r>
        <w:rPr>
          <w:rFonts w:ascii="方正仿宋_GBK" w:hAnsi="方正仿宋_GBK" w:eastAsia="方正仿宋_GBK" w:cs="方正仿宋_GBK"/>
          <w:sz w:val="32"/>
          <w:szCs w:val="32"/>
          <w:shd w:val="clear" w:color="auto" w:fill="FFFFFF"/>
        </w:rPr>
        <w:t>本年支出376.41万元，较上年决算数减少3004.89万元，下降88.87%，主要原因同上。</w:t>
      </w:r>
    </w:p>
    <w:p w14:paraId="4B4AE440">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32340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4A7D5C45">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14:paraId="46499D0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11B01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87.40</w:t>
      </w:r>
      <w:r>
        <w:rPr>
          <w:rFonts w:ascii="方正仿宋_GBK" w:hAnsi="方正仿宋_GBK" w:eastAsia="方正仿宋_GBK" w:cs="方正仿宋_GBK"/>
          <w:sz w:val="32"/>
          <w:szCs w:val="32"/>
          <w:shd w:val="clear" w:color="auto" w:fill="FFFFFF"/>
        </w:rPr>
        <w:t>万元，较年初预算数减少4.60万元，下降5.00%，主要原因是公务车购置按照实际合同金额支出。较上年支出数增加85.40万元，增长4270.00%，主要原因是2023年度新增公务车购置支出。</w:t>
      </w:r>
    </w:p>
    <w:p w14:paraId="541CDACF">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2032C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 </w:t>
      </w:r>
    </w:p>
    <w:p w14:paraId="7ED06E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87.40</w:t>
      </w:r>
      <w:r>
        <w:rPr>
          <w:rFonts w:ascii="方正仿宋_GBK" w:hAnsi="方正仿宋_GBK" w:eastAsia="方正仿宋_GBK" w:cs="方正仿宋_GBK"/>
          <w:sz w:val="32"/>
          <w:szCs w:val="32"/>
          <w:shd w:val="clear" w:color="auto" w:fill="FFFFFF"/>
        </w:rPr>
        <w:t>万元，主要用于</w:t>
      </w:r>
      <w:bookmarkStart w:id="11" w:name="OLE_LINK10"/>
      <w:r>
        <w:rPr>
          <w:rFonts w:ascii="方正仿宋_GBK" w:hAnsi="方正仿宋_GBK" w:eastAsia="方正仿宋_GBK" w:cs="方正仿宋_GBK"/>
          <w:sz w:val="32"/>
          <w:szCs w:val="32"/>
          <w:shd w:val="clear" w:color="auto" w:fill="FFFFFF"/>
        </w:rPr>
        <w:t>为基层医疗机构采购救护车2辆</w:t>
      </w:r>
      <w:bookmarkEnd w:id="11"/>
      <w:r>
        <w:rPr>
          <w:rFonts w:ascii="方正仿宋_GBK" w:hAnsi="方正仿宋_GBK" w:eastAsia="方正仿宋_GBK" w:cs="方正仿宋_GBK"/>
          <w:sz w:val="32"/>
          <w:szCs w:val="32"/>
          <w:shd w:val="clear" w:color="auto" w:fill="FFFFFF"/>
        </w:rPr>
        <w:t>。费用支出较年初预算数减少2.60万元，下降2.89%，主要原因是实际支出根据实际采购金额支出。较上年支出数增加87.40万元，增长100.00%，主要原因是2023年为基层医疗机构采购救护车2辆，2022年未采购。</w:t>
      </w:r>
    </w:p>
    <w:p w14:paraId="1D391D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3343B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万元。费用支出较年初预算数减少2.00万元，下降100.00%，主要原因是</w:t>
      </w:r>
      <w:bookmarkStart w:id="12" w:name="OLE_LINK11"/>
      <w:r>
        <w:rPr>
          <w:rFonts w:ascii="方正仿宋_GBK" w:hAnsi="方正仿宋_GBK" w:eastAsia="方正仿宋_GBK" w:cs="方正仿宋_GBK"/>
          <w:sz w:val="32"/>
          <w:szCs w:val="32"/>
          <w:shd w:val="clear" w:color="auto" w:fill="FFFFFF"/>
        </w:rPr>
        <w:t>本年度严格控制接待费用。</w:t>
      </w:r>
      <w:bookmarkEnd w:id="12"/>
      <w:r>
        <w:rPr>
          <w:rFonts w:ascii="方正仿宋_GBK" w:hAnsi="方正仿宋_GBK" w:eastAsia="方正仿宋_GBK" w:cs="方正仿宋_GBK"/>
          <w:sz w:val="32"/>
          <w:szCs w:val="32"/>
          <w:shd w:val="clear" w:color="auto" w:fill="FFFFFF"/>
        </w:rPr>
        <w:t>较上年支出数减少2.00万元，下降100.00%，主要原因是本年度严格控制接待费用。</w:t>
      </w:r>
    </w:p>
    <w:p w14:paraId="75CE480B">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5AEB8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43.7</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AD6728F">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2FF58A27">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9C1C8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万元，较上年决算数增加0.14万元，增长41.18%，</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实际工作需要，会议支出略有增加。本年度培训费支出</w:t>
      </w:r>
      <w:r>
        <w:rPr>
          <w:rFonts w:ascii="方正仿宋_GBK" w:hAnsi="方正仿宋_GBK" w:eastAsia="方正仿宋_GBK" w:cs="方正仿宋_GBK"/>
          <w:sz w:val="32"/>
          <w:szCs w:val="32"/>
        </w:rPr>
        <w:t>48.03</w:t>
      </w:r>
      <w:r>
        <w:rPr>
          <w:rFonts w:ascii="方正仿宋_GBK" w:hAnsi="方正仿宋_GBK" w:eastAsia="方正仿宋_GBK" w:cs="方正仿宋_GBK"/>
          <w:sz w:val="32"/>
          <w:szCs w:val="32"/>
          <w:shd w:val="clear" w:color="auto" w:fill="FFFFFF"/>
        </w:rPr>
        <w:t>万元，较上年决算数减少12.81万元，下降21.06%，主要原因是按照“过紧日子”要求，严格控制培训支出。</w:t>
      </w:r>
    </w:p>
    <w:p w14:paraId="1A347651">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9ABC9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200.26</w:t>
      </w:r>
      <w:r>
        <w:rPr>
          <w:rFonts w:ascii="方正仿宋_GBK" w:hAnsi="方正仿宋_GBK" w:eastAsia="方正仿宋_GBK" w:cs="方正仿宋_GBK"/>
          <w:sz w:val="32"/>
          <w:szCs w:val="32"/>
          <w:shd w:val="clear" w:color="auto" w:fill="FFFFFF"/>
        </w:rPr>
        <w:t>万元，机关运行经费主要用于开支办公费、邮电费、差旅费、租赁费、委托业务费、公务车购置费等。机关运行经费较上年支出数增加154.71万元，增长339.65%，主要原因是预算编制口径变动，文职人员公用经费2022年归属项目支出，2023年调整至公用经费。此外，2023年新增公务车购置费87.4万元。</w:t>
      </w:r>
    </w:p>
    <w:p w14:paraId="7E55B069">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85DA3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台（套）。</w:t>
      </w:r>
    </w:p>
    <w:p w14:paraId="7B567356">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E93A4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7425.98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6906.18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117.80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402.00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3614.17万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48.67</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2974.67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40.06</w:t>
      </w:r>
      <w:r>
        <w:rPr>
          <w:rFonts w:ascii="方正仿宋_GBK" w:hAnsi="方正仿宋_GBK" w:eastAsia="方正仿宋_GBK" w:cs="方正仿宋_GBK"/>
          <w:sz w:val="32"/>
          <w:szCs w:val="32"/>
          <w:shd w:val="clear" w:color="auto" w:fill="FFFFFF"/>
        </w:rPr>
        <w:t xml:space="preserve"> %。主要用于采购学校和基层医疗机构的设施设备等。</w:t>
      </w:r>
    </w:p>
    <w:p w14:paraId="411B934E">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14:paraId="59EEDD05">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3BA1DFCF">
      <w:pPr>
        <w:pStyle w:val="12"/>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根据预算绩效管理要求，我部门对部门整体和63个</w:t>
      </w:r>
      <w:bookmarkStart w:id="13" w:name="OLE_LINK15"/>
      <w:r>
        <w:rPr>
          <w:rFonts w:hint="eastAsia" w:ascii="方正仿宋_GBK" w:hAnsi="方正仿宋_GBK" w:eastAsia="方正仿宋_GBK" w:cs="方正仿宋_GBK"/>
          <w:sz w:val="32"/>
          <w:szCs w:val="32"/>
          <w:shd w:val="clear" w:color="auto" w:fill="FFFFFF"/>
        </w:rPr>
        <w:t>二级项目开展了绩效自评</w:t>
      </w:r>
      <w:bookmarkEnd w:id="13"/>
      <w:r>
        <w:rPr>
          <w:rFonts w:hint="eastAsia" w:ascii="方正仿宋_GBK" w:hAnsi="方正仿宋_GBK" w:eastAsia="方正仿宋_GBK" w:cs="方正仿宋_GBK"/>
          <w:sz w:val="32"/>
          <w:szCs w:val="32"/>
          <w:shd w:val="clear" w:color="auto" w:fill="FFFFFF"/>
        </w:rPr>
        <w:t>，涉及财政拨款项目支出资金74954.99万元。部门整体绩效自评表及二级项目绩效自评表详见附表。</w:t>
      </w:r>
    </w:p>
    <w:p w14:paraId="4C13DD9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129D2F0">
      <w:pPr>
        <w:pStyle w:val="11"/>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2C8E012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ECFF9D5">
      <w:pPr>
        <w:pStyle w:val="12"/>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委托第三方对我部门基本公共卫生服务项目开展了重点绩效评价，涉及财政拨款项目资金4430万元，评价得分89分，评价等次为良。下一步，本部门将按照绩效评价结果及工作建议，进一步优化定量指标设置，提高定性指标可衡量性和充分性，加强绩效管理。</w:t>
      </w:r>
    </w:p>
    <w:p w14:paraId="6BB03C17">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14:paraId="62FE24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AD5F2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B8D3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99BD0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99BD3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15D2F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24A61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A9DD2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AAA6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CEEA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10E2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DB9E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6B2E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D83C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388BE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w:t>
      </w:r>
    </w:p>
    <w:p w14:paraId="2FFC15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D006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B8D3398">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 七、决算公开联系方式及信息反馈渠道</w:t>
      </w:r>
    </w:p>
    <w:p w14:paraId="230146C8">
      <w:pPr>
        <w:pStyle w:val="6"/>
        <w:snapToGrid w:val="0"/>
        <w:spacing w:beforeAutospacing="0" w:after="0" w:afterAutospacing="0"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本部门决算公开信息反馈和联系方式：023-68682051。</w:t>
      </w:r>
    </w:p>
    <w:sectPr>
      <w:headerReference r:id="rId5" w:type="default"/>
      <w:footerReference r:id="rId6" w:type="default"/>
      <w:pgSz w:w="11850" w:h="16783"/>
      <w:pgMar w:top="2098" w:right="1531" w:bottom="1984" w:left="1531"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7174A8CC-6C16-402B-BD47-82A26B6643C9}"/>
  </w:font>
  <w:font w:name="方正黑体_GBK">
    <w:altName w:val="微软雅黑"/>
    <w:panose1 w:val="03000509000000000000"/>
    <w:charset w:val="86"/>
    <w:family w:val="script"/>
    <w:pitch w:val="default"/>
    <w:sig w:usb0="00000000" w:usb1="00000000" w:usb2="00000010" w:usb3="00000000" w:csb0="00040000" w:csb1="00000000"/>
    <w:embedRegular r:id="rId2" w:fontKey="{0009F809-02FE-4C18-AC7B-0CB6F26C4792}"/>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script"/>
    <w:pitch w:val="default"/>
    <w:sig w:usb0="800002BF" w:usb1="38CF7CFA" w:usb2="00000016" w:usb3="00000000" w:csb0="00040000" w:csb1="00000000"/>
    <w:embedRegular r:id="rId3" w:fontKey="{2EF955B9-2DB3-43F6-A32F-8372A30BB41F}"/>
  </w:font>
  <w:font w:name="方正仿宋_GBK">
    <w:panose1 w:val="03000509000000000000"/>
    <w:charset w:val="86"/>
    <w:family w:val="script"/>
    <w:pitch w:val="default"/>
    <w:sig w:usb0="00000001" w:usb1="080E0000" w:usb2="00000000" w:usb3="00000000" w:csb0="00040000" w:csb1="00000000"/>
    <w:embedRegular r:id="rId4" w:fontKey="{F5CC9EE1-9B7C-4602-A29D-C47ED229A4B9}"/>
  </w:font>
  <w:font w:name="楷体">
    <w:panose1 w:val="02010609060101010101"/>
    <w:charset w:val="86"/>
    <w:family w:val="modern"/>
    <w:pitch w:val="default"/>
    <w:sig w:usb0="800002BF" w:usb1="38CF7CFA" w:usb2="00000016" w:usb3="00000000" w:csb0="00040001" w:csb1="00000000"/>
    <w:embedRegular r:id="rId5" w:fontKey="{2014905C-3436-408B-A65B-273DD6ED23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273B">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EA84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22EA84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2C2688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2C2688C">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925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TJjMmViOTI4ZThkZTYxNWMzMTEwYmE2MDhkYzQifQ=="/>
  </w:docVars>
  <w:rsids>
    <w:rsidRoot w:val="00B03CCD"/>
    <w:rsid w:val="000C01CC"/>
    <w:rsid w:val="000D7702"/>
    <w:rsid w:val="00102C9C"/>
    <w:rsid w:val="0022556A"/>
    <w:rsid w:val="002674A8"/>
    <w:rsid w:val="002D0E5A"/>
    <w:rsid w:val="002E5443"/>
    <w:rsid w:val="00390FAC"/>
    <w:rsid w:val="003B1EF5"/>
    <w:rsid w:val="00454CE5"/>
    <w:rsid w:val="00465E02"/>
    <w:rsid w:val="00473AD6"/>
    <w:rsid w:val="004C12FF"/>
    <w:rsid w:val="00550ABE"/>
    <w:rsid w:val="00583FE5"/>
    <w:rsid w:val="005B023C"/>
    <w:rsid w:val="005C031D"/>
    <w:rsid w:val="005F7472"/>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9C5F9E"/>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80942"/>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F1085"/>
    <w:rsid w:val="163A6CEE"/>
    <w:rsid w:val="173708E3"/>
    <w:rsid w:val="17C374FC"/>
    <w:rsid w:val="189079DC"/>
    <w:rsid w:val="189B0D0B"/>
    <w:rsid w:val="18B43F7C"/>
    <w:rsid w:val="194A1770"/>
    <w:rsid w:val="19B906A4"/>
    <w:rsid w:val="1B6F15B6"/>
    <w:rsid w:val="1BAA2EDC"/>
    <w:rsid w:val="1C5C0973"/>
    <w:rsid w:val="1CA55E64"/>
    <w:rsid w:val="1CAC56C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B73737"/>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5A428D"/>
    <w:rsid w:val="3DDF3AB1"/>
    <w:rsid w:val="3DFC552C"/>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C53703"/>
    <w:rsid w:val="4A263DF2"/>
    <w:rsid w:val="4A6F6675"/>
    <w:rsid w:val="4B0502DF"/>
    <w:rsid w:val="4B135857"/>
    <w:rsid w:val="4B7951CB"/>
    <w:rsid w:val="4B7C315C"/>
    <w:rsid w:val="4B876778"/>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2D76E9"/>
    <w:rsid w:val="543B029D"/>
    <w:rsid w:val="54861779"/>
    <w:rsid w:val="552256E1"/>
    <w:rsid w:val="554E5773"/>
    <w:rsid w:val="555A3CBC"/>
    <w:rsid w:val="5582012B"/>
    <w:rsid w:val="558E4E05"/>
    <w:rsid w:val="55BE2E85"/>
    <w:rsid w:val="56530F5D"/>
    <w:rsid w:val="567700D3"/>
    <w:rsid w:val="56FF7E9E"/>
    <w:rsid w:val="578867FC"/>
    <w:rsid w:val="5842572D"/>
    <w:rsid w:val="58782EFD"/>
    <w:rsid w:val="5A3B59D6"/>
    <w:rsid w:val="5AD134D8"/>
    <w:rsid w:val="5B6503B1"/>
    <w:rsid w:val="5B75221C"/>
    <w:rsid w:val="5C263CE4"/>
    <w:rsid w:val="5C5D2777"/>
    <w:rsid w:val="5CF66BF3"/>
    <w:rsid w:val="5D290C69"/>
    <w:rsid w:val="5EFF5914"/>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AB26EF"/>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DFD0C73"/>
    <w:rsid w:val="7F446A19"/>
    <w:rsid w:val="7F7452B9"/>
    <w:rsid w:val="7FF733D4"/>
    <w:rsid w:val="B62DD4FF"/>
    <w:rsid w:val="DB8F7E54"/>
    <w:rsid w:val="E59B9746"/>
    <w:rsid w:val="FFFF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4951</Words>
  <Characters>5745</Characters>
  <Lines>41</Lines>
  <Paragraphs>11</Paragraphs>
  <TotalTime>1281</TotalTime>
  <ScaleCrop>false</ScaleCrop>
  <LinksUpToDate>false</LinksUpToDate>
  <CharactersWithSpaces>5753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silence</cp:lastModifiedBy>
  <dcterms:modified xsi:type="dcterms:W3CDTF">2024-11-19T09:26:35Z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057E25DFF76946079E2211E656DD82AD_13</vt:lpwstr>
  </property>
</Properties>
</file>