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重庆市沙坪坝区虎溪街道社区事务服务中心</w:t>
      </w:r>
    </w:p>
    <w:p>
      <w:pPr>
        <w:pStyle w:val="9"/>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p>
    <w:p>
      <w:pPr>
        <w:pStyle w:val="9"/>
        <w:shd w:val="clear" w:color="auto" w:fill="FFFFFF"/>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pPr>
        <w:pStyle w:val="9"/>
        <w:shd w:val="clear" w:color="auto" w:fill="FFFFFF"/>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pPr>
        <w:pStyle w:val="9"/>
        <w:keepNext w:val="0"/>
        <w:keepLines w:val="0"/>
        <w:pageBreakBefore w:val="0"/>
        <w:widowControl/>
        <w:shd w:val="clear" w:color="auto" w:fill="FFFFFF"/>
        <w:kinsoku/>
        <w:wordWrap/>
        <w:overflowPunct/>
        <w:topLinePunct w:val="0"/>
        <w:autoSpaceDN/>
        <w:bidi w:val="0"/>
        <w:adjustRightInd/>
        <w:spacing w:beforeAutospacing="0" w:after="0" w:afterAutospacing="0" w:line="600" w:lineRule="exact"/>
        <w:ind w:left="0" w:firstLine="640" w:firstLineChars="200"/>
        <w:textAlignment w:val="auto"/>
        <w:outlineLvl w:val="9"/>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虎溪街道社区事务服务中心主要</w:t>
      </w:r>
      <w:r>
        <w:rPr>
          <w:rFonts w:hint="default" w:ascii="Times New Roman" w:hAnsi="Times New Roman" w:eastAsia="方正仿宋_GBK" w:cs="Times New Roman"/>
          <w:sz w:val="32"/>
          <w:szCs w:val="32"/>
          <w:lang w:val="en-US" w:eastAsia="zh-CN"/>
        </w:rPr>
        <w:t>承担社区的事务性、服务性工作；承担辖区社教工作；承担辖区市政公用、园林绿化、市容环卫等工作。承担农业、林业、水利等方面的事务性工作。</w:t>
      </w:r>
    </w:p>
    <w:p>
      <w:pPr>
        <w:pStyle w:val="9"/>
        <w:shd w:val="clear" w:color="auto" w:fill="FFFFFF"/>
        <w:spacing w:before="0" w:beforeAutospacing="0" w:after="0" w:afterAutospacing="0" w:line="596" w:lineRule="exact"/>
        <w:ind w:firstLine="643" w:firstLineChars="200"/>
        <w:rPr>
          <w:rFonts w:ascii="楷体" w:hAnsi="楷体" w:eastAsia="楷体" w:cs="楷体"/>
          <w:sz w:val="32"/>
          <w:szCs w:val="32"/>
        </w:rPr>
      </w:pPr>
      <w:r>
        <w:rPr>
          <w:rStyle w:val="11"/>
          <w:rFonts w:ascii="楷体" w:hAnsi="楷体" w:eastAsia="楷体" w:cs="楷体"/>
          <w:sz w:val="32"/>
          <w:szCs w:val="32"/>
          <w:shd w:val="clear" w:color="auto" w:fill="FFFFFF"/>
        </w:rPr>
        <w:t>（二）机构设置</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outlineLvl w:val="9"/>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虎溪街道社区事务服务中心</w:t>
      </w:r>
      <w:r>
        <w:rPr>
          <w:rFonts w:hint="eastAsia" w:ascii="Times New Roman" w:hAnsi="Times New Roman" w:eastAsia="仿宋_GB2312" w:cs="Times New Roman"/>
          <w:sz w:val="32"/>
          <w:szCs w:val="32"/>
          <w:lang w:val="en-US" w:eastAsia="zh-CN"/>
        </w:rPr>
        <w:t>是虎溪街道下属事业单位之一，</w:t>
      </w:r>
      <w:r>
        <w:rPr>
          <w:rFonts w:hint="default" w:ascii="Times New Roman" w:hAnsi="Times New Roman" w:eastAsia="方正仿宋_GBK" w:cs="Times New Roman"/>
          <w:sz w:val="32"/>
          <w:szCs w:val="32"/>
          <w:lang w:val="en-US" w:eastAsia="zh-CN"/>
        </w:rPr>
        <w:t>与虎溪街道办事处</w:t>
      </w:r>
      <w:r>
        <w:rPr>
          <w:rFonts w:hint="eastAsia" w:ascii="Times New Roman" w:hAnsi="Times New Roman" w:eastAsia="方正仿宋_GBK" w:cs="Times New Roman"/>
          <w:sz w:val="32"/>
          <w:szCs w:val="32"/>
          <w:lang w:val="en-US" w:eastAsia="zh-CN"/>
        </w:rPr>
        <w:t>合并</w:t>
      </w:r>
      <w:r>
        <w:rPr>
          <w:rFonts w:hint="default" w:ascii="Times New Roman" w:hAnsi="Times New Roman" w:eastAsia="方正仿宋_GBK" w:cs="Times New Roman"/>
          <w:sz w:val="32"/>
          <w:szCs w:val="32"/>
          <w:lang w:val="en-US" w:eastAsia="zh-CN"/>
        </w:rPr>
        <w:t>办公运行。</w:t>
      </w:r>
    </w:p>
    <w:p>
      <w:pPr>
        <w:pStyle w:val="9"/>
        <w:shd w:val="clear" w:color="auto" w:fill="FFFFFF"/>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二、单位决算收支情况说明</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221.09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收、支与2023年度相比，减少159.39万元，下降41.9%</w:t>
      </w:r>
      <w:r>
        <w:rPr>
          <w:rFonts w:ascii="方正仿宋_GBK" w:hAnsi="方正仿宋_GBK" w:eastAsia="方正仿宋_GBK" w:cs="方正仿宋_GBK"/>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p>
    <w:p>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1"/>
          <w:rFonts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221.09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与2023年度相比，减少159.39万元，下降41.9%</w:t>
      </w:r>
      <w:r>
        <w:rPr>
          <w:rFonts w:ascii="方正仿宋_GBK" w:hAnsi="方正仿宋_GBK" w:eastAsia="方正仿宋_GBK" w:cs="方正仿宋_GBK"/>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221.09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w:t>
      </w:r>
    </w:p>
    <w:p>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1"/>
          <w:rFonts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221.09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与2023年度相比，减少159.39万元，下降41.9%</w:t>
      </w:r>
      <w:r>
        <w:rPr>
          <w:rFonts w:ascii="方正仿宋_GBK" w:hAnsi="方正仿宋_GBK" w:eastAsia="方正仿宋_GBK" w:cs="方正仿宋_GBK"/>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209.49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11.6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w:t>
      </w:r>
      <w:r>
        <w:rPr>
          <w:rFonts w:hint="eastAsia" w:ascii="Times New Roman" w:hAnsi="Times New Roman" w:eastAsia="方正仿宋_GBK"/>
          <w:sz w:val="32"/>
          <w:szCs w:val="32"/>
          <w:shd w:val="clear" w:color="auto" w:fill="FFFFFF"/>
          <w:lang w:val="en-US" w:eastAsia="zh-CN"/>
        </w:rPr>
        <w:t>2</w:t>
      </w:r>
      <w:r>
        <w:rPr>
          <w:rFonts w:hint="default"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1"/>
          <w:rFonts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结转和结余，</w:t>
      </w:r>
      <w:r>
        <w:rPr>
          <w:rFonts w:hint="default" w:ascii="Times New Roman" w:hAnsi="Times New Roman" w:eastAsia="方正仿宋_GBK" w:cs="Times New Roman"/>
          <w:sz w:val="32"/>
          <w:szCs w:val="32"/>
          <w:shd w:val="clear" w:color="auto" w:fill="FFFFFF"/>
        </w:rPr>
        <w:t>与2023年度</w:t>
      </w:r>
      <w:r>
        <w:rPr>
          <w:rFonts w:hint="default" w:ascii="Times New Roman" w:hAnsi="Times New Roman" w:eastAsia="方正仿宋_GBK" w:cs="Times New Roman"/>
          <w:sz w:val="32"/>
          <w:szCs w:val="32"/>
          <w:shd w:val="clear" w:color="auto" w:fill="FFFFFF"/>
          <w:lang w:val="en-US" w:eastAsia="zh-CN"/>
        </w:rPr>
        <w:t>一致。</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221.09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财政拨款收、支总计各减少159.39万元，下降41.9%</w:t>
      </w:r>
      <w:r>
        <w:rPr>
          <w:rFonts w:ascii="方正仿宋_GBK" w:hAnsi="方正仿宋_GBK" w:eastAsia="方正仿宋_GBK" w:cs="方正仿宋_GBK"/>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221.09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与2023年度相比，减少159.39万元，下降41.9%</w:t>
      </w:r>
      <w:r>
        <w:rPr>
          <w:rFonts w:ascii="方正仿宋_GBK" w:hAnsi="方正仿宋_GBK" w:eastAsia="方正仿宋_GBK" w:cs="方正仿宋_GBK"/>
          <w:sz w:val="32"/>
          <w:szCs w:val="32"/>
          <w:shd w:val="clear" w:color="auto" w:fill="FFFFFF"/>
        </w:rPr>
        <w:t>。</w:t>
      </w:r>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r>
        <w:rPr>
          <w:rFonts w:hint="default" w:ascii="Times New Roman" w:hAnsi="Times New Roman" w:eastAsia="方正仿宋_GBK"/>
          <w:sz w:val="32"/>
          <w:szCs w:val="32"/>
          <w:shd w:val="clear" w:color="auto" w:fill="FFFFFF"/>
        </w:rPr>
        <w:t>较年初预算数增加75.07万元，增长51.4%</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主要原因是2024年年中追加相关工作经费。</w:t>
      </w:r>
      <w:r>
        <w:rPr>
          <w:rFonts w:ascii="方正仿宋_GBK" w:hAnsi="方正仿宋_GBK" w:eastAsia="方正仿宋_GBK" w:cs="方正仿宋_GBK"/>
          <w:sz w:val="32"/>
          <w:szCs w:val="32"/>
          <w:shd w:val="clear" w:color="auto" w:fill="FFFFFF"/>
        </w:rPr>
        <w:t>此外，年初</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财政拨款结转和结余。</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221.09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与2023年度相比，减少159.39万元，下降41.9%</w:t>
      </w:r>
      <w:r>
        <w:rPr>
          <w:rFonts w:ascii="方正仿宋_GBK" w:hAnsi="方正仿宋_GBK" w:eastAsia="方正仿宋_GBK" w:cs="方正仿宋_GBK"/>
          <w:sz w:val="32"/>
          <w:szCs w:val="32"/>
          <w:shd w:val="clear" w:color="auto" w:fill="FFFFFF"/>
        </w:rPr>
        <w:t>。</w:t>
      </w:r>
      <w:bookmarkStart w:id="0" w:name="_GoBack"/>
      <w:r>
        <w:rPr>
          <w:rFonts w:hint="default" w:ascii="Times New Roman" w:hAnsi="Times New Roman" w:eastAsia="仿宋_GB2312" w:cs="Times New Roman"/>
          <w:sz w:val="32"/>
          <w:szCs w:val="32"/>
          <w:lang w:val="en-US" w:eastAsia="zh-CN"/>
        </w:rPr>
        <w:t>主要原因是</w:t>
      </w:r>
      <w:r>
        <w:rPr>
          <w:rFonts w:hint="eastAsia" w:ascii="Times New Roman" w:hAnsi="Times New Roman" w:eastAsia="仿宋_GB2312" w:cs="Times New Roman"/>
          <w:sz w:val="32"/>
          <w:szCs w:val="32"/>
          <w:lang w:val="en-US" w:eastAsia="zh-CN"/>
        </w:rPr>
        <w:t>本单位严格落实过紧日子精神，压减一般性项目支出</w:t>
      </w:r>
      <w:r>
        <w:rPr>
          <w:rFonts w:hint="default" w:ascii="Times New Roman" w:hAnsi="Times New Roman" w:eastAsia="仿宋_GB2312" w:cs="Times New Roman"/>
          <w:sz w:val="32"/>
          <w:szCs w:val="32"/>
        </w:rPr>
        <w:t>。</w:t>
      </w:r>
      <w:bookmarkEnd w:id="0"/>
      <w:r>
        <w:rPr>
          <w:rFonts w:hint="default" w:ascii="Times New Roman" w:hAnsi="Times New Roman" w:eastAsia="方正仿宋_GBK"/>
          <w:sz w:val="32"/>
          <w:szCs w:val="32"/>
          <w:shd w:val="clear" w:color="auto" w:fill="FFFFFF"/>
        </w:rPr>
        <w:t>较年初预算数增加75.07万元，增长51.4%</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主要原因是2024年年中追加相关工作经费。</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）社会保障和就业支出198.37万元，占89.7%，较年初预算数增加63.85万元，增长47.5%，</w:t>
      </w:r>
      <w:r>
        <w:rPr>
          <w:rFonts w:hint="default" w:ascii="Times New Roman" w:hAnsi="Times New Roman" w:eastAsia="方正仿宋_GBK" w:cs="Times New Roman"/>
          <w:sz w:val="32"/>
          <w:szCs w:val="32"/>
          <w:shd w:val="clear" w:color="auto" w:fill="FFFFFF"/>
          <w:lang w:eastAsia="zh-CN"/>
        </w:rPr>
        <w:t>主要原因是2024年年中追加相关工作经费。</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）卫生健康支出5.93万元，占2.</w:t>
      </w:r>
      <w:r>
        <w:rPr>
          <w:rFonts w:hint="eastAsia"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%，较年初预算数减少0.14万元，下降2.3%，主要原因是</w:t>
      </w:r>
      <w:r>
        <w:rPr>
          <w:rFonts w:hint="default" w:ascii="Times New Roman" w:hAnsi="Times New Roman" w:eastAsia="方正仿宋_GBK" w:cs="Times New Roman"/>
          <w:sz w:val="32"/>
          <w:szCs w:val="32"/>
          <w:shd w:val="clear" w:color="auto" w:fill="FFFFFF"/>
          <w:lang w:val="en-US" w:eastAsia="zh-CN"/>
        </w:rPr>
        <w:t>减人减资。</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）农林水支出11.6万元，占5.3%，较年初预算数增加11.6万元，增长100%，主要原因是</w:t>
      </w:r>
      <w:r>
        <w:rPr>
          <w:rFonts w:hint="default" w:ascii="Times New Roman" w:hAnsi="Times New Roman" w:eastAsia="方正仿宋_GBK" w:cs="Times New Roman"/>
          <w:sz w:val="32"/>
          <w:szCs w:val="32"/>
          <w:shd w:val="clear" w:color="auto" w:fill="FFFFFF"/>
          <w:lang w:val="en-US" w:eastAsia="zh-CN"/>
        </w:rPr>
        <w:t>2024年年中追加粮食安全生产</w:t>
      </w:r>
      <w:r>
        <w:rPr>
          <w:rFonts w:hint="eastAsia" w:ascii="Times New Roman" w:hAnsi="Times New Roman" w:eastAsia="方正仿宋_GBK" w:cs="Times New Roman"/>
          <w:sz w:val="32"/>
          <w:szCs w:val="32"/>
          <w:shd w:val="clear" w:color="auto" w:fill="FFFFFF"/>
          <w:lang w:val="en-US" w:eastAsia="zh-CN"/>
        </w:rPr>
        <w:t>经费合计</w:t>
      </w:r>
      <w:r>
        <w:rPr>
          <w:rFonts w:hint="default" w:ascii="Times New Roman" w:hAnsi="Times New Roman" w:eastAsia="方正仿宋_GBK" w:cs="Times New Roman"/>
          <w:sz w:val="32"/>
          <w:szCs w:val="32"/>
          <w:shd w:val="clear" w:color="auto" w:fill="FFFFFF"/>
          <w:lang w:val="en-US" w:eastAsia="zh-CN"/>
        </w:rPr>
        <w:t>11.6万元。</w:t>
      </w:r>
    </w:p>
    <w:p>
      <w:pPr>
        <w:spacing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5.19万元，占2.4%，较年初预算数减少0.24万元，下降4.4%，主要原因是</w:t>
      </w:r>
      <w:r>
        <w:rPr>
          <w:rFonts w:hint="default" w:ascii="Times New Roman" w:hAnsi="Times New Roman" w:eastAsia="方正仿宋_GBK" w:cs="Times New Roman"/>
          <w:sz w:val="32"/>
          <w:szCs w:val="32"/>
          <w:shd w:val="clear" w:color="auto" w:fill="FFFFFF"/>
          <w:lang w:val="en-US" w:eastAsia="zh-CN"/>
        </w:rPr>
        <w:t>减人减资。</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结转和结余，</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209.49</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182.02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与2023年度相比，增加8.79万元，增长5.1%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按规定调整人员</w:t>
      </w:r>
      <w:r>
        <w:rPr>
          <w:rFonts w:hint="eastAsia" w:ascii="Times New Roman" w:hAnsi="Times New Roman" w:eastAsia="方正仿宋_GBK" w:cs="Times New Roman"/>
          <w:sz w:val="32"/>
          <w:szCs w:val="32"/>
          <w:shd w:val="clear" w:color="auto" w:fill="FFFFFF"/>
          <w:lang w:val="en-US" w:eastAsia="zh-CN"/>
        </w:rPr>
        <w:t>薪资待遇</w:t>
      </w:r>
      <w:r>
        <w:rPr>
          <w:rFonts w:hint="default" w:ascii="Times New Roman" w:hAnsi="Times New Roman" w:eastAsia="方正仿宋_GBK" w:cs="Times New Roman"/>
          <w:sz w:val="32"/>
          <w:szCs w:val="32"/>
          <w:shd w:val="clear" w:color="auto" w:fill="FFFFFF"/>
          <w:lang w:val="en-US" w:eastAsia="zh-CN"/>
        </w:rPr>
        <w:t>。人</w:t>
      </w:r>
      <w:r>
        <w:rPr>
          <w:rFonts w:hint="default" w:ascii="Times New Roman" w:hAnsi="Times New Roman" w:eastAsia="方正仿宋_GBK" w:cs="Times New Roman"/>
          <w:sz w:val="32"/>
          <w:szCs w:val="32"/>
          <w:shd w:val="clear" w:color="auto" w:fill="FFFFFF"/>
        </w:rPr>
        <w:t>员经费用途主要包括</w:t>
      </w:r>
      <w:r>
        <w:rPr>
          <w:rFonts w:hint="default" w:ascii="Times New Roman" w:hAnsi="Times New Roman" w:eastAsia="方正仿宋_GBK" w:cs="Times New Roman"/>
          <w:sz w:val="32"/>
          <w:szCs w:val="32"/>
          <w:shd w:val="clear" w:color="auto" w:fill="FFFFFF"/>
          <w:lang w:val="en-US" w:eastAsia="zh-CN"/>
        </w:rPr>
        <w:t>工资、保险、公积金等</w:t>
      </w:r>
      <w:r>
        <w:rPr>
          <w:rFonts w:hint="default" w:ascii="Times New Roman" w:hAnsi="Times New Roman" w:eastAsia="方正仿宋_GBK" w:cs="Times New Roman"/>
          <w:sz w:val="32"/>
          <w:szCs w:val="32"/>
          <w:shd w:val="clear" w:color="auto" w:fill="FFFFFF"/>
        </w:rPr>
        <w:t>。</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27.47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与2023年度相比，减少1.44万元，下降5%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本单位与机关本级合并办公，办公经费统筹使用</w:t>
      </w:r>
      <w:r>
        <w:rPr>
          <w:rFonts w:hint="default" w:ascii="Times New Roman" w:hAnsi="Times New Roman" w:eastAsia="方正仿宋_GBK" w:cs="Times New Roman"/>
          <w:sz w:val="32"/>
          <w:szCs w:val="32"/>
          <w:shd w:val="clear" w:color="auto" w:fill="FFFFFF"/>
          <w:lang w:val="en-US" w:eastAsia="zh-CN"/>
        </w:rPr>
        <w:t>。公</w:t>
      </w:r>
      <w:r>
        <w:rPr>
          <w:rFonts w:hint="default" w:ascii="Times New Roman" w:hAnsi="Times New Roman" w:eastAsia="方正仿宋_GBK" w:cs="Times New Roman"/>
          <w:sz w:val="32"/>
          <w:szCs w:val="32"/>
          <w:shd w:val="clear" w:color="auto" w:fill="FFFFFF"/>
        </w:rPr>
        <w:t>用经费用途主要包括</w:t>
      </w:r>
      <w:r>
        <w:rPr>
          <w:rFonts w:hint="eastAsia" w:ascii="Times New Roman" w:hAnsi="Times New Roman" w:eastAsia="方正仿宋_GBK" w:cs="Times New Roman"/>
          <w:sz w:val="32"/>
          <w:szCs w:val="32"/>
          <w:shd w:val="clear" w:color="auto" w:fill="FFFFFF"/>
          <w:lang w:val="en-US" w:eastAsia="zh-CN"/>
        </w:rPr>
        <w:t>办公费、水费、电费、邮电费、物业管理费等。</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pPr>
        <w:pStyle w:val="9"/>
        <w:shd w:val="clear" w:color="auto" w:fill="FFFFFF"/>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较年初预算数减少2.59万元，下降51.8%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本单位厉行节约，</w:t>
      </w:r>
      <w:r>
        <w:rPr>
          <w:rFonts w:hint="eastAsia" w:ascii="Times New Roman" w:hAnsi="Times New Roman" w:eastAsia="方正仿宋_GBK" w:cs="Times New Roman"/>
          <w:sz w:val="32"/>
          <w:szCs w:val="32"/>
          <w:shd w:val="clear" w:color="auto" w:fill="FFFFFF"/>
          <w:lang w:val="en-US" w:eastAsia="zh-CN"/>
        </w:rPr>
        <w:t>严控公务车运行维护费支出</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sz w:val="32"/>
          <w:szCs w:val="32"/>
          <w:shd w:val="clear" w:color="auto" w:fill="FFFFFF"/>
        </w:rPr>
        <w:t>较上年支出数减少2.11万元，下降46.7%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2023年虎溪街道办事处（本级）的3辆公务车使用了本单位部分公务车运行维护费，而2024年未使用。</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2.41</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sz w:val="32"/>
          <w:szCs w:val="32"/>
          <w:shd w:val="clear" w:color="auto" w:fill="FFFFFF"/>
          <w:lang w:val="en-US" w:eastAsia="zh-CN"/>
        </w:rPr>
        <w:t>公务车</w:t>
      </w:r>
      <w:r>
        <w:rPr>
          <w:rFonts w:hint="default" w:ascii="Times New Roman" w:hAnsi="Times New Roman" w:eastAsia="方正仿宋_GBK" w:cs="Times New Roman"/>
          <w:sz w:val="32"/>
          <w:szCs w:val="32"/>
          <w:shd w:val="clear" w:color="auto" w:fill="FFFFFF"/>
        </w:rPr>
        <w:t>维修保养</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加油费、洗停车费等。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较年初预算数减少2.59万元，下降51.8%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本单位厉行节约，</w:t>
      </w:r>
      <w:r>
        <w:rPr>
          <w:rFonts w:hint="eastAsia" w:ascii="Times New Roman" w:hAnsi="Times New Roman" w:eastAsia="方正仿宋_GBK" w:cs="Times New Roman"/>
          <w:sz w:val="32"/>
          <w:szCs w:val="32"/>
          <w:shd w:val="clear" w:color="auto" w:fill="FFFFFF"/>
          <w:lang w:val="en-US" w:eastAsia="zh-CN"/>
        </w:rPr>
        <w:t>严控公务车运行维护支出</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sz w:val="32"/>
          <w:szCs w:val="32"/>
          <w:shd w:val="clear" w:color="auto" w:fill="FFFFFF"/>
        </w:rPr>
        <w:t>较上年支出数减少2.11万元，下降46.7%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本单位厉行节约，</w:t>
      </w:r>
      <w:r>
        <w:rPr>
          <w:rFonts w:hint="eastAsia" w:ascii="Times New Roman" w:hAnsi="Times New Roman" w:eastAsia="方正仿宋_GBK" w:cs="Times New Roman"/>
          <w:sz w:val="32"/>
          <w:szCs w:val="32"/>
          <w:shd w:val="clear" w:color="auto" w:fill="FFFFFF"/>
          <w:lang w:val="en-US" w:eastAsia="zh-CN"/>
        </w:rPr>
        <w:t>严控公务车运行维护支出</w:t>
      </w:r>
      <w:r>
        <w:rPr>
          <w:rFonts w:hint="eastAsia" w:ascii="Times New Roman" w:hAnsi="Times New Roman" w:eastAsia="方正仿宋_GBK"/>
          <w:sz w:val="32"/>
          <w:szCs w:val="32"/>
          <w:shd w:val="clear" w:color="auto" w:fill="FFFFFF"/>
          <w:lang w:val="en-US"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2024年度本单位因公出国（境）共计0个团组，0人；公务用车购置0辆，公务车保有量为1辆；国内公务接待0批次0人，其中：国内外事接待0批次，0人；国（境）外公务接待0批次，0人。2024年本单位人均接待费0元，车均购置费0万元，车均维护费2.41万元。</w:t>
      </w:r>
    </w:p>
    <w:p>
      <w:pPr>
        <w:pStyle w:val="9"/>
        <w:shd w:val="clear" w:color="auto" w:fill="FFFFFF"/>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shd w:val="clear" w:color="auto" w:fill="FFFFFF"/>
        <w:spacing w:before="0" w:beforeAutospacing="0" w:after="0" w:afterAutospacing="0" w:line="596" w:lineRule="exact"/>
        <w:ind w:firstLine="643" w:firstLineChars="200"/>
        <w:jc w:val="both"/>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会议费支出</w:t>
      </w:r>
      <w:r>
        <w:rPr>
          <w:rFonts w:hint="default" w:ascii="Times New Roman" w:hAnsi="Times New Roman" w:eastAsia="方正仿宋_GBK" w:cs="Times New Roman"/>
          <w:sz w:val="32"/>
          <w:szCs w:val="32"/>
          <w:shd w:val="clear" w:color="auto" w:fill="FFFFFF"/>
        </w:rPr>
        <w:t>，较上年决算数无增减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与2023年度相比，减少0.01万元，下降4%</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2024年本单位减少线下培训相关费用支出</w:t>
      </w:r>
      <w:r>
        <w:rPr>
          <w:rFonts w:hint="default" w:ascii="Times New Roman" w:hAnsi="Times New Roman" w:eastAsia="方正仿宋_GBK" w:cs="Times New Roman"/>
          <w:sz w:val="32"/>
          <w:szCs w:val="32"/>
          <w:shd w:val="clear" w:color="auto" w:fill="FFFFFF"/>
        </w:rPr>
        <w:t>。</w:t>
      </w:r>
      <w:r>
        <w:rPr>
          <w:rFonts w:ascii="方正仿宋_GBK" w:hAnsi="方正仿宋_GBK" w:eastAsia="方正仿宋_GBK" w:cs="方正仿宋_GBK"/>
          <w:sz w:val="32"/>
          <w:szCs w:val="32"/>
          <w:shd w:val="clear" w:color="auto" w:fill="FFFFFF"/>
        </w:rPr>
        <w:t>本年度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差旅费支出</w:t>
      </w:r>
      <w:r>
        <w:rPr>
          <w:rFonts w:ascii="方正仿宋_GBK" w:hAnsi="方正仿宋_GBK" w:eastAsia="方正仿宋_GBK" w:cs="方正仿宋_GBK"/>
          <w:sz w:val="32"/>
          <w:szCs w:val="32"/>
        </w:rPr>
        <w:t>，</w:t>
      </w:r>
      <w:r>
        <w:rPr>
          <w:rFonts w:hint="default" w:ascii="Times New Roman" w:hAnsi="Times New Roman" w:eastAsia="方正仿宋_GBK"/>
          <w:sz w:val="32"/>
          <w:szCs w:val="32"/>
          <w:shd w:val="clear" w:color="auto" w:fill="FFFFFF"/>
        </w:rPr>
        <w:t>与2023年度相比，减少2.23万元，下降100%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2024年本单位严控差旅费支出</w:t>
      </w:r>
      <w:r>
        <w:rPr>
          <w:rFonts w:hint="default" w:ascii="Times New Roman" w:hAnsi="Times New Roman" w:eastAsia="方正仿宋_GBK" w:cs="Times New Roman"/>
          <w:sz w:val="32"/>
          <w:szCs w:val="32"/>
          <w:shd w:val="clear" w:color="auto" w:fill="FFFFFF"/>
        </w:rPr>
        <w:t>。</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按照部门决算列报口径，我单位不在机关运行经费统计范围之内。</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w:t>
      </w:r>
      <w:r>
        <w:rPr>
          <w:rFonts w:hint="default" w:ascii="Times New Roman" w:hAnsi="Times New Roman" w:eastAsia="方正仿宋_GBK" w:cs="Times New Roman"/>
          <w:sz w:val="32"/>
          <w:szCs w:val="32"/>
          <w:shd w:val="clear" w:color="auto" w:fill="FFFFFF"/>
        </w:rPr>
        <w:t>车</w:t>
      </w:r>
      <w:r>
        <w:rPr>
          <w:rFonts w:hint="default" w:ascii="Times New Roman" w:hAnsi="Times New Roman" w:eastAsia="方正仿宋_GBK" w:cs="Times New Roman"/>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autoSpaceDE w:val="0"/>
        <w:spacing w:line="596" w:lineRule="exact"/>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default" w:ascii="Times New Roman" w:hAnsi="Times New Roman" w:eastAsia="方正仿宋_GBK"/>
          <w:sz w:val="32"/>
          <w:szCs w:val="32"/>
          <w:shd w:val="clear" w:color="auto" w:fill="FFFFFF"/>
        </w:rPr>
        <w:t>2024年度我单位未发生政府采购事项，无相关经费支出。</w:t>
      </w:r>
    </w:p>
    <w:p>
      <w:pPr>
        <w:pStyle w:val="15"/>
        <w:spacing w:before="0" w:beforeAutospacing="0" w:after="0" w:afterAutospacing="0" w:line="596" w:lineRule="exact"/>
        <w:ind w:firstLine="643" w:firstLineChars="200"/>
        <w:rPr>
          <w:rStyle w:val="11"/>
          <w:rFonts w:hint="eastAsia"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pPr>
        <w:pStyle w:val="15"/>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根据预算绩效管理要求，</w:t>
      </w:r>
      <w:r>
        <w:rPr>
          <w:rFonts w:hint="eastAsia" w:ascii="Times New Roman" w:hAnsi="Times New Roman" w:eastAsia="方正仿宋_GBK" w:cs="Times New Roman"/>
          <w:sz w:val="32"/>
          <w:szCs w:val="32"/>
          <w:shd w:val="clear" w:color="auto" w:fill="FFFFFF"/>
          <w:lang w:val="en-US" w:eastAsia="zh-CN" w:bidi="ar-SA"/>
        </w:rPr>
        <w:t>我单位对1个二级项目开展了绩效自评，涉及财政拨款项目支出资金11.6万元。</w:t>
      </w:r>
    </w:p>
    <w:p>
      <w:pPr>
        <w:pStyle w:val="15"/>
        <w:spacing w:before="0" w:beforeAutospacing="0" w:after="0" w:afterAutospacing="0" w:line="596" w:lineRule="exact"/>
        <w:ind w:firstLine="640" w:firstLineChars="200"/>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项目支出绩效自评表：见附件</w:t>
      </w:r>
    </w:p>
    <w:p>
      <w:pPr>
        <w:pStyle w:val="15"/>
        <w:autoSpaceDE w:val="0"/>
        <w:spacing w:before="0" w:beforeAutospacing="0" w:after="0" w:afterAutospacing="0" w:line="596" w:lineRule="exact"/>
        <w:ind w:firstLine="643" w:firstLineChars="200"/>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pPr>
        <w:pStyle w:val="19"/>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我</w:t>
      </w:r>
      <w:r>
        <w:rPr>
          <w:rFonts w:eastAsia="方正仿宋_GBK"/>
          <w:bCs/>
          <w:sz w:val="32"/>
          <w:szCs w:val="32"/>
        </w:rPr>
        <w:t>单位</w:t>
      </w:r>
      <w:r>
        <w:rPr>
          <w:rFonts w:hint="default" w:ascii="Times New Roman" w:hAnsi="Times New Roman" w:eastAsia="方正仿宋_GBK"/>
          <w:bCs/>
          <w:sz w:val="32"/>
          <w:szCs w:val="32"/>
        </w:rPr>
        <w:t>未组织开展绩效评价。</w:t>
      </w:r>
    </w:p>
    <w:p>
      <w:pPr>
        <w:pStyle w:val="19"/>
        <w:autoSpaceDE w:val="0"/>
        <w:spacing w:line="596" w:lineRule="exact"/>
        <w:ind w:firstLine="643"/>
        <w:rPr>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9"/>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default" w:ascii="Times New Roman" w:hAnsi="Times New Roman" w:eastAsia="方正仿宋_GBK"/>
          <w:bCs/>
          <w:sz w:val="32"/>
          <w:szCs w:val="32"/>
        </w:rPr>
        <w:t>区财政局未委托第三方对我</w:t>
      </w:r>
      <w:r>
        <w:rPr>
          <w:rFonts w:eastAsia="方正仿宋_GBK"/>
          <w:bCs/>
          <w:sz w:val="32"/>
          <w:szCs w:val="32"/>
        </w:rPr>
        <w:t>单位</w:t>
      </w:r>
      <w:r>
        <w:rPr>
          <w:rFonts w:hint="default" w:ascii="Times New Roman" w:hAnsi="Times New Roman" w:eastAsia="方正仿宋_GBK"/>
          <w:bCs/>
          <w:sz w:val="32"/>
          <w:szCs w:val="32"/>
        </w:rPr>
        <w:t>开展绩效评价。</w:t>
      </w:r>
    </w:p>
    <w:p>
      <w:pPr>
        <w:pStyle w:val="15"/>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5"/>
        <w:spacing w:before="0" w:beforeAutospacing="0" w:after="0" w:afterAutospacing="0" w:line="596" w:lineRule="exact"/>
        <w:ind w:firstLine="640" w:firstLineChars="200"/>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石文静</w:t>
      </w:r>
      <w:r>
        <w:rPr>
          <w:rFonts w:hint="default" w:ascii="Times New Roman" w:hAnsi="Times New Roman" w:eastAsia="方正仿宋_GBK" w:cs="Times New Roman"/>
          <w:sz w:val="32"/>
          <w:szCs w:val="32"/>
          <w:shd w:val="clear" w:color="auto" w:fill="FFFFFF"/>
        </w:rPr>
        <w:t xml:space="preserve">   023-</w:t>
      </w:r>
      <w:r>
        <w:rPr>
          <w:rFonts w:hint="default" w:ascii="Times New Roman" w:hAnsi="Times New Roman" w:eastAsia="方正仿宋_GBK" w:cs="Times New Roman"/>
          <w:sz w:val="32"/>
          <w:szCs w:val="32"/>
          <w:shd w:val="clear" w:color="auto" w:fill="FFFFFF"/>
          <w:lang w:val="en-US" w:eastAsia="zh-CN"/>
        </w:rPr>
        <w:t>61691710</w:t>
      </w:r>
    </w:p>
    <w:p>
      <w:pPr>
        <w:pStyle w:val="14"/>
        <w:autoSpaceDE w:val="0"/>
        <w:spacing w:line="596" w:lineRule="exact"/>
        <w:ind w:firstLine="643"/>
        <w:jc w:val="both"/>
        <w:rPr>
          <w:rStyle w:val="11"/>
          <w:rFonts w:hint="eastAsia"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u w:color="auto"/>
              </w:rPr>
              <w:t>重庆市沙坪坝区虎溪街道社区事务服务中心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221.09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198.37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221.09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221.09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221.09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221.09</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cs="宋体"/>
                <w:color w:val="000000"/>
                <w:sz w:val="20"/>
                <w:szCs w:val="20"/>
              </w:rPr>
            </w:pPr>
            <w:r>
              <w:rPr>
                <w:rFonts w:cs="宋体"/>
                <w:sz w:val="20"/>
                <w:szCs w:val="20"/>
              </w:rPr>
              <w:t>单位：</w:t>
            </w:r>
            <w:r>
              <w:rPr>
                <w:sz w:val="20"/>
                <w:u w:color="auto"/>
              </w:rPr>
              <w:t>重庆市沙坪坝区虎溪街道社区事务服务中心</w:t>
            </w:r>
          </w:p>
        </w:tc>
        <w:tc>
          <w:tcPr>
            <w:tcW w:w="1448"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448"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460"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293"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349"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33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2918"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221.09</w:t>
            </w:r>
            <w:r>
              <w:rPr>
                <w:rFonts w:ascii="Times New Roman" w:hAnsi="Times New Roman"/>
                <w:b/>
                <w:color w:val="000000"/>
                <w:sz w:val="20"/>
                <w:u w:color="auto"/>
              </w:rPr>
              <w:t xml:space="preserve"> </w:t>
            </w:r>
          </w:p>
        </w:tc>
        <w:tc>
          <w:tcPr>
            <w:tcW w:w="14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221.09</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198.37</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156.07</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156.07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2080208</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基层政权建设和社区治理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156.07</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42.30</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26.37</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农业农村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2130153</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耕地建设与利用</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w:t>
            </w:r>
            <w:r>
              <w:rPr>
                <w:rFonts w:ascii="Times New Roman" w:hAnsi="Times New Roman"/>
                <w:b/>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w:t>
            </w:r>
            <w:r>
              <w:rPr>
                <w:rFonts w:ascii="Times New Roman" w:hAnsi="Times New Roman"/>
                <w:color w:val="000000"/>
                <w:sz w:val="20"/>
                <w:u w:color="auto"/>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tcMar>
              <w:top w:w="15" w:type="dxa"/>
              <w:left w:w="15" w:type="dxa"/>
              <w:right w:w="15" w:type="dxa"/>
            </w:tcMar>
            <w:vAlign w:val="bottom"/>
          </w:tcPr>
          <w:p>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重庆市沙坪坝区虎溪街道社区事务服务中心 </w:t>
            </w:r>
          </w:p>
        </w:tc>
        <w:tc>
          <w:tcPr>
            <w:tcW w:w="1762"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62"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62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604"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221.09</w:t>
            </w:r>
            <w:r>
              <w:rPr>
                <w:rFonts w:ascii="Times New Roman" w:hAnsi="Times New Roman"/>
                <w:b/>
                <w:color w:val="000000"/>
                <w:sz w:val="20"/>
                <w:u w:color="auto"/>
              </w:rPr>
              <w:t xml:space="preserve"> </w:t>
            </w:r>
          </w:p>
        </w:tc>
        <w:tc>
          <w:tcPr>
            <w:tcW w:w="176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209.49</w:t>
            </w:r>
            <w:r>
              <w:rPr>
                <w:rFonts w:ascii="Times New Roman" w:hAnsi="Times New Roman"/>
                <w:b/>
                <w:color w:val="000000"/>
                <w:sz w:val="20"/>
                <w:u w:color="auto"/>
              </w:rPr>
              <w:t xml:space="preserve"> </w:t>
            </w:r>
          </w:p>
        </w:tc>
        <w:tc>
          <w:tcPr>
            <w:tcW w:w="162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198.37</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198.37</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156.07</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156.07</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2080208</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基层政权建设和社区治理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156.07</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156.07</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42.30</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42.30</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10.62</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26.37</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26.37</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农业农村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2130153</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耕地建设与利用</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w:t>
            </w:r>
            <w:r>
              <w:rPr>
                <w:rFonts w:ascii="Times New Roman" w:hAnsi="Times New Roman"/>
                <w:b/>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5.19</w:t>
            </w:r>
            <w:r>
              <w:rPr>
                <w:rFonts w:ascii="Times New Roman" w:hAnsi="Times New Roman"/>
                <w:b/>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w:t>
            </w:r>
            <w:r>
              <w:rPr>
                <w:rFonts w:ascii="Times New Roman" w:hAnsi="Times New Roman"/>
                <w:color w:val="000000"/>
                <w:sz w:val="20"/>
                <w:u w:color="auto"/>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5.19</w:t>
            </w:r>
            <w:r>
              <w:rPr>
                <w:rFonts w:ascii="Times New Roman" w:hAnsi="Times New Roman"/>
                <w:color w:val="000000"/>
                <w:sz w:val="20"/>
                <w:u w:color="auto"/>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重庆市沙坪坝区虎溪街道社区事务服务中心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221.09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198.37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221.09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221.09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221.09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重庆市沙坪坝区虎溪街道社区事务服务中心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334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221.09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209.49</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198.37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198.37</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156.07</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156.07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156.07</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42.30</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10.62</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5.31</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26.37</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5.93</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3.72</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2.21</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2130153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耕地建设与利用</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5.19</w:t>
            </w:r>
            <w:r>
              <w:rPr>
                <w:rFonts w:ascii="Times New Roman" w:hAnsi="Times New Roman"/>
                <w:b/>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5.19</w:t>
            </w:r>
            <w:r>
              <w:rPr>
                <w:rFonts w:ascii="Times New Roman" w:hAnsi="Times New Roman"/>
                <w:color w:val="000000"/>
                <w:sz w:val="20"/>
                <w:u w:color="auto"/>
              </w:rPr>
              <w:t xml:space="preserve"> </w:t>
            </w:r>
          </w:p>
        </w:tc>
        <w:tc>
          <w:tcPr>
            <w:tcW w:w="33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重庆市沙坪坝区虎溪街道社区事务服务中心</w:t>
            </w: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155.65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24.97</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182.02</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27.47</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重庆市沙坪坝区虎溪街道社区事务服务中心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重庆市沙坪坝区虎溪街道社区事务服务中心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2"/>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tcMar>
              <w:top w:w="15" w:type="dxa"/>
              <w:left w:w="15" w:type="dxa"/>
              <w:right w:w="15" w:type="dxa"/>
            </w:tcMar>
            <w:vAlign w:val="bottom"/>
          </w:tcPr>
          <w:p>
            <w:pPr>
              <w:spacing w:line="280" w:lineRule="exact"/>
              <w:rPr>
                <w:rFonts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cs="宋体"/>
                <w:color w:val="000000"/>
                <w:kern w:val="2"/>
                <w:sz w:val="20"/>
                <w:szCs w:val="20"/>
              </w:rPr>
            </w:pPr>
          </w:p>
        </w:tc>
        <w:tc>
          <w:tcPr>
            <w:tcW w:w="2374" w:type="dxa"/>
            <w:shd w:val="clear" w:color="auto" w:fill="auto"/>
            <w:tcMar>
              <w:top w:w="15" w:type="dxa"/>
              <w:left w:w="15" w:type="dxa"/>
              <w:right w:w="15" w:type="dxa"/>
            </w:tcMar>
            <w:vAlign w:val="bottom"/>
          </w:tcPr>
          <w:p>
            <w:pPr>
              <w:spacing w:line="280" w:lineRule="exact"/>
              <w:jc w:val="right"/>
              <w:rPr>
                <w:rFonts w:cs="宋体"/>
                <w:color w:val="000000"/>
                <w:kern w:val="2"/>
                <w:sz w:val="20"/>
                <w:szCs w:val="20"/>
              </w:rPr>
            </w:pPr>
          </w:p>
        </w:tc>
        <w:tc>
          <w:tcPr>
            <w:tcW w:w="3671" w:type="dxa"/>
            <w:shd w:val="clear" w:color="auto" w:fill="auto"/>
            <w:tcMar>
              <w:top w:w="15" w:type="dxa"/>
              <w:left w:w="15" w:type="dxa"/>
              <w:right w:w="15" w:type="dxa"/>
            </w:tcMar>
            <w:vAlign w:val="bottom"/>
          </w:tcPr>
          <w:p>
            <w:pPr>
              <w:spacing w:line="280" w:lineRule="exact"/>
              <w:rPr>
                <w:rFonts w:cs="宋体"/>
                <w:color w:val="000000"/>
                <w:kern w:val="2"/>
                <w:sz w:val="20"/>
                <w:szCs w:val="20"/>
              </w:rPr>
            </w:pPr>
          </w:p>
        </w:tc>
        <w:tc>
          <w:tcPr>
            <w:tcW w:w="2493" w:type="dxa"/>
            <w:shd w:val="clear" w:color="auto" w:fill="auto"/>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重庆市沙坪坝区虎溪街道社区事务服务中心</w:t>
            </w:r>
          </w:p>
        </w:tc>
        <w:tc>
          <w:tcPr>
            <w:tcW w:w="23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cs="宋体"/>
                <w:color w:val="000000"/>
                <w:kern w:val="2"/>
                <w:sz w:val="20"/>
                <w:szCs w:val="20"/>
              </w:rPr>
            </w:pPr>
          </w:p>
        </w:tc>
        <w:tc>
          <w:tcPr>
            <w:tcW w:w="3671"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cs="宋体"/>
                <w:color w:val="000000"/>
                <w:kern w:val="2"/>
                <w:sz w:val="20"/>
                <w:szCs w:val="20"/>
              </w:rPr>
            </w:pPr>
          </w:p>
        </w:tc>
        <w:tc>
          <w:tcPr>
            <w:tcW w:w="2493"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2.41</w:t>
            </w: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2.41</w:t>
            </w: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2.41</w:t>
            </w: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2.41</w:t>
            </w: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2.41</w:t>
            </w: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2.41</w:t>
            </w: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cs="宋体"/>
                <w:color w:val="000000"/>
                <w:sz w:val="16"/>
                <w:szCs w:val="16"/>
              </w:rPr>
            </w:pPr>
          </w:p>
        </w:tc>
      </w:tr>
    </w:tbl>
    <w:p>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4ptZc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y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4ptZcVAgAAFQQAAA4AAAAAAAAA&#10;AQAgAAAAHwEAAGRycy9lMm9Eb2MueG1sUEsFBgAAAAAGAAYAWQEAAKY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default"/>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824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824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37B2B"/>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6E2B84"/>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9C163B5"/>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1CD689D"/>
    <w:rsid w:val="22403BD3"/>
    <w:rsid w:val="22AD3177"/>
    <w:rsid w:val="235417B6"/>
    <w:rsid w:val="24B92327"/>
    <w:rsid w:val="24C14514"/>
    <w:rsid w:val="2533755C"/>
    <w:rsid w:val="255907D9"/>
    <w:rsid w:val="25791755"/>
    <w:rsid w:val="26396DF4"/>
    <w:rsid w:val="27167136"/>
    <w:rsid w:val="271B442C"/>
    <w:rsid w:val="27B23302"/>
    <w:rsid w:val="29310A5F"/>
    <w:rsid w:val="29431D9B"/>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0A26329"/>
    <w:rsid w:val="312D4CD1"/>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A41C32"/>
    <w:rsid w:val="38BE4696"/>
    <w:rsid w:val="38E56D82"/>
    <w:rsid w:val="3939115E"/>
    <w:rsid w:val="39B82A39"/>
    <w:rsid w:val="39BB14E1"/>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310B83"/>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2935A1"/>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5C4D01"/>
    <w:rsid w:val="50F06B6E"/>
    <w:rsid w:val="51064DCD"/>
    <w:rsid w:val="51C91023"/>
    <w:rsid w:val="51D21804"/>
    <w:rsid w:val="52234D33"/>
    <w:rsid w:val="522F6E0C"/>
    <w:rsid w:val="52463BA1"/>
    <w:rsid w:val="52F163D4"/>
    <w:rsid w:val="52FF7DEC"/>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85B77A4"/>
    <w:rsid w:val="5A3B59D6"/>
    <w:rsid w:val="5A8F5F29"/>
    <w:rsid w:val="5AD134D8"/>
    <w:rsid w:val="5BF41F67"/>
    <w:rsid w:val="5C263CE4"/>
    <w:rsid w:val="5C5D2777"/>
    <w:rsid w:val="5CED61D0"/>
    <w:rsid w:val="5CF66BF3"/>
    <w:rsid w:val="5D290C69"/>
    <w:rsid w:val="5D81321F"/>
    <w:rsid w:val="5DA80C2C"/>
    <w:rsid w:val="5F2D4A41"/>
    <w:rsid w:val="60963DA9"/>
    <w:rsid w:val="60C74F6C"/>
    <w:rsid w:val="61015958"/>
    <w:rsid w:val="61025A59"/>
    <w:rsid w:val="613D5BBC"/>
    <w:rsid w:val="61536C39"/>
    <w:rsid w:val="61A26104"/>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9EB3512"/>
    <w:rsid w:val="6A6C7940"/>
    <w:rsid w:val="6A867875"/>
    <w:rsid w:val="6A9F1565"/>
    <w:rsid w:val="6AAD2300"/>
    <w:rsid w:val="6B474EF5"/>
    <w:rsid w:val="6BC938E5"/>
    <w:rsid w:val="6C0A5AC5"/>
    <w:rsid w:val="6C560CAE"/>
    <w:rsid w:val="6C576495"/>
    <w:rsid w:val="6CED05B4"/>
    <w:rsid w:val="6D3B083C"/>
    <w:rsid w:val="6D903FF5"/>
    <w:rsid w:val="6DA955B8"/>
    <w:rsid w:val="6DE346AB"/>
    <w:rsid w:val="6DE5391A"/>
    <w:rsid w:val="6EFD1324"/>
    <w:rsid w:val="6F5A53AC"/>
    <w:rsid w:val="6F6106E5"/>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21666B"/>
    <w:rsid w:val="764F62AB"/>
    <w:rsid w:val="765C45EC"/>
    <w:rsid w:val="76613A59"/>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2E4C47"/>
    <w:rsid w:val="7F446A19"/>
    <w:rsid w:val="7F7452B9"/>
    <w:rsid w:val="7FF95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0"/>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4050</Words>
  <Characters>23087</Characters>
  <Lines>192</Lines>
  <Paragraphs>54</Paragraphs>
  <TotalTime>1</TotalTime>
  <ScaleCrop>false</ScaleCrop>
  <LinksUpToDate>false</LinksUpToDate>
  <CharactersWithSpaces>27083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2025-10-15T07:31:00Z</cp:lastPrinted>
  <dcterms:modified xsi:type="dcterms:W3CDTF">2025-10-21T03:49:40Z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CC9E504AF2DF46499278CD6DE21E6BBC</vt:lpwstr>
  </property>
</Properties>
</file>