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kinsoku/>
        <w:overflowPunct/>
        <w:topLinePunct w:val="0"/>
        <w:autoSpaceDN/>
        <w:bidi w:val="0"/>
        <w:adjustRightInd/>
        <w:spacing w:before="0" w:beforeAutospacing="0" w:after="0" w:afterAutospacing="0" w:line="600"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重庆市沙坪坝区人民政府虎溪街道办事处</w:t>
      </w:r>
    </w:p>
    <w:p>
      <w:pPr>
        <w:pStyle w:val="10"/>
        <w:keepNext w:val="0"/>
        <w:keepLines w:val="0"/>
        <w:pageBreakBefore w:val="0"/>
        <w:kinsoku/>
        <w:overflowPunct/>
        <w:topLinePunct w:val="0"/>
        <w:autoSpaceDN/>
        <w:bidi w:val="0"/>
        <w:adjustRightInd/>
        <w:spacing w:before="0" w:beforeAutospacing="0" w:after="0" w:afterAutospacing="0" w:line="600" w:lineRule="exact"/>
        <w:jc w:val="center"/>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10"/>
        <w:keepNext w:val="0"/>
        <w:keepLines w:val="0"/>
        <w:pageBreakBefore w:val="0"/>
        <w:kinsoku/>
        <w:overflowPunct/>
        <w:topLinePunct w:val="0"/>
        <w:autoSpaceDN/>
        <w:bidi w:val="0"/>
        <w:adjustRightInd/>
        <w:spacing w:before="0" w:beforeAutospacing="0" w:after="0" w:afterAutospacing="0" w:line="600" w:lineRule="exact"/>
        <w:jc w:val="center"/>
        <w:rPr>
          <w:rFonts w:ascii="方正小标宋_GBK" w:hAnsi="方正小标宋_GBK" w:eastAsia="方正小标宋_GBK" w:cs="方正小标宋_GBK"/>
          <w:sz w:val="44"/>
          <w:szCs w:val="44"/>
          <w:shd w:val="clear" w:color="auto" w:fill="FFFFFF"/>
        </w:rPr>
      </w:pPr>
    </w:p>
    <w:p>
      <w:pPr>
        <w:pStyle w:val="10"/>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rPr>
          <w:sz w:val="27"/>
          <w:szCs w:val="27"/>
          <w:shd w:val="clear" w:color="auto" w:fill="FFFF00"/>
        </w:rPr>
      </w:pPr>
      <w:r>
        <w:rPr>
          <w:rStyle w:val="12"/>
          <w:rFonts w:ascii="黑体" w:hAnsi="黑体" w:eastAsia="黑体" w:cs="黑体"/>
          <w:sz w:val="32"/>
          <w:szCs w:val="32"/>
          <w:shd w:val="clear" w:color="auto" w:fill="FFFFFF"/>
        </w:rPr>
        <w:t>一、部门基本情况</w:t>
      </w:r>
    </w:p>
    <w:p>
      <w:pPr>
        <w:pStyle w:val="10"/>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rPr>
          <w:rFonts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主要负责信息、机要、档案、保密、文秘、会务、接待等日常运转和后勤保障工作，以及综合协调、目标管理、督查督办、宣传、意识形态等职责。承办人大、政协工作的具体事务</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主要负责组织、机构编制、干部人事、统战侨台、群团建设等职责。</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3.主要负责经济发展规划、经济发展统计、扶贫开发、科技创新等职责。</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4.主要负责财政收支、预决算、总会计、财政资金监督检查、绩效评价、村级财务管理、政府采购、内部审计、国有资产监督管理等职责。</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5.主要负责规划、建设、人防、物业管理、农村道路、生态环境、耕地保护、地质灾害预防和治理等职责。</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6.主要负责民政、卫生、计生、老龄、体育、社会救助、残疾人事业、民族宗教、武装、退役军人服务等职责。</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7.主要负责集中行使依法授权或委托的农林水利、规划建设、生态环境保护、卫生计生、文化旅游、民政管理等领域行政执法权，承担辖区内各类执法机构和执法队伍的综合协调和联动保障工作。</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8.主要负责法制、信访、维稳、社会治安综合治理、防范和处置邪教等职责。</w:t>
      </w:r>
    </w:p>
    <w:p>
      <w:pPr>
        <w:keepNext w:val="0"/>
        <w:keepLines w:val="0"/>
        <w:pageBreakBefore w:val="0"/>
        <w:kinsoku/>
        <w:overflowPunct/>
        <w:topLinePunct w:val="0"/>
        <w:autoSpaceDN/>
        <w:bidi w:val="0"/>
        <w:adjustRightInd/>
        <w:snapToGrid/>
        <w:spacing w:line="600" w:lineRule="exact"/>
        <w:ind w:firstLine="640" w:firstLineChars="200"/>
        <w:jc w:val="left"/>
        <w:rPr>
          <w:rFonts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9.主要负责安全生产综合监督、应急管理等职责，协助开展煤矿、非煤矿山、危险化学品、烟花爆竹等安全生产日常监督工作。</w:t>
      </w:r>
    </w:p>
    <w:p>
      <w:pPr>
        <w:pStyle w:val="10"/>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rPr>
          <w:rFonts w:ascii="楷体" w:hAnsi="楷体" w:eastAsia="楷体" w:cs="楷体"/>
          <w:sz w:val="32"/>
          <w:szCs w:val="32"/>
        </w:rPr>
      </w:pPr>
      <w:r>
        <w:rPr>
          <w:rStyle w:val="12"/>
          <w:rFonts w:ascii="楷体" w:hAnsi="楷体" w:eastAsia="楷体" w:cs="楷体"/>
          <w:sz w:val="32"/>
          <w:szCs w:val="32"/>
          <w:shd w:val="clear" w:color="auto" w:fill="FFFFFF"/>
        </w:rPr>
        <w:t>（二）机构设置</w:t>
      </w:r>
    </w:p>
    <w:p>
      <w:pPr>
        <w:keepNext w:val="0"/>
        <w:keepLines w:val="0"/>
        <w:pageBreakBefore w:val="0"/>
        <w:kinsoku/>
        <w:wordWrap/>
        <w:overflowPunct/>
        <w:topLinePunct w:val="0"/>
        <w:autoSpaceDE/>
        <w:autoSpaceDN/>
        <w:bidi w:val="0"/>
        <w:adjustRightInd/>
        <w:snapToGrid/>
        <w:spacing w:before="0" w:beforeLines="0" w:after="0" w:afterLines="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eastAsia="zh-CN"/>
        </w:rPr>
        <w:t>根据以上</w:t>
      </w:r>
      <w:r>
        <w:rPr>
          <w:rFonts w:hint="eastAsia" w:ascii="方正仿宋_GBK" w:hAnsi="方正仿宋_GBK" w:eastAsia="方正仿宋_GBK" w:cs="方正仿宋_GBK"/>
          <w:b w:val="0"/>
          <w:bCs w:val="0"/>
          <w:sz w:val="32"/>
          <w:szCs w:val="32"/>
          <w:lang w:eastAsia="zh-CN"/>
        </w:rPr>
        <w:t>职能职责，重庆市沙坪坝区人民政府</w:t>
      </w:r>
      <w:r>
        <w:rPr>
          <w:rFonts w:hint="eastAsia" w:ascii="方正仿宋_GBK" w:hAnsi="方正仿宋_GBK" w:eastAsia="方正仿宋_GBK" w:cs="方正仿宋_GBK"/>
          <w:b w:val="0"/>
          <w:bCs w:val="0"/>
          <w:sz w:val="32"/>
          <w:szCs w:val="32"/>
        </w:rPr>
        <w:t>虎溪街道办事处</w:t>
      </w:r>
      <w:r>
        <w:rPr>
          <w:rFonts w:hint="eastAsia" w:ascii="方正仿宋_GBK" w:hAnsi="方正仿宋_GBK" w:eastAsia="方正仿宋_GBK" w:cs="方正仿宋_GBK"/>
          <w:b w:val="0"/>
          <w:bCs w:val="0"/>
          <w:sz w:val="32"/>
          <w:szCs w:val="32"/>
          <w:lang w:eastAsia="zh-CN"/>
        </w:rPr>
        <w:t>设有</w:t>
      </w:r>
      <w:r>
        <w:rPr>
          <w:rFonts w:hint="eastAsia" w:ascii="方正仿宋_GBK" w:hAnsi="方正仿宋_GBK" w:eastAsia="方正仿宋_GBK" w:cs="方正仿宋_GBK"/>
          <w:b w:val="0"/>
          <w:bCs w:val="0"/>
          <w:sz w:val="32"/>
          <w:szCs w:val="32"/>
          <w:lang w:val="en-US" w:eastAsia="zh-CN"/>
        </w:rPr>
        <w:t>9个</w:t>
      </w:r>
      <w:r>
        <w:rPr>
          <w:rFonts w:hint="eastAsia" w:ascii="方正仿宋_GBK" w:hAnsi="方正仿宋_GBK" w:eastAsia="方正仿宋_GBK" w:cs="方正仿宋_GBK"/>
          <w:b w:val="0"/>
          <w:bCs w:val="0"/>
          <w:sz w:val="32"/>
          <w:szCs w:val="32"/>
          <w:lang w:eastAsia="zh-CN"/>
        </w:rPr>
        <w:t>内设</w:t>
      </w:r>
      <w:r>
        <w:rPr>
          <w:rFonts w:hint="eastAsia" w:ascii="方正仿宋_GBK" w:hAnsi="方正仿宋_GBK" w:eastAsia="方正仿宋_GBK" w:cs="方正仿宋_GBK"/>
          <w:b w:val="0"/>
          <w:bCs w:val="0"/>
          <w:sz w:val="32"/>
          <w:szCs w:val="32"/>
        </w:rPr>
        <w:t>机构</w:t>
      </w:r>
      <w:r>
        <w:rPr>
          <w:rFonts w:hint="eastAsia" w:ascii="方正仿宋_GBK" w:hAnsi="方正仿宋_GBK" w:eastAsia="方正仿宋_GBK" w:cs="方正仿宋_GBK"/>
          <w:b w:val="0"/>
          <w:bCs w:val="0"/>
          <w:sz w:val="32"/>
          <w:szCs w:val="32"/>
          <w:lang w:eastAsia="zh-CN"/>
        </w:rPr>
        <w:t>，分别是党政办公室、党建工作办公室、</w:t>
      </w:r>
      <w:r>
        <w:rPr>
          <w:rFonts w:hint="eastAsia" w:ascii="方正仿宋_GBK" w:hAnsi="方正仿宋_GBK" w:eastAsia="方正仿宋_GBK" w:cs="方正仿宋_GBK"/>
          <w:b w:val="0"/>
          <w:bCs w:val="0"/>
          <w:sz w:val="32"/>
          <w:szCs w:val="32"/>
          <w:lang w:val="en-US" w:eastAsia="zh-CN"/>
        </w:rPr>
        <w:t>经济发展办公室、财政办公室、规划建设管理环保办公室、民政和社区事务办公室、综合行政执法办公室、平安建设办公室和应急管理办公室；</w:t>
      </w:r>
      <w:r>
        <w:rPr>
          <w:rFonts w:hint="eastAsia" w:ascii="方正仿宋_GBK" w:hAnsi="方正仿宋_GBK" w:eastAsia="方正仿宋_GBK" w:cs="方正仿宋_GBK"/>
          <w:b w:val="0"/>
          <w:bCs w:val="0"/>
          <w:sz w:val="32"/>
          <w:szCs w:val="32"/>
          <w:lang w:eastAsia="zh-CN"/>
        </w:rPr>
        <w:t>5个下属事业单位，分别是</w:t>
      </w:r>
      <w:r>
        <w:rPr>
          <w:rFonts w:hint="eastAsia" w:ascii="方正仿宋_GBK" w:hAnsi="方正仿宋_GBK" w:eastAsia="方正仿宋_GBK" w:cs="方正仿宋_GBK"/>
          <w:b w:val="0"/>
          <w:bCs w:val="0"/>
          <w:sz w:val="32"/>
          <w:szCs w:val="32"/>
          <w:lang w:val="en-US" w:eastAsia="zh-CN"/>
        </w:rPr>
        <w:t>社区事务服务中心、社区文化服务中心、劳动就业和社会保障服务所、退役军人服务站和综合行政执法大</w:t>
      </w:r>
      <w:r>
        <w:rPr>
          <w:rFonts w:hint="eastAsia" w:ascii="方正仿宋_GBK" w:hAnsi="方正仿宋_GBK" w:eastAsia="方正仿宋_GBK" w:cs="方正仿宋_GBK"/>
          <w:sz w:val="32"/>
          <w:szCs w:val="32"/>
          <w:lang w:val="en-US" w:eastAsia="zh-CN"/>
        </w:rPr>
        <w:t>队。</w:t>
      </w:r>
    </w:p>
    <w:p>
      <w:pPr>
        <w:keepNext w:val="0"/>
        <w:keepLines w:val="0"/>
        <w:pageBreakBefore w:val="0"/>
        <w:kinsoku/>
        <w:overflowPunct/>
        <w:topLinePunct w:val="0"/>
        <w:autoSpaceDN/>
        <w:bidi w:val="0"/>
        <w:adjustRightInd/>
        <w:snapToGrid/>
        <w:spacing w:line="600" w:lineRule="exact"/>
        <w:ind w:firstLine="640" w:firstLineChars="200"/>
        <w:jc w:val="left"/>
        <w:rPr>
          <w:rFonts w:hint="default" w:ascii="Times New Roman" w:hAnsi="Times New Roman" w:eastAsia="仿宋_GB2312" w:cs="Times New Roman"/>
          <w:sz w:val="32"/>
          <w:szCs w:val="32"/>
          <w:lang w:val="en-US" w:eastAsia="zh-CN"/>
        </w:rPr>
      </w:pPr>
      <w:r>
        <w:rPr>
          <w:rFonts w:hint="eastAsia" w:ascii="方正仿宋_GBK" w:hAnsi="方正仿宋_GBK" w:eastAsia="方正仿宋_GBK" w:cs="方正仿宋_GBK"/>
          <w:sz w:val="32"/>
          <w:szCs w:val="32"/>
          <w:lang w:val="en-US" w:eastAsia="zh-CN"/>
        </w:rPr>
        <w:t>街道人大工委办公室按有关规定设置。司法所按“一街道一所”设置。街道纪工委、武装部、总工会、团工委、妇联等按有关规定或规章设置。</w:t>
      </w:r>
    </w:p>
    <w:p>
      <w:pPr>
        <w:pStyle w:val="10"/>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rPr>
          <w:rStyle w:val="12"/>
          <w:rFonts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二、部门决算收支情况说明</w:t>
      </w:r>
    </w:p>
    <w:p>
      <w:pPr>
        <w:pStyle w:val="15"/>
        <w:keepNext w:val="0"/>
        <w:keepLines w:val="0"/>
        <w:pageBreakBefore w:val="0"/>
        <w:kinsoku/>
        <w:overflowPunct/>
        <w:topLinePunct w:val="0"/>
        <w:autoSpaceDE w:val="0"/>
        <w:autoSpaceDN/>
        <w:bidi w:val="0"/>
        <w:adjustRightInd/>
        <w:spacing w:line="600"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10"/>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7855.23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收、支与2023年度相比，减少227.29万元，下降2.8%</w:t>
      </w:r>
      <w:r>
        <w:rPr>
          <w:rFonts w:ascii="方正仿宋_GBK" w:hAnsi="方正仿宋_GBK" w:eastAsia="方正仿宋_GBK" w:cs="方正仿宋_GBK"/>
          <w:sz w:val="32"/>
          <w:szCs w:val="32"/>
          <w:shd w:val="clear" w:color="auto" w:fill="FFFFFF"/>
        </w:rPr>
        <w:t>，</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本部门严格落实过紧日子精神，压减一般性项目支出</w:t>
      </w:r>
      <w:r>
        <w:rPr>
          <w:rFonts w:hint="default" w:ascii="Times New Roman" w:hAnsi="Times New Roman" w:eastAsia="仿宋_GB2312" w:cs="Times New Roman"/>
          <w:sz w:val="32"/>
          <w:szCs w:val="32"/>
        </w:rPr>
        <w:t>。</w:t>
      </w:r>
    </w:p>
    <w:p>
      <w:pPr>
        <w:pStyle w:val="10"/>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Times New Roman" w:hAnsi="Times New Roman" w:eastAsia="方正仿宋_GBK"/>
          <w:sz w:val="32"/>
          <w:szCs w:val="32"/>
          <w:shd w:val="clear" w:color="auto" w:fill="FFFFFF"/>
        </w:rPr>
        <w:t>1</w:t>
      </w:r>
      <w:r>
        <w:rPr>
          <w:rStyle w:val="12"/>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7855.23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与2023年度相比，减少227.29万元，下降2.8%</w:t>
      </w:r>
      <w:r>
        <w:rPr>
          <w:rFonts w:ascii="方正仿宋_GBK" w:hAnsi="方正仿宋_GBK" w:eastAsia="方正仿宋_GBK" w:cs="方正仿宋_GBK"/>
          <w:sz w:val="32"/>
          <w:szCs w:val="32"/>
          <w:shd w:val="clear" w:color="auto" w:fill="FFFFFF"/>
        </w:rPr>
        <w:t>，</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本部门严格落实过紧日子精神，压减一般性项目支出</w:t>
      </w:r>
      <w:r>
        <w:rPr>
          <w:rFonts w:hint="default" w:ascii="Times New Roman" w:hAnsi="Times New Roman" w:eastAsia="仿宋_GB2312" w:cs="Times New Roman"/>
          <w:sz w:val="32"/>
          <w:szCs w:val="32"/>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7855.23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Times New Roman" w:hAnsi="Times New Roman" w:eastAsia="方正仿宋_GBK"/>
          <w:sz w:val="32"/>
          <w:szCs w:val="32"/>
          <w:shd w:val="clear" w:color="auto" w:fill="FFFFFF"/>
        </w:rPr>
        <w:t>2</w:t>
      </w:r>
      <w:r>
        <w:rPr>
          <w:rStyle w:val="12"/>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7855.23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与2023年度相比，减少227.29万元，下降2.8%</w:t>
      </w:r>
      <w:r>
        <w:rPr>
          <w:rFonts w:ascii="方正仿宋_GBK" w:hAnsi="方正仿宋_GBK" w:eastAsia="方正仿宋_GBK" w:cs="方正仿宋_GBK"/>
          <w:sz w:val="32"/>
          <w:szCs w:val="32"/>
          <w:shd w:val="clear" w:color="auto" w:fill="FFFFFF"/>
        </w:rPr>
        <w:t>，</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本部门严格落实过紧日子精神，压减一般性项目支出</w:t>
      </w:r>
      <w:r>
        <w:rPr>
          <w:rFonts w:hint="default" w:ascii="Times New Roman" w:hAnsi="Times New Roman" w:eastAsia="仿宋_GB2312" w:cs="Times New Roman"/>
          <w:sz w:val="32"/>
          <w:szCs w:val="32"/>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2020.54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25.7%</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5834.68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74.3%</w:t>
      </w:r>
      <w:r>
        <w:rPr>
          <w:rFonts w:ascii="方正仿宋_GBK" w:hAnsi="方正仿宋_GBK" w:eastAsia="方正仿宋_GBK" w:cs="方正仿宋_GBK"/>
          <w:sz w:val="32"/>
          <w:szCs w:val="32"/>
          <w:shd w:val="clear" w:color="auto" w:fill="FFFFFF"/>
        </w:rPr>
        <w:t>。</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12"/>
          <w:rFonts w:ascii="Times New Roman" w:hAnsi="Times New Roman" w:eastAsia="方正仿宋_GBK"/>
          <w:sz w:val="32"/>
          <w:szCs w:val="32"/>
          <w:shd w:val="clear" w:color="auto" w:fill="FFFFFF"/>
        </w:rPr>
        <w:t>3</w:t>
      </w:r>
      <w:r>
        <w:rPr>
          <w:rStyle w:val="12"/>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结转和结余，</w:t>
      </w:r>
      <w:r>
        <w:rPr>
          <w:rFonts w:hint="eastAsia" w:ascii="方正仿宋_GBK" w:hAnsi="方正仿宋_GBK" w:eastAsia="方正仿宋_GBK" w:cs="方正仿宋_GBK"/>
          <w:sz w:val="32"/>
          <w:szCs w:val="32"/>
          <w:shd w:val="clear" w:color="auto" w:fill="FFFFFF"/>
          <w:lang w:val="en-US" w:eastAsia="zh-CN"/>
        </w:rPr>
        <w:t>较</w:t>
      </w:r>
      <w:r>
        <w:rPr>
          <w:rFonts w:hint="default" w:ascii="Times New Roman" w:hAnsi="Times New Roman" w:eastAsia="方正仿宋_GBK"/>
          <w:sz w:val="32"/>
          <w:szCs w:val="32"/>
          <w:shd w:val="clear" w:color="auto" w:fill="FFFFFF"/>
        </w:rPr>
        <w:t>2023年无增减</w:t>
      </w:r>
      <w:r>
        <w:rPr>
          <w:rFonts w:hint="eastAsia" w:ascii="方正仿宋_GBK" w:hAnsi="方正仿宋_GBK" w:eastAsia="方正仿宋_GBK" w:cs="方正仿宋_GBK"/>
          <w:sz w:val="32"/>
          <w:szCs w:val="32"/>
          <w:shd w:val="clear" w:color="auto" w:fill="FFFFFF"/>
          <w:lang w:eastAsia="zh-CN"/>
        </w:rPr>
        <w:t>。</w:t>
      </w:r>
    </w:p>
    <w:p>
      <w:pPr>
        <w:pStyle w:val="15"/>
        <w:keepNext w:val="0"/>
        <w:keepLines w:val="0"/>
        <w:pageBreakBefore w:val="0"/>
        <w:kinsoku/>
        <w:overflowPunct/>
        <w:topLinePunct w:val="0"/>
        <w:autoSpaceDE w:val="0"/>
        <w:autoSpaceDN/>
        <w:bidi w:val="0"/>
        <w:adjustRightInd/>
        <w:spacing w:line="600"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7855.23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财政拨款收、支总计各减少227.29万元，下降2.8%</w:t>
      </w:r>
      <w:r>
        <w:rPr>
          <w:rFonts w:ascii="方正仿宋_GBK" w:hAnsi="方正仿宋_GBK" w:eastAsia="方正仿宋_GBK" w:cs="方正仿宋_GBK"/>
          <w:sz w:val="32"/>
          <w:szCs w:val="32"/>
          <w:shd w:val="clear" w:color="auto" w:fill="FFFFFF"/>
        </w:rPr>
        <w:t>。</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本部门严格落实过紧日子精神，压减一般性项目支出</w:t>
      </w:r>
      <w:r>
        <w:rPr>
          <w:rFonts w:hint="default" w:ascii="Times New Roman" w:hAnsi="Times New Roman" w:eastAsia="仿宋_GB2312" w:cs="Times New Roman"/>
          <w:sz w:val="32"/>
          <w:szCs w:val="32"/>
        </w:rPr>
        <w:t>。</w:t>
      </w:r>
    </w:p>
    <w:p>
      <w:pPr>
        <w:pStyle w:val="15"/>
        <w:keepNext w:val="0"/>
        <w:keepLines w:val="0"/>
        <w:pageBreakBefore w:val="0"/>
        <w:kinsoku/>
        <w:overflowPunct/>
        <w:topLinePunct w:val="0"/>
        <w:autoSpaceDE w:val="0"/>
        <w:autoSpaceDN/>
        <w:bidi w:val="0"/>
        <w:adjustRightInd/>
        <w:spacing w:line="600"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2"/>
          <w:rFonts w:hint="default" w:ascii="Times New Roman" w:hAnsi="Times New Roman" w:eastAsia="方正仿宋_GBK"/>
          <w:sz w:val="32"/>
          <w:szCs w:val="32"/>
          <w:shd w:val="clear" w:color="auto" w:fill="FFFFFF"/>
        </w:rPr>
        <w:t>1</w:t>
      </w:r>
      <w:r>
        <w:rPr>
          <w:rStyle w:val="12"/>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7701.86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与2023年度相比，减少310.94万元，下降3.9%</w:t>
      </w:r>
      <w:r>
        <w:rPr>
          <w:rFonts w:ascii="方正仿宋_GBK" w:hAnsi="方正仿宋_GBK" w:eastAsia="方正仿宋_GBK" w:cs="方正仿宋_GBK"/>
          <w:sz w:val="32"/>
          <w:szCs w:val="32"/>
          <w:shd w:val="clear" w:color="auto" w:fill="FFFFFF"/>
        </w:rPr>
        <w:t>。</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本部门严格落实过紧日子精神，压减一般性项目支出</w:t>
      </w:r>
      <w:r>
        <w:rPr>
          <w:rFonts w:hint="default" w:ascii="Times New Roman" w:hAnsi="Times New Roman" w:eastAsia="仿宋_GB2312" w:cs="Times New Roman"/>
          <w:sz w:val="32"/>
          <w:szCs w:val="32"/>
        </w:rPr>
        <w:t>。</w:t>
      </w:r>
      <w:r>
        <w:rPr>
          <w:rFonts w:hint="default" w:ascii="Times New Roman" w:hAnsi="Times New Roman" w:eastAsia="方正仿宋_GBK"/>
          <w:sz w:val="32"/>
          <w:szCs w:val="32"/>
          <w:shd w:val="clear" w:color="auto" w:fill="FFFFFF"/>
        </w:rPr>
        <w:t>较年初预算数增加2483.76万元，增长47.6%</w:t>
      </w:r>
      <w:r>
        <w:rPr>
          <w:rFonts w:ascii="方正仿宋_GBK" w:hAnsi="方正仿宋_GBK" w:eastAsia="方正仿宋_GBK" w:cs="方正仿宋_GBK"/>
          <w:sz w:val="32"/>
          <w:szCs w:val="32"/>
          <w:shd w:val="clear" w:color="auto" w:fill="FFFFFF"/>
        </w:rPr>
        <w:t>。</w:t>
      </w:r>
      <w:r>
        <w:rPr>
          <w:rFonts w:hint="default" w:ascii="Times New Roman" w:hAnsi="Times New Roman" w:eastAsia="仿宋_GB2312" w:cs="Times New Roman"/>
          <w:sz w:val="32"/>
          <w:szCs w:val="32"/>
          <w:lang w:val="en-US" w:eastAsia="zh-CN"/>
        </w:rPr>
        <w:t>主要原因是2024年年中</w:t>
      </w:r>
      <w:r>
        <w:rPr>
          <w:rFonts w:hint="eastAsia" w:ascii="Times New Roman" w:hAnsi="Times New Roman" w:eastAsia="仿宋_GB2312" w:cs="Times New Roman"/>
          <w:sz w:val="32"/>
          <w:szCs w:val="32"/>
          <w:lang w:val="en-US" w:eastAsia="zh-CN"/>
        </w:rPr>
        <w:t>下达</w:t>
      </w:r>
      <w:r>
        <w:rPr>
          <w:rFonts w:hint="default" w:ascii="Times New Roman" w:hAnsi="Times New Roman" w:eastAsia="仿宋_GB2312" w:cs="Times New Roman"/>
          <w:sz w:val="32"/>
          <w:szCs w:val="32"/>
          <w:lang w:val="en-US" w:eastAsia="zh-CN"/>
        </w:rPr>
        <w:t>生活垃圾分类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洪灾安置房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养老服务站建设等</w:t>
      </w:r>
      <w:r>
        <w:rPr>
          <w:rFonts w:hint="eastAsia" w:ascii="Times New Roman" w:hAnsi="Times New Roman" w:eastAsia="仿宋_GB2312" w:cs="Times New Roman"/>
          <w:sz w:val="32"/>
          <w:szCs w:val="32"/>
          <w:lang w:val="en-US" w:eastAsia="zh-CN"/>
        </w:rPr>
        <w:t>项目经费。</w:t>
      </w:r>
      <w:r>
        <w:rPr>
          <w:rFonts w:ascii="方正仿宋_GBK" w:hAnsi="方正仿宋_GBK" w:eastAsia="方正仿宋_GBK" w:cs="方正仿宋_GBK"/>
          <w:sz w:val="32"/>
          <w:szCs w:val="32"/>
          <w:shd w:val="clear" w:color="auto" w:fill="FFFFFF"/>
        </w:rPr>
        <w:t>此外，年初</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财政拨款结转和结余。</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2"/>
          <w:rFonts w:hint="default" w:ascii="Times New Roman" w:hAnsi="Times New Roman" w:eastAsia="方正仿宋_GBK"/>
          <w:sz w:val="32"/>
          <w:szCs w:val="32"/>
          <w:shd w:val="clear" w:color="auto" w:fill="FFFFFF"/>
        </w:rPr>
        <w:t>2</w:t>
      </w:r>
      <w:r>
        <w:rPr>
          <w:rStyle w:val="12"/>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7701.86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与2023年度相比，减少310.94万元，下降3.9%</w:t>
      </w:r>
      <w:r>
        <w:rPr>
          <w:rFonts w:ascii="方正仿宋_GBK" w:hAnsi="方正仿宋_GBK" w:eastAsia="方正仿宋_GBK" w:cs="方正仿宋_GBK"/>
          <w:sz w:val="32"/>
          <w:szCs w:val="32"/>
          <w:shd w:val="clear" w:color="auto" w:fill="FFFFFF"/>
        </w:rPr>
        <w:t>。</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本部门严格落实过紧日子精神，压减一般性项目支出</w:t>
      </w:r>
      <w:r>
        <w:rPr>
          <w:rFonts w:hint="default" w:ascii="Times New Roman" w:hAnsi="Times New Roman" w:eastAsia="仿宋_GB2312" w:cs="Times New Roman"/>
          <w:sz w:val="32"/>
          <w:szCs w:val="32"/>
        </w:rPr>
        <w:t>。</w:t>
      </w:r>
      <w:r>
        <w:rPr>
          <w:rFonts w:hint="default" w:ascii="Times New Roman" w:hAnsi="Times New Roman" w:eastAsia="方正仿宋_GBK"/>
          <w:sz w:val="32"/>
          <w:szCs w:val="32"/>
          <w:shd w:val="clear" w:color="auto" w:fill="FFFFFF"/>
        </w:rPr>
        <w:t>较年初预算数增加2483.76万元，增长47.6%</w:t>
      </w:r>
      <w:r>
        <w:rPr>
          <w:rFonts w:ascii="方正仿宋_GBK" w:hAnsi="方正仿宋_GBK" w:eastAsia="方正仿宋_GBK" w:cs="方正仿宋_GBK"/>
          <w:sz w:val="32"/>
          <w:szCs w:val="32"/>
          <w:shd w:val="clear" w:color="auto" w:fill="FFFFFF"/>
        </w:rPr>
        <w:t>。</w:t>
      </w:r>
      <w:r>
        <w:rPr>
          <w:rFonts w:hint="default" w:ascii="Times New Roman" w:hAnsi="Times New Roman" w:eastAsia="仿宋_GB2312" w:cs="Times New Roman"/>
          <w:sz w:val="32"/>
          <w:szCs w:val="32"/>
          <w:lang w:val="en-US" w:eastAsia="zh-CN"/>
        </w:rPr>
        <w:t>主要原因是2024年年中</w:t>
      </w:r>
      <w:r>
        <w:rPr>
          <w:rFonts w:hint="eastAsia" w:ascii="Times New Roman" w:hAnsi="Times New Roman" w:eastAsia="仿宋_GB2312" w:cs="Times New Roman"/>
          <w:sz w:val="32"/>
          <w:szCs w:val="32"/>
          <w:lang w:val="en-US" w:eastAsia="zh-CN"/>
        </w:rPr>
        <w:t>下达</w:t>
      </w:r>
      <w:r>
        <w:rPr>
          <w:rFonts w:hint="default" w:ascii="Times New Roman" w:hAnsi="Times New Roman" w:eastAsia="仿宋_GB2312" w:cs="Times New Roman"/>
          <w:sz w:val="32"/>
          <w:szCs w:val="32"/>
          <w:lang w:val="en-US" w:eastAsia="zh-CN"/>
        </w:rPr>
        <w:t>生活垃圾分类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洪灾安置房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养老服务站建设等</w:t>
      </w:r>
      <w:r>
        <w:rPr>
          <w:rFonts w:hint="eastAsia" w:ascii="Times New Roman" w:hAnsi="Times New Roman" w:eastAsia="仿宋_GB2312" w:cs="Times New Roman"/>
          <w:sz w:val="32"/>
          <w:szCs w:val="32"/>
          <w:lang w:val="en-US" w:eastAsia="zh-CN"/>
        </w:rPr>
        <w:t>项目经费</w:t>
      </w:r>
      <w:r>
        <w:rPr>
          <w:rFonts w:hint="default" w:ascii="Times New Roman" w:hAnsi="Times New Roman" w:eastAsia="仿宋_GB2312" w:cs="Times New Roman"/>
          <w:sz w:val="32"/>
          <w:szCs w:val="32"/>
          <w:lang w:val="en-US" w:eastAsia="zh-CN"/>
        </w:rPr>
        <w:t>。</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（1）一</w:t>
      </w:r>
      <w:r>
        <w:rPr>
          <w:rFonts w:ascii="方正仿宋_GBK" w:hAnsi="方正仿宋_GBK" w:eastAsia="方正仿宋_GBK" w:cs="方正仿宋_GBK"/>
          <w:sz w:val="32"/>
          <w:szCs w:val="32"/>
          <w:shd w:val="clear" w:color="auto" w:fill="FFFFFF"/>
        </w:rPr>
        <w:t>般公共服务支出</w:t>
      </w:r>
      <w:r>
        <w:rPr>
          <w:rFonts w:hint="default" w:ascii="Times New Roman" w:hAnsi="Times New Roman" w:eastAsia="方正仿宋_GBK"/>
          <w:sz w:val="32"/>
          <w:szCs w:val="32"/>
          <w:shd w:val="clear" w:color="auto" w:fill="FFFFFF"/>
        </w:rPr>
        <w:t>2628.93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较年初预算数增加631.15万元，增长31.6%</w:t>
      </w:r>
      <w:r>
        <w:rPr>
          <w:rFonts w:ascii="方正仿宋_GBK" w:hAnsi="方正仿宋_GBK" w:eastAsia="方正仿宋_GBK" w:cs="方正仿宋_GBK"/>
          <w:sz w:val="32"/>
          <w:szCs w:val="32"/>
          <w:shd w:val="clear" w:color="auto" w:fill="FFFFFF"/>
        </w:rPr>
        <w:t>，</w:t>
      </w:r>
      <w:r>
        <w:rPr>
          <w:rFonts w:hint="eastAsia" w:ascii="仿宋_GB2312" w:hAnsi="仿宋" w:eastAsia="仿宋_GB2312"/>
          <w:color w:val="auto"/>
          <w:sz w:val="32"/>
          <w:szCs w:val="32"/>
          <w:lang w:eastAsia="zh-CN"/>
        </w:rPr>
        <w:t>主要原因</w:t>
      </w:r>
      <w:r>
        <w:rPr>
          <w:rFonts w:hint="eastAsia" w:ascii="Times New Roman" w:hAnsi="Times New Roman" w:eastAsia="方正仿宋_GBK"/>
          <w:sz w:val="32"/>
          <w:szCs w:val="32"/>
          <w:shd w:val="clear" w:color="auto" w:fill="FFFFFF"/>
          <w:lang w:eastAsia="zh-CN"/>
        </w:rPr>
        <w:t>是</w:t>
      </w:r>
      <w:r>
        <w:rPr>
          <w:rFonts w:hint="eastAsia" w:ascii="Times New Roman" w:hAnsi="Times New Roman" w:eastAsia="方正仿宋_GBK"/>
          <w:sz w:val="32"/>
          <w:szCs w:val="32"/>
          <w:shd w:val="clear" w:color="auto" w:fill="FFFFFF"/>
          <w:lang w:val="en-US" w:eastAsia="zh-CN"/>
        </w:rPr>
        <w:t>2024年年中</w:t>
      </w:r>
      <w:r>
        <w:rPr>
          <w:rFonts w:hint="eastAsia" w:ascii="仿宋_GB2312" w:hAnsi="仿宋" w:eastAsia="仿宋_GB2312"/>
          <w:color w:val="auto"/>
          <w:sz w:val="32"/>
          <w:szCs w:val="32"/>
          <w:lang w:val="en-US" w:eastAsia="zh-CN"/>
        </w:rPr>
        <w:t>下达第五次全国经济普查经费等项目经费。</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eastAsia"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sz w:val="32"/>
          <w:szCs w:val="32"/>
          <w:shd w:val="clear" w:color="auto" w:fill="FFFFFF"/>
        </w:rPr>
        <w:t>国</w:t>
      </w:r>
      <w:r>
        <w:rPr>
          <w:rFonts w:ascii="方正仿宋_GBK" w:hAnsi="方正仿宋_GBK" w:eastAsia="方正仿宋_GBK" w:cs="方正仿宋_GBK"/>
          <w:sz w:val="32"/>
          <w:szCs w:val="32"/>
          <w:shd w:val="clear" w:color="auto" w:fill="FFFFFF"/>
        </w:rPr>
        <w:t>防支出</w:t>
      </w:r>
      <w:r>
        <w:rPr>
          <w:rFonts w:hint="default" w:ascii="Times New Roman" w:hAnsi="Times New Roman" w:eastAsia="方正仿宋_GBK"/>
          <w:sz w:val="32"/>
          <w:szCs w:val="32"/>
          <w:shd w:val="clear" w:color="auto" w:fill="FFFFFF"/>
        </w:rPr>
        <w:t>8.7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较年初预算数增加8.7万元，增长100%</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bidi="ar-SA"/>
        </w:rPr>
        <w:t>主要原因是年初预算科目列报不准确，决算时按要求将民兵相关支出列入国防支出。</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hint="default" w:ascii="Times New Roman" w:hAnsi="Times New Roman" w:eastAsia="方正仿宋_GBK"/>
          <w:sz w:val="32"/>
          <w:szCs w:val="32"/>
          <w:shd w:val="clear" w:color="auto" w:fill="FFFFFF"/>
        </w:rPr>
        <w:t>）公共</w:t>
      </w:r>
      <w:r>
        <w:rPr>
          <w:rFonts w:ascii="方正仿宋_GBK" w:hAnsi="方正仿宋_GBK" w:eastAsia="方正仿宋_GBK" w:cs="方正仿宋_GBK"/>
          <w:sz w:val="32"/>
          <w:szCs w:val="32"/>
          <w:shd w:val="clear" w:color="auto" w:fill="FFFFFF"/>
        </w:rPr>
        <w:t>安全支出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较年初预算数减少264.6万元，下降100%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主要原因是年初预算科目列报不准确，决算时按要求将相关支出调整至城乡社区支出列报</w:t>
      </w:r>
      <w:r>
        <w:rPr>
          <w:rFonts w:hint="eastAsia" w:ascii="方正仿宋_GBK" w:hAnsi="方正仿宋_GBK" w:eastAsia="方正仿宋_GBK" w:cs="方正仿宋_GBK"/>
          <w:sz w:val="32"/>
          <w:szCs w:val="32"/>
          <w:shd w:val="clear" w:color="auto" w:fill="FFFFFF"/>
          <w:lang w:val="en-US" w:eastAsia="zh-CN"/>
        </w:rPr>
        <w:t>。</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eastAsia" w:ascii="仿宋_GB2312" w:hAnsi="仿宋" w:eastAsia="仿宋_GB2312"/>
          <w:color w:val="auto"/>
          <w:sz w:val="32"/>
          <w:szCs w:val="32"/>
          <w:lang w:val="en-US"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）科学</w:t>
      </w:r>
      <w:r>
        <w:rPr>
          <w:rFonts w:ascii="方正仿宋_GBK" w:hAnsi="方正仿宋_GBK" w:eastAsia="方正仿宋_GBK" w:cs="方正仿宋_GBK"/>
          <w:sz w:val="32"/>
          <w:szCs w:val="32"/>
          <w:shd w:val="clear" w:color="auto" w:fill="FFFFFF"/>
        </w:rPr>
        <w:t>技术支出</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较年初预算数增加2.4万元，增长100%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w:t>
      </w:r>
      <w:r>
        <w:rPr>
          <w:rFonts w:hint="eastAsia" w:ascii="Times New Roman" w:hAnsi="Times New Roman" w:eastAsia="方正仿宋_GBK" w:cs="Times New Roman"/>
          <w:sz w:val="32"/>
          <w:szCs w:val="32"/>
          <w:shd w:val="clear" w:color="auto" w:fill="FFFFFF"/>
          <w:lang w:val="en-US" w:eastAsia="zh-CN"/>
        </w:rPr>
        <w:t>是2024年</w:t>
      </w:r>
      <w:r>
        <w:rPr>
          <w:rFonts w:hint="eastAsia" w:ascii="仿宋_GB2312" w:hAnsi="仿宋" w:eastAsia="仿宋_GB2312"/>
          <w:color w:val="auto"/>
          <w:sz w:val="32"/>
          <w:szCs w:val="32"/>
          <w:lang w:val="en-US" w:eastAsia="zh-CN"/>
        </w:rPr>
        <w:t>年中下达经济调查与统计工作经费共计</w:t>
      </w:r>
      <w:r>
        <w:rPr>
          <w:rFonts w:hint="eastAsia" w:ascii="Times New Roman" w:hAnsi="Times New Roman" w:eastAsia="方正仿宋_GBK" w:cs="Times New Roman"/>
          <w:sz w:val="32"/>
          <w:szCs w:val="32"/>
          <w:shd w:val="clear" w:color="auto" w:fill="FFFFFF"/>
          <w:lang w:val="en-US" w:eastAsia="zh-CN"/>
        </w:rPr>
        <w:t>2.4万</w:t>
      </w:r>
      <w:r>
        <w:rPr>
          <w:rFonts w:hint="eastAsia" w:ascii="仿宋_GB2312" w:hAnsi="仿宋" w:eastAsia="仿宋_GB2312"/>
          <w:color w:val="auto"/>
          <w:sz w:val="32"/>
          <w:szCs w:val="32"/>
          <w:lang w:val="en-US" w:eastAsia="zh-CN"/>
        </w:rPr>
        <w:t>元。</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）文</w:t>
      </w:r>
      <w:r>
        <w:rPr>
          <w:rFonts w:ascii="方正仿宋_GBK" w:hAnsi="方正仿宋_GBK" w:eastAsia="方正仿宋_GBK" w:cs="方正仿宋_GBK"/>
          <w:sz w:val="32"/>
          <w:szCs w:val="32"/>
          <w:shd w:val="clear" w:color="auto" w:fill="FFFFFF"/>
        </w:rPr>
        <w:t>化旅游体育与传媒支出</w:t>
      </w:r>
      <w:r>
        <w:rPr>
          <w:rFonts w:hint="default" w:ascii="Times New Roman" w:hAnsi="Times New Roman" w:eastAsia="方正仿宋_GBK"/>
          <w:sz w:val="32"/>
          <w:szCs w:val="32"/>
          <w:shd w:val="clear" w:color="auto" w:fill="FFFFFF"/>
        </w:rPr>
        <w:t>171.89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较年初预算数增加68.83万元，增长66.8%</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主要原因是2024年年中下达乡镇（街道）文服中心免费开放补助等项目经费。</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）社会保</w:t>
      </w:r>
      <w:r>
        <w:rPr>
          <w:rFonts w:ascii="方正仿宋_GBK" w:hAnsi="方正仿宋_GBK" w:eastAsia="方正仿宋_GBK" w:cs="方正仿宋_GBK"/>
          <w:sz w:val="32"/>
          <w:szCs w:val="32"/>
          <w:shd w:val="clear" w:color="auto" w:fill="FFFFFF"/>
        </w:rPr>
        <w:t>障和就业支出</w:t>
      </w:r>
      <w:r>
        <w:rPr>
          <w:rFonts w:hint="default" w:ascii="Times New Roman" w:hAnsi="Times New Roman" w:eastAsia="方正仿宋_GBK"/>
          <w:sz w:val="32"/>
          <w:szCs w:val="32"/>
          <w:shd w:val="clear" w:color="auto" w:fill="FFFFFF"/>
        </w:rPr>
        <w:t>2725.59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较年初预算数增加802.35万元，增长41.7%</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主要原因是2024年年中下达民政工作、服务群众专项等项目经费。</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7</w:t>
      </w:r>
      <w:r>
        <w:rPr>
          <w:rFonts w:hint="default" w:ascii="Times New Roman" w:hAnsi="Times New Roman" w:eastAsia="方正仿宋_GBK" w:cs="Times New Roman"/>
          <w:sz w:val="32"/>
          <w:szCs w:val="32"/>
          <w:shd w:val="clear" w:color="auto" w:fill="FFFFFF"/>
          <w:lang w:val="en-US" w:eastAsia="zh-CN" w:bidi="ar-SA"/>
        </w:rPr>
        <w:t>）卫生</w:t>
      </w:r>
      <w:r>
        <w:rPr>
          <w:rFonts w:ascii="方正仿宋_GBK" w:hAnsi="方正仿宋_GBK" w:eastAsia="方正仿宋_GBK" w:cs="方正仿宋_GBK"/>
          <w:sz w:val="32"/>
          <w:szCs w:val="32"/>
          <w:shd w:val="clear" w:color="auto" w:fill="FFFFFF"/>
        </w:rPr>
        <w:t>健康支出</w:t>
      </w:r>
      <w:r>
        <w:rPr>
          <w:rFonts w:hint="default" w:ascii="Times New Roman" w:hAnsi="Times New Roman" w:eastAsia="方正仿宋_GBK"/>
          <w:sz w:val="32"/>
          <w:szCs w:val="32"/>
          <w:shd w:val="clear" w:color="auto" w:fill="FFFFFF"/>
        </w:rPr>
        <w:t>168.34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较年初预算数增加44.18万元，增长35.6%</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val="en-US" w:eastAsia="zh-CN"/>
        </w:rPr>
        <w:t>2024年年</w:t>
      </w:r>
      <w:r>
        <w:rPr>
          <w:rFonts w:hint="eastAsia" w:ascii="方正仿宋_GBK" w:hAnsi="方正仿宋_GBK" w:eastAsia="方正仿宋_GBK" w:cs="方正仿宋_GBK"/>
          <w:sz w:val="32"/>
          <w:szCs w:val="32"/>
          <w:shd w:val="clear" w:color="auto" w:fill="FFFFFF"/>
          <w:lang w:val="en-US" w:eastAsia="zh-CN"/>
        </w:rPr>
        <w:t>中下达计生扶持与奖励等项目</w:t>
      </w:r>
      <w:r>
        <w:rPr>
          <w:rFonts w:hint="eastAsia" w:ascii="Times New Roman" w:hAnsi="Times New Roman" w:eastAsia="方正仿宋_GBK" w:cs="Times New Roman"/>
          <w:sz w:val="32"/>
          <w:szCs w:val="32"/>
          <w:shd w:val="clear" w:color="auto" w:fill="FFFFFF"/>
          <w:lang w:val="en-US" w:eastAsia="zh-CN"/>
        </w:rPr>
        <w:t>经费</w:t>
      </w:r>
      <w:r>
        <w:rPr>
          <w:rFonts w:hint="eastAsia" w:ascii="方正仿宋_GBK" w:hAnsi="方正仿宋_GBK" w:eastAsia="方正仿宋_GBK" w:cs="方正仿宋_GBK"/>
          <w:sz w:val="32"/>
          <w:szCs w:val="32"/>
          <w:shd w:val="clear" w:color="auto" w:fill="FFFFFF"/>
          <w:lang w:val="en-US" w:eastAsia="zh-CN"/>
        </w:rPr>
        <w:t>。</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9"/>
        <w:rPr>
          <w:rFonts w:hint="eastAsia" w:ascii="仿宋_GB2312" w:hAnsi="仿宋" w:eastAsia="仿宋_GB2312"/>
          <w:color w:val="auto"/>
          <w:sz w:val="32"/>
          <w:szCs w:val="32"/>
          <w:lang w:val="en-US" w:eastAsia="zh-CN"/>
        </w:rPr>
      </w:pPr>
      <w:r>
        <w:rPr>
          <w:rFonts w:hint="default" w:ascii="Times New Roman" w:hAnsi="Times New Roman" w:eastAsia="方正仿宋_GBK" w:cs="Times New Roman"/>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8</w:t>
      </w:r>
      <w:r>
        <w:rPr>
          <w:rFonts w:hint="default" w:ascii="Times New Roman" w:hAnsi="Times New Roman" w:eastAsia="方正仿宋_GBK" w:cs="Times New Roman"/>
          <w:sz w:val="32"/>
          <w:szCs w:val="32"/>
          <w:shd w:val="clear" w:color="auto" w:fill="FFFFFF"/>
          <w:lang w:val="en-US" w:eastAsia="zh-CN" w:bidi="ar-SA"/>
        </w:rPr>
        <w:t>）节能环保</w:t>
      </w:r>
      <w:r>
        <w:rPr>
          <w:rFonts w:ascii="方正仿宋_GBK" w:hAnsi="方正仿宋_GBK" w:eastAsia="方正仿宋_GBK" w:cs="方正仿宋_GBK"/>
          <w:sz w:val="32"/>
          <w:szCs w:val="32"/>
          <w:shd w:val="clear" w:color="auto" w:fill="FFFFFF"/>
        </w:rPr>
        <w:t>支出</w:t>
      </w:r>
      <w:r>
        <w:rPr>
          <w:rFonts w:hint="default" w:ascii="Times New Roman" w:hAnsi="Times New Roman" w:eastAsia="方正仿宋_GBK"/>
          <w:sz w:val="32"/>
          <w:szCs w:val="32"/>
          <w:shd w:val="clear" w:color="auto" w:fill="FFFFFF"/>
        </w:rPr>
        <w:t>28.98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较年初预算数增加28.98万元，增长100%，</w:t>
      </w:r>
      <w:r>
        <w:rPr>
          <w:rFonts w:hint="eastAsia" w:ascii="Times New Roman" w:hAnsi="Times New Roman" w:eastAsia="方正仿宋_GBK"/>
          <w:sz w:val="32"/>
          <w:szCs w:val="32"/>
          <w:shd w:val="clear" w:color="auto" w:fill="FFFFFF"/>
          <w:lang w:val="en-US" w:eastAsia="zh-CN"/>
        </w:rPr>
        <w:t>主要原因是2024年年中下达</w:t>
      </w:r>
      <w:r>
        <w:rPr>
          <w:rFonts w:hint="eastAsia" w:ascii="方正仿宋_GBK" w:hAnsi="方正仿宋_GBK" w:eastAsia="方正仿宋_GBK" w:cs="方正仿宋_GBK"/>
          <w:sz w:val="32"/>
          <w:szCs w:val="32"/>
          <w:shd w:val="clear" w:color="auto" w:fill="FFFFFF"/>
          <w:lang w:val="en-US" w:eastAsia="zh-CN"/>
        </w:rPr>
        <w:t>市级生态环境“以奖促治”资金</w:t>
      </w:r>
      <w:r>
        <w:rPr>
          <w:rFonts w:hint="eastAsia" w:ascii="仿宋_GB2312" w:hAnsi="仿宋" w:eastAsia="仿宋_GB2312"/>
          <w:color w:val="auto"/>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eastAsia"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9</w:t>
      </w:r>
      <w:r>
        <w:rPr>
          <w:rFonts w:hint="default" w:ascii="Times New Roman" w:hAnsi="Times New Roman" w:eastAsia="方正仿宋_GBK" w:cs="Times New Roman"/>
          <w:sz w:val="32"/>
          <w:szCs w:val="32"/>
          <w:shd w:val="clear" w:color="auto" w:fill="FFFFFF"/>
          <w:lang w:val="en-US" w:eastAsia="zh-CN" w:bidi="ar-SA"/>
        </w:rPr>
        <w:t>）城乡社</w:t>
      </w:r>
      <w:r>
        <w:rPr>
          <w:rFonts w:ascii="方正仿宋_GBK" w:hAnsi="方正仿宋_GBK" w:eastAsia="方正仿宋_GBK" w:cs="方正仿宋_GBK"/>
          <w:sz w:val="32"/>
          <w:szCs w:val="32"/>
          <w:shd w:val="clear" w:color="auto" w:fill="FFFFFF"/>
        </w:rPr>
        <w:t>区支出</w:t>
      </w:r>
      <w:r>
        <w:rPr>
          <w:rFonts w:hint="default" w:ascii="Times New Roman" w:hAnsi="Times New Roman" w:eastAsia="方正仿宋_GBK"/>
          <w:sz w:val="32"/>
          <w:szCs w:val="32"/>
          <w:shd w:val="clear" w:color="auto" w:fill="FFFFFF"/>
        </w:rPr>
        <w:t>1461.67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较年初预算数增加984.98万元，增长206.6%</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bidi="ar-SA"/>
        </w:rPr>
        <w:t>主要原因一是2024年年中下达生活垃圾分类专项经费、洪灾安置房项目工作经费等项目经费；二是将年初列报不准确的公共安全支出科目，决算时按要求调整至城乡社区支出列报。</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val="en-US" w:eastAsia="zh-CN" w:bidi="ar-SA"/>
        </w:rPr>
        <w:t>（1</w:t>
      </w:r>
      <w:r>
        <w:rPr>
          <w:rFonts w:hint="eastAsia" w:ascii="Times New Roman" w:hAnsi="Times New Roman" w:eastAsia="方正仿宋_GBK" w:cs="Times New Roman"/>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）农林</w:t>
      </w:r>
      <w:r>
        <w:rPr>
          <w:rFonts w:ascii="方正仿宋_GBK" w:hAnsi="方正仿宋_GBK" w:eastAsia="方正仿宋_GBK" w:cs="方正仿宋_GBK"/>
          <w:sz w:val="32"/>
          <w:szCs w:val="32"/>
          <w:shd w:val="clear" w:color="auto" w:fill="FFFFFF"/>
        </w:rPr>
        <w:t>水支出</w:t>
      </w:r>
      <w:r>
        <w:rPr>
          <w:rFonts w:hint="default" w:ascii="Times New Roman" w:hAnsi="Times New Roman" w:eastAsia="方正仿宋_GBK"/>
          <w:sz w:val="32"/>
          <w:szCs w:val="32"/>
          <w:shd w:val="clear" w:color="auto" w:fill="FFFFFF"/>
        </w:rPr>
        <w:t>306.5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较年初预算数增加122.1万元，增长66.2%</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cs="Times New Roman"/>
          <w:sz w:val="32"/>
          <w:szCs w:val="32"/>
          <w:shd w:val="clear" w:color="auto" w:fill="FFFFFF"/>
        </w:rPr>
        <w:t>是2024年年中</w:t>
      </w:r>
      <w:r>
        <w:rPr>
          <w:rFonts w:hint="eastAsia" w:ascii="方正仿宋_GBK" w:hAnsi="方正仿宋_GBK" w:eastAsia="方正仿宋_GBK" w:cs="方正仿宋_GBK"/>
          <w:sz w:val="32"/>
          <w:szCs w:val="32"/>
          <w:shd w:val="clear" w:color="auto" w:fill="FFFFFF"/>
          <w:lang w:eastAsia="zh-CN"/>
        </w:rPr>
        <w:t>下达</w:t>
      </w:r>
      <w:r>
        <w:rPr>
          <w:rFonts w:hint="eastAsia" w:ascii="方正仿宋_GBK" w:hAnsi="方正仿宋_GBK" w:eastAsia="方正仿宋_GBK" w:cs="方正仿宋_GBK"/>
          <w:sz w:val="32"/>
          <w:szCs w:val="32"/>
          <w:shd w:val="clear" w:color="auto" w:fill="FFFFFF"/>
        </w:rPr>
        <w:t>森林防灭火专项</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建新村入户道路建设等</w:t>
      </w:r>
      <w:r>
        <w:rPr>
          <w:rFonts w:hint="eastAsia" w:ascii="方正仿宋_GBK" w:hAnsi="方正仿宋_GBK" w:eastAsia="方正仿宋_GBK" w:cs="方正仿宋_GBK"/>
          <w:sz w:val="32"/>
          <w:szCs w:val="32"/>
          <w:shd w:val="clear" w:color="auto" w:fill="FFFFFF"/>
          <w:lang w:val="en-US" w:eastAsia="zh-CN"/>
        </w:rPr>
        <w:t>项目</w:t>
      </w:r>
      <w:r>
        <w:rPr>
          <w:rFonts w:hint="eastAsia" w:ascii="方正仿宋_GBK" w:hAnsi="方正仿宋_GBK" w:eastAsia="方正仿宋_GBK" w:cs="方正仿宋_GBK"/>
          <w:sz w:val="32"/>
          <w:szCs w:val="32"/>
          <w:shd w:val="clear" w:color="auto" w:fill="FFFFFF"/>
        </w:rPr>
        <w:t>经费</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8.6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较年初预算数增加8.6万元，增长100%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cs="Times New Roman"/>
          <w:sz w:val="32"/>
          <w:szCs w:val="32"/>
          <w:shd w:val="clear" w:color="auto" w:fill="FFFFFF"/>
        </w:rPr>
        <w:t>是2024年</w:t>
      </w:r>
      <w:r>
        <w:rPr>
          <w:rFonts w:hint="eastAsia" w:ascii="方正仿宋_GBK" w:hAnsi="方正仿宋_GBK" w:eastAsia="方正仿宋_GBK" w:cs="方正仿宋_GBK"/>
          <w:sz w:val="32"/>
          <w:szCs w:val="32"/>
          <w:shd w:val="clear" w:color="auto" w:fill="FFFFFF"/>
        </w:rPr>
        <w:t>年中</w:t>
      </w:r>
      <w:r>
        <w:rPr>
          <w:rFonts w:hint="eastAsia" w:ascii="方正仿宋_GBK" w:hAnsi="方正仿宋_GBK" w:eastAsia="方正仿宋_GBK" w:cs="方正仿宋_GBK"/>
          <w:sz w:val="32"/>
          <w:szCs w:val="32"/>
          <w:shd w:val="clear" w:color="auto" w:fill="FFFFFF"/>
          <w:lang w:eastAsia="zh-CN"/>
        </w:rPr>
        <w:t>下达</w:t>
      </w:r>
      <w:r>
        <w:rPr>
          <w:rFonts w:hint="eastAsia" w:ascii="Times New Roman" w:hAnsi="Times New Roman" w:eastAsia="方正仿宋_GBK" w:cs="Times New Roman"/>
          <w:sz w:val="32"/>
          <w:szCs w:val="32"/>
          <w:shd w:val="clear" w:color="auto" w:fill="FFFFFF"/>
        </w:rPr>
        <w:t>2023年车</w:t>
      </w:r>
      <w:r>
        <w:rPr>
          <w:rFonts w:hint="eastAsia" w:ascii="方正仿宋_GBK" w:hAnsi="方正仿宋_GBK" w:eastAsia="方正仿宋_GBK" w:cs="方正仿宋_GBK"/>
          <w:sz w:val="32"/>
          <w:szCs w:val="32"/>
          <w:shd w:val="clear" w:color="auto" w:fill="FFFFFF"/>
        </w:rPr>
        <w:t>辆购置税收入补助</w:t>
      </w:r>
      <w:r>
        <w:rPr>
          <w:rFonts w:hint="eastAsia" w:ascii="Times New Roman" w:hAnsi="Times New Roman" w:eastAsia="方正仿宋_GBK" w:cs="Times New Roman"/>
          <w:sz w:val="32"/>
          <w:szCs w:val="32"/>
          <w:shd w:val="clear" w:color="auto" w:fill="FFFFFF"/>
        </w:rPr>
        <w:t>地方资金</w:t>
      </w:r>
      <w:r>
        <w:rPr>
          <w:rFonts w:hint="eastAsia" w:ascii="Times New Roman" w:hAnsi="Times New Roman" w:eastAsia="方正仿宋_GBK" w:cs="Times New Roman"/>
          <w:sz w:val="32"/>
          <w:szCs w:val="32"/>
          <w:shd w:val="clear" w:color="auto" w:fill="FFFFFF"/>
          <w:lang w:val="en-US" w:eastAsia="zh-CN"/>
        </w:rPr>
        <w:t>共计8.6万元</w:t>
      </w:r>
      <w:r>
        <w:rPr>
          <w:rFonts w:hint="eastAsia" w:ascii="Times New Roman" w:hAnsi="Times New Roman" w:eastAsia="方正仿宋_GBK" w:cs="Times New Roman"/>
          <w:sz w:val="32"/>
          <w:szCs w:val="32"/>
          <w:shd w:val="clear" w:color="auto" w:fill="FFFFFF"/>
          <w:lang w:eastAsia="zh-CN"/>
        </w:rPr>
        <w:t>。</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较年初预算数增加0.75万元，增长100%</w:t>
      </w:r>
      <w:r>
        <w:rPr>
          <w:rFonts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cs="Times New Roman"/>
          <w:sz w:val="32"/>
          <w:szCs w:val="32"/>
          <w:shd w:val="clear" w:color="auto" w:fill="FFFFFF"/>
        </w:rPr>
        <w:t>是2024年年中</w:t>
      </w:r>
      <w:r>
        <w:rPr>
          <w:rFonts w:hint="eastAsia" w:ascii="方正仿宋_GBK" w:hAnsi="方正仿宋_GBK" w:eastAsia="方正仿宋_GBK" w:cs="方正仿宋_GBK"/>
          <w:sz w:val="32"/>
          <w:szCs w:val="32"/>
          <w:shd w:val="clear" w:color="auto" w:fill="FFFFFF"/>
          <w:lang w:eastAsia="zh-CN"/>
        </w:rPr>
        <w:t>下达</w:t>
      </w:r>
      <w:r>
        <w:rPr>
          <w:rFonts w:hint="eastAsia" w:ascii="仿宋_GB2312" w:hAnsi="仿宋" w:eastAsia="仿宋_GB2312"/>
          <w:color w:val="auto"/>
          <w:sz w:val="32"/>
          <w:szCs w:val="32"/>
          <w:lang w:val="en-US" w:eastAsia="zh-CN"/>
        </w:rPr>
        <w:t>地灾治理工作</w:t>
      </w:r>
      <w:r>
        <w:rPr>
          <w:rFonts w:hint="eastAsia" w:ascii="Times New Roman" w:hAnsi="Times New Roman" w:eastAsia="方正仿宋_GBK"/>
          <w:sz w:val="32"/>
          <w:szCs w:val="32"/>
          <w:shd w:val="clear" w:color="auto" w:fill="FFFFFF"/>
          <w:lang w:val="en-US" w:eastAsia="zh-CN"/>
        </w:rPr>
        <w:t>经费共计0.75万元。</w:t>
      </w:r>
    </w:p>
    <w:p>
      <w:pPr>
        <w:keepNext w:val="0"/>
        <w:keepLines w:val="0"/>
        <w:pageBreakBefore w:val="0"/>
        <w:kinsoku/>
        <w:overflowPunct/>
        <w:topLinePunct w:val="0"/>
        <w:autoSpaceDN/>
        <w:bidi w:val="0"/>
        <w:adjustRightInd/>
        <w:spacing w:line="600"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107.09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较年初预算数增加0.47万元，增长0.4%</w:t>
      </w:r>
      <w:r>
        <w:rPr>
          <w:rFonts w:ascii="方正仿宋_GBK" w:hAnsi="方正仿宋_GBK" w:eastAsia="方正仿宋_GBK" w:cs="方正仿宋_GBK"/>
          <w:sz w:val="32"/>
          <w:szCs w:val="32"/>
          <w:shd w:val="clear" w:color="auto" w:fill="FFFFFF"/>
        </w:rPr>
        <w:t>，主要</w:t>
      </w:r>
      <w:r>
        <w:rPr>
          <w:rFonts w:ascii="方正仿宋_GBK" w:hAnsi="方正仿宋_GBK" w:eastAsia="方正仿宋_GBK" w:cs="方正仿宋_GBK"/>
          <w:sz w:val="32"/>
          <w:szCs w:val="32"/>
        </w:rPr>
        <w:t>原因是</w:t>
      </w:r>
      <w:r>
        <w:rPr>
          <w:rFonts w:hint="eastAsia" w:ascii="方正仿宋_GBK" w:hAnsi="方正仿宋_GBK" w:eastAsia="方正仿宋_GBK" w:cs="方正仿宋_GBK"/>
          <w:sz w:val="32"/>
          <w:szCs w:val="32"/>
          <w:lang w:val="en-US" w:eastAsia="zh-CN"/>
        </w:rPr>
        <w:t>增人增资</w:t>
      </w:r>
      <w:r>
        <w:rPr>
          <w:rFonts w:ascii="方正仿宋_GBK" w:hAnsi="方正仿宋_GBK" w:eastAsia="方正仿宋_GBK" w:cs="方正仿宋_GBK"/>
          <w:sz w:val="32"/>
          <w:szCs w:val="32"/>
        </w:rPr>
        <w:t>。</w:t>
      </w:r>
    </w:p>
    <w:p>
      <w:pPr>
        <w:keepNext w:val="0"/>
        <w:keepLines w:val="0"/>
        <w:pageBreakBefore w:val="0"/>
        <w:kinsoku/>
        <w:overflowPunct/>
        <w:topLinePunct w:val="0"/>
        <w:autoSpaceDN/>
        <w:bidi w:val="0"/>
        <w:adjustRightInd/>
        <w:spacing w:line="600"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14</w:t>
      </w:r>
      <w:r>
        <w:rPr>
          <w:rFonts w:hint="default" w:ascii="Times New Roman" w:hAnsi="Times New Roman" w:eastAsia="方正仿宋_GBK" w:cs="Times New Roman"/>
          <w:sz w:val="32"/>
          <w:szCs w:val="32"/>
          <w:shd w:val="clear" w:color="auto" w:fill="FFFFFF"/>
          <w:lang w:val="en-US" w:eastAsia="zh-CN" w:bidi="ar-SA"/>
        </w:rPr>
        <w:t>）灾害防</w:t>
      </w:r>
      <w:r>
        <w:rPr>
          <w:rFonts w:ascii="方正仿宋_GBK" w:hAnsi="方正仿宋_GBK" w:eastAsia="方正仿宋_GBK" w:cs="方正仿宋_GBK"/>
          <w:sz w:val="32"/>
          <w:szCs w:val="32"/>
        </w:rPr>
        <w:t>治及应急管理支出</w:t>
      </w:r>
      <w:r>
        <w:rPr>
          <w:rFonts w:hint="default" w:ascii="Times New Roman" w:hAnsi="Times New Roman" w:eastAsia="方正仿宋_GBK"/>
          <w:sz w:val="32"/>
          <w:szCs w:val="32"/>
          <w:shd w:val="clear" w:color="auto" w:fill="FFFFFF"/>
        </w:rPr>
        <w:t>82.43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较年初预算数增加44.88万元，增长119.5%</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cs="Times New Roman"/>
          <w:sz w:val="32"/>
          <w:szCs w:val="32"/>
          <w:shd w:val="clear" w:color="auto" w:fill="FFFFFF"/>
        </w:rPr>
        <w:t>是2024年</w:t>
      </w:r>
      <w:r>
        <w:rPr>
          <w:rFonts w:hint="eastAsia" w:ascii="方正仿宋_GBK" w:hAnsi="方正仿宋_GBK" w:eastAsia="方正仿宋_GBK" w:cs="方正仿宋_GBK"/>
          <w:sz w:val="32"/>
          <w:szCs w:val="32"/>
          <w:shd w:val="clear" w:color="auto" w:fill="FFFFFF"/>
        </w:rPr>
        <w:t>年中</w:t>
      </w:r>
      <w:r>
        <w:rPr>
          <w:rFonts w:hint="eastAsia" w:ascii="方正仿宋_GBK" w:hAnsi="方正仿宋_GBK" w:eastAsia="方正仿宋_GBK" w:cs="方正仿宋_GBK"/>
          <w:sz w:val="32"/>
          <w:szCs w:val="32"/>
          <w:shd w:val="clear" w:color="auto" w:fill="FFFFFF"/>
          <w:lang w:eastAsia="zh-CN"/>
        </w:rPr>
        <w:t>下达</w:t>
      </w:r>
      <w:r>
        <w:rPr>
          <w:rFonts w:hint="eastAsia" w:ascii="方正仿宋_GBK" w:hAnsi="方正仿宋_GBK" w:eastAsia="方正仿宋_GBK" w:cs="方正仿宋_GBK"/>
          <w:sz w:val="32"/>
          <w:szCs w:val="32"/>
          <w:shd w:val="clear" w:color="auto" w:fill="FFFFFF"/>
        </w:rPr>
        <w:t>中央自然灾害救灾资金等</w:t>
      </w:r>
      <w:r>
        <w:rPr>
          <w:rFonts w:hint="eastAsia" w:ascii="方正仿宋_GBK" w:hAnsi="方正仿宋_GBK" w:eastAsia="方正仿宋_GBK" w:cs="方正仿宋_GBK"/>
          <w:sz w:val="32"/>
          <w:szCs w:val="32"/>
          <w:shd w:val="clear" w:color="auto" w:fill="FFFFFF"/>
          <w:lang w:val="en-US" w:eastAsia="zh-CN"/>
        </w:rPr>
        <w:t>项目</w:t>
      </w:r>
      <w:r>
        <w:rPr>
          <w:rFonts w:hint="eastAsia" w:ascii="方正仿宋_GBK" w:hAnsi="方正仿宋_GBK" w:eastAsia="方正仿宋_GBK" w:cs="方正仿宋_GBK"/>
          <w:sz w:val="32"/>
          <w:szCs w:val="32"/>
          <w:shd w:val="clear" w:color="auto" w:fill="FFFFFF"/>
        </w:rPr>
        <w:t>经费</w:t>
      </w:r>
      <w:r>
        <w:rPr>
          <w:rFonts w:hint="eastAsia" w:ascii="方正仿宋_GBK" w:hAnsi="方正仿宋_GBK" w:eastAsia="方正仿宋_GBK" w:cs="方正仿宋_GBK"/>
          <w:sz w:val="32"/>
          <w:szCs w:val="32"/>
          <w:shd w:val="clear" w:color="auto" w:fill="FFFFFF"/>
          <w:lang w:val="en-US" w:eastAsia="zh-CN"/>
        </w:rPr>
        <w:t>。</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2"/>
          <w:rFonts w:hint="default" w:ascii="Times New Roman" w:hAnsi="Times New Roman" w:eastAsia="方正仿宋_GBK"/>
          <w:sz w:val="32"/>
          <w:szCs w:val="32"/>
          <w:shd w:val="clear" w:color="auto" w:fill="FFFFFF"/>
        </w:rPr>
        <w:t>3</w:t>
      </w:r>
      <w:r>
        <w:rPr>
          <w:rStyle w:val="12"/>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一般公共预算财政拨款结转和结余，</w:t>
      </w:r>
      <w:r>
        <w:rPr>
          <w:rFonts w:hint="eastAsia" w:ascii="方正仿宋_GBK" w:hAnsi="方正仿宋_GBK" w:eastAsia="方正仿宋_GBK" w:cs="方正仿宋_GBK"/>
          <w:sz w:val="32"/>
          <w:szCs w:val="32"/>
          <w:shd w:val="clear" w:color="auto" w:fill="FFFFFF"/>
          <w:lang w:val="en-US" w:eastAsia="zh-CN"/>
        </w:rPr>
        <w:t>较</w:t>
      </w:r>
      <w:r>
        <w:rPr>
          <w:rFonts w:hint="default" w:ascii="Times New Roman" w:hAnsi="Times New Roman" w:eastAsia="方正仿宋_GBK"/>
          <w:sz w:val="32"/>
          <w:szCs w:val="32"/>
          <w:shd w:val="clear" w:color="auto" w:fill="FFFFFF"/>
        </w:rPr>
        <w:t>2023年度无增减</w:t>
      </w:r>
      <w:r>
        <w:rPr>
          <w:rFonts w:hint="eastAsia" w:ascii="方正仿宋_GBK" w:hAnsi="方正仿宋_GBK" w:eastAsia="方正仿宋_GBK" w:cs="方正仿宋_GBK"/>
          <w:sz w:val="32"/>
          <w:szCs w:val="32"/>
          <w:shd w:val="clear" w:color="auto" w:fill="FFFFFF"/>
          <w:lang w:eastAsia="zh-CN"/>
        </w:rPr>
        <w:t>。</w:t>
      </w:r>
    </w:p>
    <w:p>
      <w:pPr>
        <w:pStyle w:val="15"/>
        <w:keepNext w:val="0"/>
        <w:keepLines w:val="0"/>
        <w:pageBreakBefore w:val="0"/>
        <w:kinsoku/>
        <w:overflowPunct/>
        <w:topLinePunct w:val="0"/>
        <w:autoSpaceDE w:val="0"/>
        <w:autoSpaceDN/>
        <w:bidi w:val="0"/>
        <w:adjustRightInd/>
        <w:spacing w:line="600"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w:t>
      </w:r>
      <w:bookmarkStart w:id="0" w:name="_GoBack"/>
      <w:bookmarkEnd w:id="0"/>
      <w:r>
        <w:rPr>
          <w:rFonts w:ascii="方正仿宋_GBK" w:hAnsi="方正仿宋_GBK" w:eastAsia="方正仿宋_GBK" w:cs="方正仿宋_GBK"/>
          <w:sz w:val="32"/>
          <w:szCs w:val="32"/>
          <w:shd w:val="clear" w:color="auto" w:fill="FFFFFF"/>
        </w:rPr>
        <w:t>本支出</w:t>
      </w:r>
      <w:r>
        <w:rPr>
          <w:rFonts w:hint="default" w:ascii="Times New Roman" w:hAnsi="Times New Roman" w:eastAsia="方正仿宋_GBK"/>
          <w:sz w:val="32"/>
          <w:szCs w:val="32"/>
          <w:shd w:val="clear" w:color="auto" w:fill="FFFFFF"/>
        </w:rPr>
        <w:t>2020.54</w:t>
      </w:r>
      <w:r>
        <w:rPr>
          <w:rFonts w:ascii="方正仿宋_GBK" w:hAnsi="方正仿宋_GBK" w:eastAsia="方正仿宋_GBK" w:cs="方正仿宋_GBK"/>
          <w:sz w:val="32"/>
          <w:szCs w:val="32"/>
          <w:shd w:val="clear" w:color="auto" w:fill="FFFFFF"/>
        </w:rPr>
        <w:t>万元。</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1704.46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与2023年度相比，增加10.38万元，增长0.6%</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sz w:val="32"/>
          <w:szCs w:val="32"/>
          <w:shd w:val="clear" w:color="auto" w:fill="FFFFFF"/>
        </w:rPr>
        <w:t>是2024年</w:t>
      </w:r>
      <w:r>
        <w:rPr>
          <w:rFonts w:hint="eastAsia" w:ascii="Times New Roman" w:hAnsi="Times New Roman" w:eastAsia="方正仿宋_GBK"/>
          <w:sz w:val="32"/>
          <w:szCs w:val="32"/>
          <w:shd w:val="clear" w:color="auto" w:fill="FFFFFF"/>
          <w:lang w:val="en-US" w:eastAsia="zh-CN"/>
        </w:rPr>
        <w:t>度</w:t>
      </w:r>
      <w:r>
        <w:rPr>
          <w:rFonts w:hint="eastAsia" w:ascii="方正仿宋_GBK" w:hAnsi="方正仿宋_GBK" w:eastAsia="方正仿宋_GBK" w:cs="方正仿宋_GBK"/>
          <w:sz w:val="32"/>
          <w:szCs w:val="32"/>
          <w:shd w:val="clear" w:color="auto" w:fill="FFFFFF"/>
          <w:lang w:val="en-US" w:eastAsia="zh-CN"/>
        </w:rPr>
        <w:t>相关标准调整</w:t>
      </w:r>
      <w:r>
        <w:rPr>
          <w:rFonts w:hint="eastAsia"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人员</w:t>
      </w:r>
      <w:r>
        <w:rPr>
          <w:rFonts w:hint="default" w:ascii="Times New Roman" w:hAnsi="Times New Roman" w:eastAsia="方正仿宋_GBK" w:cs="Times New Roman"/>
          <w:color w:val="auto"/>
          <w:sz w:val="32"/>
          <w:szCs w:val="32"/>
          <w:shd w:val="clear" w:color="auto" w:fill="FFFFFF"/>
        </w:rPr>
        <w:t>经费用途主要包括</w:t>
      </w:r>
      <w:r>
        <w:rPr>
          <w:rFonts w:hint="default" w:ascii="Times New Roman" w:hAnsi="Times New Roman" w:eastAsia="方正仿宋_GBK" w:cs="Times New Roman"/>
          <w:color w:val="auto"/>
          <w:sz w:val="32"/>
          <w:szCs w:val="32"/>
          <w:shd w:val="clear" w:color="auto" w:fill="FFFFFF"/>
          <w:lang w:val="en-US" w:eastAsia="zh-CN"/>
        </w:rPr>
        <w:t>工资、保险、公积金等。</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316.09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与2023年度相比，减少11.34万元，下降3.5%</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主要原因是本</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严控办公经费，严格落实</w:t>
      </w:r>
      <w:r>
        <w:rPr>
          <w:rFonts w:hint="eastAsia" w:ascii="方正仿宋_GBK" w:hAnsi="方正仿宋_GBK" w:eastAsia="方正仿宋_GBK" w:cs="方正仿宋_GBK"/>
          <w:sz w:val="32"/>
          <w:szCs w:val="32"/>
          <w:shd w:val="clear" w:color="auto" w:fill="FFFFFF"/>
          <w:lang w:eastAsia="zh-CN"/>
        </w:rPr>
        <w:t>过紧日子</w:t>
      </w:r>
      <w:r>
        <w:rPr>
          <w:rFonts w:hint="eastAsia" w:ascii="方正仿宋_GBK" w:hAnsi="方正仿宋_GBK" w:eastAsia="方正仿宋_GBK" w:cs="方正仿宋_GBK"/>
          <w:sz w:val="32"/>
          <w:szCs w:val="32"/>
          <w:shd w:val="clear" w:color="auto" w:fill="FFFFFF"/>
        </w:rPr>
        <w:t>的要求。公用经费用途主要包括办公费、水费、电费、物业管理费、劳务费等。</w:t>
      </w:r>
    </w:p>
    <w:p>
      <w:pPr>
        <w:pStyle w:val="15"/>
        <w:keepNext w:val="0"/>
        <w:keepLines w:val="0"/>
        <w:pageBreakBefore w:val="0"/>
        <w:kinsoku/>
        <w:overflowPunct/>
        <w:topLinePunct w:val="0"/>
        <w:autoSpaceDE w:val="0"/>
        <w:autoSpaceDN/>
        <w:bidi w:val="0"/>
        <w:adjustRightInd/>
        <w:spacing w:line="600"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年度年初</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年末</w:t>
      </w:r>
      <w:r>
        <w:rPr>
          <w:rFonts w:hint="eastAsia" w:ascii="方正仿宋_GBK" w:hAnsi="方正仿宋_GBK" w:eastAsia="方正仿宋_GBK" w:cs="方正仿宋_GBK"/>
          <w:sz w:val="32"/>
          <w:szCs w:val="32"/>
          <w:shd w:val="clear" w:color="auto" w:fill="FFFFFF"/>
          <w:lang w:val="en-US" w:eastAsia="zh-CN"/>
        </w:rPr>
        <w:t>均无</w:t>
      </w:r>
      <w:r>
        <w:rPr>
          <w:rFonts w:ascii="方正仿宋_GBK" w:hAnsi="方正仿宋_GBK" w:eastAsia="方正仿宋_GBK" w:cs="方正仿宋_GBK"/>
          <w:sz w:val="32"/>
          <w:szCs w:val="32"/>
          <w:shd w:val="clear" w:color="auto" w:fill="FFFFFF"/>
        </w:rPr>
        <w:t>政府性基金预算财政拨款结转结余。本年收入</w:t>
      </w:r>
      <w:r>
        <w:rPr>
          <w:rFonts w:hint="default" w:ascii="Times New Roman" w:hAnsi="Times New Roman" w:eastAsia="方正仿宋_GBK"/>
          <w:sz w:val="32"/>
          <w:szCs w:val="32"/>
          <w:shd w:val="clear" w:color="auto" w:fill="FFFFFF"/>
        </w:rPr>
        <w:t>153.37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与2023年度相比，增加83.64万元，增长120%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cs="Times New Roman"/>
          <w:sz w:val="32"/>
          <w:szCs w:val="32"/>
          <w:shd w:val="clear" w:color="auto" w:fill="FFFFFF"/>
        </w:rPr>
        <w:t>是2024年年中</w:t>
      </w:r>
      <w:r>
        <w:rPr>
          <w:rFonts w:hint="eastAsia" w:ascii="Times New Roman" w:hAnsi="Times New Roman" w:eastAsia="方正仿宋_GBK" w:cs="Times New Roman"/>
          <w:sz w:val="32"/>
          <w:szCs w:val="32"/>
          <w:shd w:val="clear" w:color="auto" w:fill="FFFFFF"/>
          <w:lang w:eastAsia="zh-CN"/>
        </w:rPr>
        <w:t>下达</w:t>
      </w:r>
      <w:r>
        <w:rPr>
          <w:rFonts w:hint="eastAsia" w:ascii="Times New Roman" w:hAnsi="Times New Roman" w:eastAsia="方正仿宋_GBK" w:cs="Times New Roman"/>
          <w:sz w:val="32"/>
          <w:szCs w:val="32"/>
          <w:shd w:val="clear" w:color="auto" w:fill="FFFFFF"/>
        </w:rPr>
        <w:t>养老服务站建设补助</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体彩公益金</w:t>
      </w:r>
      <w:r>
        <w:rPr>
          <w:rFonts w:hint="eastAsia" w:ascii="Times New Roman" w:hAnsi="Times New Roman" w:eastAsia="方正仿宋_GBK" w:cs="Times New Roman"/>
          <w:sz w:val="32"/>
          <w:szCs w:val="32"/>
          <w:shd w:val="clear" w:color="auto" w:fill="FFFFFF"/>
        </w:rPr>
        <w:t>等</w:t>
      </w:r>
      <w:r>
        <w:rPr>
          <w:rFonts w:hint="eastAsia" w:ascii="Times New Roman" w:hAnsi="Times New Roman" w:eastAsia="方正仿宋_GBK" w:cs="Times New Roman"/>
          <w:sz w:val="32"/>
          <w:szCs w:val="32"/>
          <w:shd w:val="clear" w:color="auto" w:fill="FFFFFF"/>
          <w:lang w:val="en-US" w:eastAsia="zh-CN"/>
        </w:rPr>
        <w:t>项目经费金额大于</w:t>
      </w:r>
      <w:r>
        <w:rPr>
          <w:rFonts w:hint="eastAsia" w:ascii="Times New Roman" w:hAnsi="Times New Roman" w:eastAsia="方正仿宋_GBK" w:cs="Times New Roman"/>
          <w:sz w:val="32"/>
          <w:szCs w:val="32"/>
          <w:shd w:val="clear" w:color="auto" w:fill="FFFFFF"/>
        </w:rPr>
        <w:t>2023年年中</w:t>
      </w:r>
      <w:r>
        <w:rPr>
          <w:rFonts w:hint="eastAsia" w:ascii="Times New Roman" w:hAnsi="Times New Roman" w:eastAsia="方正仿宋_GBK" w:cs="Times New Roman"/>
          <w:sz w:val="32"/>
          <w:szCs w:val="32"/>
          <w:shd w:val="clear" w:color="auto" w:fill="FFFFFF"/>
          <w:lang w:eastAsia="zh-CN"/>
        </w:rPr>
        <w:t>下达</w:t>
      </w:r>
      <w:r>
        <w:rPr>
          <w:rFonts w:hint="eastAsia" w:ascii="Times New Roman" w:hAnsi="Times New Roman" w:eastAsia="方正仿宋_GBK" w:cs="Times New Roman"/>
          <w:sz w:val="32"/>
          <w:szCs w:val="32"/>
          <w:shd w:val="clear" w:color="auto" w:fill="FFFFFF"/>
          <w:lang w:val="en-US" w:eastAsia="zh-CN"/>
        </w:rPr>
        <w:t>的金额</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153.37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与2023年度相比，增加83.64万元，增长120%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cs="Times New Roman"/>
          <w:sz w:val="32"/>
          <w:szCs w:val="32"/>
          <w:shd w:val="clear" w:color="auto" w:fill="FFFFFF"/>
        </w:rPr>
        <w:t>是2024年年中</w:t>
      </w:r>
      <w:r>
        <w:rPr>
          <w:rFonts w:hint="eastAsia" w:ascii="Times New Roman" w:hAnsi="Times New Roman" w:eastAsia="方正仿宋_GBK" w:cs="Times New Roman"/>
          <w:sz w:val="32"/>
          <w:szCs w:val="32"/>
          <w:shd w:val="clear" w:color="auto" w:fill="FFFFFF"/>
          <w:lang w:eastAsia="zh-CN"/>
        </w:rPr>
        <w:t>下达</w:t>
      </w:r>
      <w:r>
        <w:rPr>
          <w:rFonts w:hint="eastAsia" w:ascii="Times New Roman" w:hAnsi="Times New Roman" w:eastAsia="方正仿宋_GBK" w:cs="Times New Roman"/>
          <w:sz w:val="32"/>
          <w:szCs w:val="32"/>
          <w:shd w:val="clear" w:color="auto" w:fill="FFFFFF"/>
        </w:rPr>
        <w:t>养老服务站建设补助</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体彩公益金</w:t>
      </w:r>
      <w:r>
        <w:rPr>
          <w:rFonts w:hint="eastAsia" w:ascii="Times New Roman" w:hAnsi="Times New Roman" w:eastAsia="方正仿宋_GBK" w:cs="Times New Roman"/>
          <w:sz w:val="32"/>
          <w:szCs w:val="32"/>
          <w:shd w:val="clear" w:color="auto" w:fill="FFFFFF"/>
        </w:rPr>
        <w:t>等</w:t>
      </w:r>
      <w:r>
        <w:rPr>
          <w:rFonts w:hint="eastAsia" w:ascii="Times New Roman" w:hAnsi="Times New Roman" w:eastAsia="方正仿宋_GBK" w:cs="Times New Roman"/>
          <w:sz w:val="32"/>
          <w:szCs w:val="32"/>
          <w:shd w:val="clear" w:color="auto" w:fill="FFFFFF"/>
          <w:lang w:val="en-US" w:eastAsia="zh-CN"/>
        </w:rPr>
        <w:t>项目经费金额大于</w:t>
      </w:r>
      <w:r>
        <w:rPr>
          <w:rFonts w:hint="eastAsia" w:ascii="Times New Roman" w:hAnsi="Times New Roman" w:eastAsia="方正仿宋_GBK" w:cs="Times New Roman"/>
          <w:sz w:val="32"/>
          <w:szCs w:val="32"/>
          <w:shd w:val="clear" w:color="auto" w:fill="FFFFFF"/>
        </w:rPr>
        <w:t>2023年年中</w:t>
      </w:r>
      <w:r>
        <w:rPr>
          <w:rFonts w:hint="eastAsia" w:ascii="Times New Roman" w:hAnsi="Times New Roman" w:eastAsia="方正仿宋_GBK" w:cs="Times New Roman"/>
          <w:sz w:val="32"/>
          <w:szCs w:val="32"/>
          <w:shd w:val="clear" w:color="auto" w:fill="FFFFFF"/>
          <w:lang w:eastAsia="zh-CN"/>
        </w:rPr>
        <w:t>下达</w:t>
      </w:r>
      <w:r>
        <w:rPr>
          <w:rFonts w:hint="eastAsia" w:ascii="Times New Roman" w:hAnsi="Times New Roman" w:eastAsia="方正仿宋_GBK" w:cs="Times New Roman"/>
          <w:sz w:val="32"/>
          <w:szCs w:val="32"/>
          <w:shd w:val="clear" w:color="auto" w:fill="FFFFFF"/>
          <w:lang w:val="en-US" w:eastAsia="zh-CN"/>
        </w:rPr>
        <w:t>的金额</w:t>
      </w:r>
      <w:r>
        <w:rPr>
          <w:rFonts w:hint="eastAsia" w:ascii="方正仿宋_GBK" w:hAnsi="方正仿宋_GBK" w:eastAsia="方正仿宋_GBK" w:cs="方正仿宋_GBK"/>
          <w:sz w:val="32"/>
          <w:szCs w:val="32"/>
          <w:shd w:val="clear" w:color="auto" w:fill="FFFFFF"/>
        </w:rPr>
        <w:t>。</w:t>
      </w:r>
    </w:p>
    <w:p>
      <w:pPr>
        <w:pStyle w:val="15"/>
        <w:keepNext w:val="0"/>
        <w:keepLines w:val="0"/>
        <w:pageBreakBefore w:val="0"/>
        <w:kinsoku/>
        <w:overflowPunct/>
        <w:topLinePunct w:val="0"/>
        <w:autoSpaceDE w:val="0"/>
        <w:autoSpaceDN/>
        <w:bidi w:val="0"/>
        <w:adjustRightInd/>
        <w:spacing w:line="600"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本部门</w:t>
      </w:r>
      <w:r>
        <w:rPr>
          <w:rFonts w:hint="default" w:ascii="Times New Roman" w:hAnsi="Times New Roman" w:eastAsia="方正仿宋_GBK" w:cs="Times New Roman"/>
          <w:sz w:val="32"/>
          <w:szCs w:val="32"/>
          <w:shd w:val="clear" w:color="auto" w:fill="FFFFFF"/>
        </w:rPr>
        <w:t>2024</w:t>
      </w:r>
      <w:r>
        <w:rPr>
          <w:rFonts w:hint="eastAsia" w:ascii="Times New Roman" w:hAnsi="Times New Roman" w:eastAsia="方正仿宋_GBK" w:cs="Times New Roman"/>
          <w:sz w:val="32"/>
          <w:szCs w:val="32"/>
          <w:shd w:val="clear" w:color="auto" w:fill="FFFFFF"/>
        </w:rPr>
        <w:t>年度无国有资本经营预算财政拨款支出。</w:t>
      </w:r>
    </w:p>
    <w:p>
      <w:pPr>
        <w:pStyle w:val="10"/>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rPr>
          <w:rStyle w:val="12"/>
          <w:rFonts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三、财政拨款“三公”经费情况说明</w:t>
      </w:r>
    </w:p>
    <w:p>
      <w:pPr>
        <w:pStyle w:val="15"/>
        <w:keepNext w:val="0"/>
        <w:keepLines w:val="0"/>
        <w:pageBreakBefore w:val="0"/>
        <w:kinsoku/>
        <w:overflowPunct/>
        <w:topLinePunct w:val="0"/>
        <w:autoSpaceDE w:val="0"/>
        <w:autoSpaceDN/>
        <w:bidi w:val="0"/>
        <w:adjustRightInd/>
        <w:spacing w:line="600"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9.61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较年初预算数减少10.39万元，下降52%</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主要原因是本</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厉行节约，高效使用公务车。</w:t>
      </w:r>
      <w:r>
        <w:rPr>
          <w:rFonts w:hint="default" w:ascii="Times New Roman" w:hAnsi="Times New Roman" w:eastAsia="方正仿宋_GBK"/>
          <w:sz w:val="32"/>
          <w:szCs w:val="32"/>
          <w:shd w:val="clear" w:color="auto" w:fill="FFFFFF"/>
        </w:rPr>
        <w:t>较上年支出数增加0.52万元，增长5.7%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cs="Times New Roman"/>
          <w:sz w:val="32"/>
          <w:szCs w:val="32"/>
          <w:shd w:val="clear" w:color="auto" w:fill="FFFFFF"/>
        </w:rPr>
        <w:t>是</w:t>
      </w:r>
      <w:r>
        <w:rPr>
          <w:rFonts w:hint="eastAsia" w:ascii="Times New Roman" w:hAnsi="Times New Roman" w:eastAsia="方正仿宋_GBK" w:cs="Times New Roman"/>
          <w:sz w:val="32"/>
          <w:szCs w:val="32"/>
          <w:shd w:val="clear" w:color="auto" w:fill="FFFFFF"/>
          <w:lang w:val="en-US" w:eastAsia="zh-CN"/>
        </w:rPr>
        <w:t>本部门</w:t>
      </w:r>
      <w:r>
        <w:rPr>
          <w:rFonts w:hint="eastAsia" w:ascii="Times New Roman" w:hAnsi="Times New Roman" w:eastAsia="方正仿宋_GBK" w:cs="Times New Roman"/>
          <w:sz w:val="32"/>
          <w:szCs w:val="32"/>
          <w:shd w:val="clear" w:color="auto" w:fill="FFFFFF"/>
        </w:rPr>
        <w:t>有1辆公务车老旧，2024年</w:t>
      </w:r>
      <w:r>
        <w:rPr>
          <w:rFonts w:hint="eastAsia" w:ascii="Times New Roman" w:hAnsi="Times New Roman" w:eastAsia="方正仿宋_GBK" w:cs="Times New Roman"/>
          <w:sz w:val="32"/>
          <w:szCs w:val="32"/>
          <w:shd w:val="clear" w:color="auto" w:fill="FFFFFF"/>
          <w:lang w:val="en-US" w:eastAsia="zh-CN"/>
        </w:rPr>
        <w:t>期间</w:t>
      </w:r>
      <w:r>
        <w:rPr>
          <w:rFonts w:hint="eastAsia" w:ascii="Times New Roman" w:hAnsi="Times New Roman" w:eastAsia="方正仿宋_GBK" w:cs="Times New Roman"/>
          <w:sz w:val="32"/>
          <w:szCs w:val="32"/>
          <w:shd w:val="clear" w:color="auto" w:fill="FFFFFF"/>
        </w:rPr>
        <w:t>保养维修费用较多、耗油</w:t>
      </w:r>
      <w:r>
        <w:rPr>
          <w:rFonts w:hint="eastAsia" w:ascii="方正仿宋_GBK" w:hAnsi="方正仿宋_GBK" w:eastAsia="方正仿宋_GBK" w:cs="方正仿宋_GBK"/>
          <w:sz w:val="32"/>
          <w:szCs w:val="32"/>
          <w:shd w:val="clear" w:color="auto" w:fill="FFFFFF"/>
        </w:rPr>
        <w:t>量较大。</w:t>
      </w:r>
    </w:p>
    <w:p>
      <w:pPr>
        <w:pStyle w:val="15"/>
        <w:keepNext w:val="0"/>
        <w:keepLines w:val="0"/>
        <w:pageBreakBefore w:val="0"/>
        <w:kinsoku/>
        <w:overflowPunct/>
        <w:topLinePunct w:val="0"/>
        <w:autoSpaceDE w:val="0"/>
        <w:autoSpaceDN/>
        <w:bidi w:val="0"/>
        <w:adjustRightInd/>
        <w:spacing w:line="600"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9.61</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val="en-US" w:eastAsia="zh-CN"/>
        </w:rPr>
        <w:t>公务车</w:t>
      </w:r>
      <w:r>
        <w:rPr>
          <w:rFonts w:hint="default" w:ascii="Times New Roman" w:hAnsi="Times New Roman" w:eastAsia="方正仿宋_GBK" w:cs="Times New Roman"/>
          <w:sz w:val="32"/>
          <w:szCs w:val="32"/>
          <w:shd w:val="clear" w:color="auto" w:fill="FFFFFF"/>
        </w:rPr>
        <w:t>维修保养</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加油费、洗停车费等。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较年初预算数减少10.39万元，下降52%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厉行节约，高效使用公务车。</w:t>
      </w:r>
      <w:r>
        <w:rPr>
          <w:rFonts w:hint="default" w:ascii="Times New Roman" w:hAnsi="Times New Roman" w:eastAsia="方正仿宋_GBK"/>
          <w:sz w:val="32"/>
          <w:szCs w:val="32"/>
          <w:shd w:val="clear" w:color="auto" w:fill="FFFFFF"/>
        </w:rPr>
        <w:t>较上年支出数增加0.52万元，增长5.7%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本部门</w:t>
      </w:r>
      <w:r>
        <w:rPr>
          <w:rFonts w:hint="eastAsia" w:ascii="Times New Roman" w:hAnsi="Times New Roman" w:eastAsia="方正仿宋_GBK" w:cs="Times New Roman"/>
          <w:sz w:val="32"/>
          <w:szCs w:val="32"/>
          <w:shd w:val="clear" w:color="auto" w:fill="FFFFFF"/>
        </w:rPr>
        <w:t>有1辆公务车老旧，2024年</w:t>
      </w:r>
      <w:r>
        <w:rPr>
          <w:rFonts w:hint="eastAsia" w:ascii="Times New Roman" w:hAnsi="Times New Roman" w:eastAsia="方正仿宋_GBK" w:cs="Times New Roman"/>
          <w:sz w:val="32"/>
          <w:szCs w:val="32"/>
          <w:shd w:val="clear" w:color="auto" w:fill="FFFFFF"/>
          <w:lang w:val="en-US" w:eastAsia="zh-CN"/>
        </w:rPr>
        <w:t>期间</w:t>
      </w:r>
      <w:r>
        <w:rPr>
          <w:rFonts w:hint="eastAsia" w:ascii="Times New Roman" w:hAnsi="Times New Roman" w:eastAsia="方正仿宋_GBK" w:cs="Times New Roman"/>
          <w:sz w:val="32"/>
          <w:szCs w:val="32"/>
          <w:shd w:val="clear" w:color="auto" w:fill="FFFFFF"/>
        </w:rPr>
        <w:t>保养维修费用较多、耗油</w:t>
      </w:r>
      <w:r>
        <w:rPr>
          <w:rFonts w:hint="eastAsia" w:ascii="方正仿宋_GBK" w:hAnsi="方正仿宋_GBK" w:eastAsia="方正仿宋_GBK" w:cs="方正仿宋_GBK"/>
          <w:sz w:val="32"/>
          <w:szCs w:val="32"/>
          <w:shd w:val="clear" w:color="auto" w:fill="FFFFFF"/>
        </w:rPr>
        <w:t>量较大。</w:t>
      </w:r>
    </w:p>
    <w:p>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15"/>
        <w:keepNext w:val="0"/>
        <w:keepLines w:val="0"/>
        <w:pageBreakBefore w:val="0"/>
        <w:kinsoku/>
        <w:overflowPunct/>
        <w:topLinePunct w:val="0"/>
        <w:autoSpaceDE w:val="0"/>
        <w:autoSpaceDN/>
        <w:bidi w:val="0"/>
        <w:adjustRightInd/>
        <w:spacing w:line="600"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10"/>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部门因公出国（境）共计0个团组，0人；公务用车购置0辆，公务车保有量为4辆；国内公务接待0批次0人，其中：国内外事接待0批次，0人；国（境）外公务接待0批次，0人。2024年本部门人均接待费0元，车均购置费0万元，车均维护费2.4万元。</w:t>
      </w:r>
    </w:p>
    <w:p>
      <w:pPr>
        <w:pStyle w:val="10"/>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rPr>
          <w:rStyle w:val="12"/>
          <w:rFonts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pPr>
        <w:pStyle w:val="10"/>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eastAsia" w:ascii="Times New Roman" w:hAnsi="Times New Roman" w:eastAsia="方正仿宋_GBK" w:cs="Times New Roman"/>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与2023年度相比，增加0.68万元，增长100%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cs="Times New Roman"/>
          <w:sz w:val="32"/>
          <w:szCs w:val="32"/>
          <w:shd w:val="clear" w:color="auto" w:fill="FFFFFF"/>
        </w:rPr>
        <w:t>是2024年</w:t>
      </w:r>
      <w:r>
        <w:rPr>
          <w:rFonts w:hint="eastAsia" w:ascii="Times New Roman" w:hAnsi="Times New Roman" w:eastAsia="方正仿宋_GBK" w:cs="Times New Roman"/>
          <w:sz w:val="32"/>
          <w:szCs w:val="32"/>
          <w:shd w:val="clear" w:color="auto" w:fill="FFFFFF"/>
          <w:lang w:val="en-US" w:eastAsia="zh-CN"/>
        </w:rPr>
        <w:t>本部门</w:t>
      </w:r>
      <w:r>
        <w:rPr>
          <w:rFonts w:hint="eastAsia" w:ascii="Times New Roman" w:hAnsi="Times New Roman" w:eastAsia="方正仿宋_GBK" w:cs="Times New Roman"/>
          <w:sz w:val="32"/>
          <w:szCs w:val="32"/>
          <w:shd w:val="clear" w:color="auto" w:fill="FFFFFF"/>
        </w:rPr>
        <w:t>组</w:t>
      </w:r>
      <w:r>
        <w:rPr>
          <w:rFonts w:hint="eastAsia" w:ascii="方正仿宋_GBK" w:hAnsi="方正仿宋_GBK" w:eastAsia="方正仿宋_GBK" w:cs="方正仿宋_GBK"/>
          <w:sz w:val="32"/>
          <w:szCs w:val="32"/>
          <w:shd w:val="clear" w:color="auto" w:fill="FFFFFF"/>
        </w:rPr>
        <w:t>织召开人大议事代表</w:t>
      </w:r>
      <w:r>
        <w:rPr>
          <w:rFonts w:hint="eastAsia" w:ascii="方正仿宋_GBK" w:hAnsi="方正仿宋_GBK" w:eastAsia="方正仿宋_GBK" w:cs="方正仿宋_GBK"/>
          <w:sz w:val="32"/>
          <w:szCs w:val="32"/>
          <w:shd w:val="clear" w:color="auto" w:fill="FFFFFF"/>
          <w:lang w:val="en-US" w:eastAsia="zh-CN"/>
        </w:rPr>
        <w:t>等工作</w:t>
      </w:r>
      <w:r>
        <w:rPr>
          <w:rFonts w:hint="eastAsia" w:ascii="方正仿宋_GBK" w:hAnsi="方正仿宋_GBK" w:eastAsia="方正仿宋_GBK" w:cs="方正仿宋_GBK"/>
          <w:sz w:val="32"/>
          <w:szCs w:val="32"/>
          <w:shd w:val="clear" w:color="auto" w:fill="FFFFFF"/>
        </w:rPr>
        <w:t>会议。</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与2023年度相比，减少2.4万元，下降90.9%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cs="Times New Roman"/>
          <w:sz w:val="32"/>
          <w:szCs w:val="32"/>
          <w:shd w:val="clear" w:color="auto" w:fill="FFFFFF"/>
        </w:rPr>
        <w:t>是2024年</w:t>
      </w:r>
      <w:r>
        <w:rPr>
          <w:rFonts w:hint="eastAsia" w:ascii="方正仿宋_GBK" w:hAnsi="方正仿宋_GBK" w:eastAsia="方正仿宋_GBK" w:cs="方正仿宋_GBK"/>
          <w:sz w:val="32"/>
          <w:szCs w:val="32"/>
          <w:shd w:val="clear" w:color="auto" w:fill="FFFFFF"/>
        </w:rPr>
        <w:t>减少</w:t>
      </w:r>
      <w:r>
        <w:rPr>
          <w:rFonts w:hint="eastAsia" w:ascii="方正仿宋_GBK" w:hAnsi="方正仿宋_GBK" w:eastAsia="方正仿宋_GBK" w:cs="方正仿宋_GBK"/>
          <w:sz w:val="32"/>
          <w:szCs w:val="32"/>
          <w:shd w:val="clear" w:color="auto" w:fill="FFFFFF"/>
          <w:lang w:val="en-US" w:eastAsia="zh-CN"/>
        </w:rPr>
        <w:t>线下</w:t>
      </w:r>
      <w:r>
        <w:rPr>
          <w:rFonts w:hint="eastAsia" w:ascii="方正仿宋_GBK" w:hAnsi="方正仿宋_GBK" w:eastAsia="方正仿宋_GBK" w:cs="方正仿宋_GBK"/>
          <w:sz w:val="32"/>
          <w:szCs w:val="32"/>
          <w:shd w:val="clear" w:color="auto" w:fill="FFFFFF"/>
        </w:rPr>
        <w:t>培训</w:t>
      </w:r>
      <w:r>
        <w:rPr>
          <w:rFonts w:hint="eastAsia" w:ascii="方正仿宋_GBK" w:hAnsi="方正仿宋_GBK" w:eastAsia="方正仿宋_GBK" w:cs="方正仿宋_GBK"/>
          <w:sz w:val="32"/>
          <w:szCs w:val="32"/>
          <w:shd w:val="clear" w:color="auto" w:fill="FFFFFF"/>
          <w:lang w:val="en-US" w:eastAsia="zh-CN"/>
        </w:rPr>
        <w:t>费用</w:t>
      </w:r>
      <w:r>
        <w:rPr>
          <w:rFonts w:hint="eastAsia" w:ascii="方正仿宋_GBK" w:hAnsi="方正仿宋_GBK" w:eastAsia="方正仿宋_GBK" w:cs="方正仿宋_GBK"/>
          <w:sz w:val="32"/>
          <w:szCs w:val="32"/>
          <w:shd w:val="clear" w:color="auto" w:fill="FFFFFF"/>
        </w:rPr>
        <w:t>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10.32</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与2023年度相比，减少3.56万元，下降25.7%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cs="Times New Roman"/>
          <w:sz w:val="32"/>
          <w:szCs w:val="32"/>
          <w:shd w:val="clear" w:color="auto" w:fill="FFFFFF"/>
        </w:rPr>
        <w:t>是2024年</w:t>
      </w:r>
      <w:r>
        <w:rPr>
          <w:rFonts w:hint="eastAsia" w:ascii="Times New Roman" w:hAnsi="Times New Roman" w:eastAsia="方正仿宋_GBK" w:cs="Times New Roman"/>
          <w:sz w:val="32"/>
          <w:szCs w:val="32"/>
          <w:shd w:val="clear" w:color="auto" w:fill="FFFFFF"/>
          <w:lang w:val="en-US" w:eastAsia="zh-CN"/>
        </w:rPr>
        <w:t>度减少了外出学习产生的</w:t>
      </w:r>
      <w:r>
        <w:rPr>
          <w:rFonts w:hint="eastAsia" w:ascii="方正仿宋_GBK" w:hAnsi="方正仿宋_GBK" w:eastAsia="方正仿宋_GBK" w:cs="方正仿宋_GBK"/>
          <w:sz w:val="32"/>
          <w:szCs w:val="32"/>
          <w:shd w:val="clear" w:color="auto" w:fill="FFFFFF"/>
          <w:lang w:val="en-US" w:eastAsia="zh-CN"/>
        </w:rPr>
        <w:t>相关</w:t>
      </w:r>
      <w:r>
        <w:rPr>
          <w:rFonts w:hint="eastAsia" w:ascii="Times New Roman" w:hAnsi="Times New Roman" w:eastAsia="方正仿宋_GBK" w:cs="Times New Roman"/>
          <w:sz w:val="32"/>
          <w:szCs w:val="32"/>
          <w:shd w:val="clear" w:color="auto" w:fill="FFFFFF"/>
          <w:lang w:val="en-US" w:eastAsia="zh-CN"/>
        </w:rPr>
        <w:t>差旅费支出</w:t>
      </w:r>
      <w:r>
        <w:rPr>
          <w:rFonts w:hint="eastAsia" w:ascii="Times New Roman" w:hAnsi="Times New Roman" w:eastAsia="方正仿宋_GBK" w:cs="Times New Roman"/>
          <w:sz w:val="32"/>
          <w:szCs w:val="32"/>
          <w:shd w:val="clear" w:color="auto" w:fill="FFFFFF"/>
        </w:rPr>
        <w:t>。</w:t>
      </w:r>
    </w:p>
    <w:p>
      <w:pPr>
        <w:pStyle w:val="15"/>
        <w:keepNext w:val="0"/>
        <w:keepLines w:val="0"/>
        <w:pageBreakBefore w:val="0"/>
        <w:kinsoku/>
        <w:overflowPunct/>
        <w:topLinePunct w:val="0"/>
        <w:autoSpaceDE w:val="0"/>
        <w:autoSpaceDN/>
        <w:bidi w:val="0"/>
        <w:adjustRightInd/>
        <w:spacing w:line="600"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209.62</w:t>
      </w:r>
      <w:r>
        <w:rPr>
          <w:rFonts w:ascii="方正仿宋_GBK" w:hAnsi="方正仿宋_GBK" w:eastAsia="方正仿宋_GBK" w:cs="方正仿宋_GBK"/>
          <w:sz w:val="32"/>
          <w:szCs w:val="32"/>
          <w:shd w:val="clear" w:color="auto" w:fill="FFFFFF"/>
        </w:rPr>
        <w:t>万元机关运行经费</w:t>
      </w:r>
      <w:r>
        <w:rPr>
          <w:rFonts w:hint="eastAsia" w:ascii="方正仿宋_GBK" w:hAnsi="方正仿宋_GBK" w:eastAsia="方正仿宋_GBK" w:cs="方正仿宋_GBK"/>
          <w:sz w:val="32"/>
          <w:szCs w:val="32"/>
          <w:shd w:val="clear" w:color="auto" w:fill="FFFFFF"/>
        </w:rPr>
        <w:t>主要用于开支办公费、电费、水费、邮电费、物业管理费、劳务费等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较上年支出数减少11.13万元，下降5%</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主要原因是本</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厉行节约，严格落实过紧日子的要求。</w:t>
      </w:r>
    </w:p>
    <w:p>
      <w:pPr>
        <w:pStyle w:val="15"/>
        <w:keepNext w:val="0"/>
        <w:keepLines w:val="0"/>
        <w:pageBreakBefore w:val="0"/>
        <w:kinsoku/>
        <w:overflowPunct/>
        <w:topLinePunct w:val="0"/>
        <w:autoSpaceDE w:val="0"/>
        <w:autoSpaceDN/>
        <w:bidi w:val="0"/>
        <w:adjustRightInd/>
        <w:spacing w:line="600"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截至2024年12月31日，本</w:t>
      </w:r>
      <w:r>
        <w:rPr>
          <w:rFonts w:hint="eastAsia" w:ascii="Times New Roman" w:hAnsi="Times New Roman" w:eastAsia="方正仿宋_GBK"/>
          <w:sz w:val="32"/>
          <w:szCs w:val="32"/>
          <w:shd w:val="clear" w:color="auto" w:fill="FFFFFF"/>
          <w:lang w:eastAsia="zh-CN"/>
        </w:rPr>
        <w:t>部门</w:t>
      </w:r>
      <w:r>
        <w:rPr>
          <w:rFonts w:hint="eastAsia" w:ascii="Times New Roman" w:hAnsi="Times New Roman" w:eastAsia="方正仿宋_GBK"/>
          <w:sz w:val="32"/>
          <w:szCs w:val="32"/>
          <w:shd w:val="clear" w:color="auto" w:fill="FFFFFF"/>
        </w:rPr>
        <w:t>共有车辆</w:t>
      </w:r>
      <w:r>
        <w:rPr>
          <w:rFonts w:hint="eastAsia" w:ascii="Times New Roman" w:hAnsi="Times New Roman" w:eastAsia="方正仿宋_GBK"/>
          <w:sz w:val="32"/>
          <w:szCs w:val="32"/>
          <w:shd w:val="clear" w:color="auto" w:fill="FFFFFF"/>
          <w:lang w:val="en-US" w:eastAsia="zh-CN"/>
        </w:rPr>
        <w:t>4</w:t>
      </w:r>
      <w:r>
        <w:rPr>
          <w:rFonts w:hint="eastAsia" w:ascii="Times New Roman" w:hAnsi="Times New Roman" w:eastAsia="方正仿宋_GBK"/>
          <w:sz w:val="32"/>
          <w:szCs w:val="32"/>
          <w:shd w:val="clear" w:color="auto" w:fill="FFFFFF"/>
        </w:rPr>
        <w:t>辆，其中，副部（省）级及以上领导用车0辆、主要负责人用车0辆、机要通信用车</w:t>
      </w:r>
      <w:r>
        <w:rPr>
          <w:rFonts w:hint="eastAsia" w:ascii="Times New Roman" w:hAnsi="Times New Roman" w:eastAsia="方正仿宋_GBK"/>
          <w:sz w:val="32"/>
          <w:szCs w:val="32"/>
          <w:shd w:val="clear" w:color="auto" w:fill="FFFFFF"/>
          <w:lang w:val="en-US" w:eastAsia="zh-CN"/>
        </w:rPr>
        <w:t>1</w:t>
      </w:r>
      <w:r>
        <w:rPr>
          <w:rFonts w:hint="eastAsia" w:ascii="Times New Roman" w:hAnsi="Times New Roman" w:eastAsia="方正仿宋_GBK"/>
          <w:sz w:val="32"/>
          <w:szCs w:val="32"/>
          <w:shd w:val="clear" w:color="auto" w:fill="FFFFFF"/>
        </w:rPr>
        <w:t>辆、应急保障用车</w:t>
      </w:r>
      <w:r>
        <w:rPr>
          <w:rFonts w:hint="eastAsia" w:ascii="Times New Roman" w:hAnsi="Times New Roman" w:eastAsia="方正仿宋_GBK"/>
          <w:sz w:val="32"/>
          <w:szCs w:val="32"/>
          <w:shd w:val="clear" w:color="auto" w:fill="FFFFFF"/>
          <w:lang w:val="en-US" w:eastAsia="zh-CN"/>
        </w:rPr>
        <w:t>3</w:t>
      </w:r>
      <w:r>
        <w:rPr>
          <w:rFonts w:hint="eastAsia" w:ascii="Times New Roman" w:hAnsi="Times New Roman" w:eastAsia="方正仿宋_GBK"/>
          <w:sz w:val="32"/>
          <w:szCs w:val="32"/>
          <w:shd w:val="clear" w:color="auto" w:fill="FFFFFF"/>
        </w:rPr>
        <w:t>辆、执法执勤用车0辆，特种专业技术用车0辆，离退休干部用车0辆。单价100万元（含）以上专用设备0台（套）。</w:t>
      </w:r>
    </w:p>
    <w:p>
      <w:pPr>
        <w:pStyle w:val="15"/>
        <w:keepNext w:val="0"/>
        <w:keepLines w:val="0"/>
        <w:pageBreakBefore w:val="0"/>
        <w:kinsoku/>
        <w:overflowPunct/>
        <w:topLinePunct w:val="0"/>
        <w:autoSpaceDE w:val="0"/>
        <w:autoSpaceDN/>
        <w:bidi w:val="0"/>
        <w:adjustRightInd/>
        <w:spacing w:line="600"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ascii="方正仿宋_GBK" w:hAnsi="方正仿宋_GBK" w:eastAsia="方正仿宋_GBK" w:cs="方正仿宋_GBK"/>
          <w:color w:val="FF0000"/>
          <w:sz w:val="32"/>
          <w:szCs w:val="32"/>
          <w:shd w:val="clear" w:color="auto" w:fill="FFFFFF"/>
        </w:rPr>
        <w:sectPr>
          <w:footerReference r:id="rId3" w:type="default"/>
          <w:pgSz w:w="11915" w:h="16840"/>
          <w:pgMar w:top="2098" w:right="1531" w:bottom="1984" w:left="1531" w:header="851" w:footer="992" w:gutter="0"/>
          <w:pgNumType w:fmt="numberInDash"/>
          <w:cols w:space="720" w:num="1"/>
          <w:docGrid w:type="lines" w:linePitch="312" w:charSpace="0"/>
        </w:sect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93.19</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15.19</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78</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93.19</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93.19</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市政设施维修维护、新成立社区办公设备和办公复印纸。</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Style w:val="12"/>
          <w:rFonts w:hint="eastAsia" w:ascii="黑体" w:hAnsi="黑体" w:eastAsia="黑体" w:cs="黑体"/>
          <w:sz w:val="32"/>
          <w:szCs w:val="32"/>
          <w:shd w:val="clear" w:color="auto" w:fill="FFFFFF"/>
        </w:rPr>
      </w:pPr>
      <w:r>
        <w:rPr>
          <w:rStyle w:val="12"/>
          <w:rFonts w:hint="eastAsia" w:ascii="黑体" w:hAnsi="黑体" w:eastAsia="黑体" w:cs="黑体"/>
          <w:sz w:val="32"/>
          <w:szCs w:val="32"/>
          <w:shd w:val="clear" w:color="auto" w:fill="FFFFFF"/>
        </w:rPr>
        <w:t>五、2024年度预算绩效管理情况说明</w:t>
      </w:r>
    </w:p>
    <w:p>
      <w:pPr>
        <w:pStyle w:val="16"/>
        <w:keepNext w:val="0"/>
        <w:keepLines w:val="0"/>
        <w:pageBreakBefore w:val="0"/>
        <w:kinsoku/>
        <w:overflowPunct/>
        <w:topLinePunct w:val="0"/>
        <w:autoSpaceDE w:val="0"/>
        <w:autoSpaceDN/>
        <w:bidi w:val="0"/>
        <w:adjustRightInd/>
        <w:spacing w:before="0" w:beforeAutospacing="0" w:after="0" w:afterAutospacing="0" w:line="600"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6"/>
        <w:keepNext w:val="0"/>
        <w:keepLines w:val="0"/>
        <w:pageBreakBefore w:val="0"/>
        <w:kinsoku/>
        <w:overflowPunct/>
        <w:topLinePunct w:val="0"/>
        <w:autoSpaceDN/>
        <w:bidi w:val="0"/>
        <w:adjustRightInd/>
        <w:spacing w:before="0" w:beforeAutospacing="0" w:after="0" w:afterAutospacing="0" w:line="600" w:lineRule="exact"/>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根据预算绩效管理要求，我部门对部门整体和</w:t>
      </w:r>
      <w:r>
        <w:rPr>
          <w:rFonts w:hint="eastAsia" w:ascii="Times New Roman" w:hAnsi="Times New Roman" w:eastAsia="方正仿宋_GBK" w:cs="Times New Roman"/>
          <w:sz w:val="32"/>
          <w:szCs w:val="32"/>
          <w:shd w:val="clear" w:color="auto" w:fill="FFFFFF"/>
          <w:lang w:val="en-US" w:eastAsia="zh-CN"/>
        </w:rPr>
        <w:t>77</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合计</w:t>
      </w:r>
      <w:r>
        <w:rPr>
          <w:rFonts w:hint="default" w:ascii="Times New Roman" w:hAnsi="Times New Roman" w:eastAsia="方正仿宋_GBK"/>
          <w:sz w:val="32"/>
          <w:szCs w:val="32"/>
          <w:shd w:val="clear" w:color="auto" w:fill="FFFFFF"/>
        </w:rPr>
        <w:t>5834.68</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w:t>
      </w:r>
    </w:p>
    <w:p>
      <w:pPr>
        <w:pStyle w:val="16"/>
        <w:keepNext w:val="0"/>
        <w:keepLines w:val="0"/>
        <w:pageBreakBefore w:val="0"/>
        <w:kinsoku/>
        <w:overflowPunct/>
        <w:topLinePunct w:val="0"/>
        <w:autoSpaceDN/>
        <w:bidi w:val="0"/>
        <w:adjustRightInd/>
        <w:spacing w:before="0" w:beforeAutospacing="0" w:after="0" w:afterAutospacing="0" w:line="600" w:lineRule="exact"/>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部门整体绩效自评表：见附</w:t>
      </w:r>
      <w:r>
        <w:rPr>
          <w:rFonts w:hint="default" w:ascii="Times New Roman" w:hAnsi="Times New Roman" w:eastAsia="方正仿宋_GBK" w:cs="Times New Roman"/>
          <w:sz w:val="32"/>
          <w:szCs w:val="32"/>
          <w:shd w:val="clear" w:color="auto" w:fill="FFFFFF"/>
          <w:lang w:val="en-US" w:eastAsia="zh-CN"/>
        </w:rPr>
        <w:t>件1</w:t>
      </w:r>
    </w:p>
    <w:p>
      <w:pPr>
        <w:pStyle w:val="16"/>
        <w:keepNext w:val="0"/>
        <w:keepLines w:val="0"/>
        <w:pageBreakBefore w:val="0"/>
        <w:kinsoku/>
        <w:overflowPunct/>
        <w:topLinePunct w:val="0"/>
        <w:autoSpaceDN/>
        <w:bidi w:val="0"/>
        <w:adjustRightInd/>
        <w:spacing w:before="0" w:beforeAutospacing="0" w:after="0" w:afterAutospacing="0" w:line="600" w:lineRule="exact"/>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项目支出绩效自评表</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见</w:t>
      </w:r>
      <w:r>
        <w:rPr>
          <w:rFonts w:hint="default" w:ascii="Times New Roman" w:hAnsi="Times New Roman" w:eastAsia="方正仿宋_GBK" w:cs="Times New Roman"/>
          <w:sz w:val="32"/>
          <w:szCs w:val="32"/>
          <w:shd w:val="clear" w:color="auto" w:fill="FFFFFF"/>
          <w:lang w:val="en-US" w:eastAsia="zh-CN"/>
        </w:rPr>
        <w:t>附件2</w:t>
      </w:r>
    </w:p>
    <w:p>
      <w:pPr>
        <w:pStyle w:val="16"/>
        <w:keepNext w:val="0"/>
        <w:keepLines w:val="0"/>
        <w:pageBreakBefore w:val="0"/>
        <w:kinsoku/>
        <w:overflowPunct/>
        <w:topLinePunct w:val="0"/>
        <w:autoSpaceDE w:val="0"/>
        <w:autoSpaceDN/>
        <w:bidi w:val="0"/>
        <w:adjustRightInd/>
        <w:spacing w:before="0" w:beforeAutospacing="0" w:after="0" w:afterAutospacing="0" w:line="600"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20"/>
        <w:keepNext w:val="0"/>
        <w:keepLines w:val="0"/>
        <w:pageBreakBefore w:val="0"/>
        <w:widowControl w:val="0"/>
        <w:tabs>
          <w:tab w:val="center" w:pos="4153"/>
          <w:tab w:val="left" w:pos="7275"/>
        </w:tabs>
        <w:kinsoku/>
        <w:overflowPunct/>
        <w:topLinePunct w:val="0"/>
        <w:autoSpaceDN/>
        <w:bidi w:val="0"/>
        <w:adjustRightInd/>
        <w:spacing w:line="600" w:lineRule="exact"/>
        <w:ind w:firstLine="640"/>
        <w:rPr>
          <w:rFonts w:hint="default" w:ascii="Times New Roman" w:hAnsi="Times New Roman" w:eastAsia="方正仿宋_GBK"/>
          <w:bCs/>
          <w:sz w:val="32"/>
          <w:szCs w:val="32"/>
        </w:rPr>
      </w:pPr>
      <w:r>
        <w:rPr>
          <w:rFonts w:hint="default" w:ascii="Times New Roman" w:hAnsi="Times New Roman" w:eastAsia="方正仿宋_GBK"/>
          <w:bCs/>
          <w:sz w:val="32"/>
          <w:szCs w:val="32"/>
        </w:rPr>
        <w:t>我</w:t>
      </w:r>
      <w:r>
        <w:rPr>
          <w:rFonts w:eastAsia="方正仿宋_GBK"/>
          <w:bCs/>
          <w:sz w:val="32"/>
          <w:szCs w:val="32"/>
        </w:rPr>
        <w:t>部门</w:t>
      </w:r>
      <w:r>
        <w:rPr>
          <w:rFonts w:hint="default" w:ascii="Times New Roman" w:hAnsi="Times New Roman" w:eastAsia="方正仿宋_GBK"/>
          <w:bCs/>
          <w:sz w:val="32"/>
          <w:szCs w:val="32"/>
        </w:rPr>
        <w:t>未组织开展绩效评价。</w:t>
      </w:r>
    </w:p>
    <w:p>
      <w:pPr>
        <w:pStyle w:val="20"/>
        <w:keepNext w:val="0"/>
        <w:keepLines w:val="0"/>
        <w:pageBreakBefore w:val="0"/>
        <w:kinsoku/>
        <w:overflowPunct/>
        <w:topLinePunct w:val="0"/>
        <w:autoSpaceDE w:val="0"/>
        <w:autoSpaceDN/>
        <w:bidi w:val="0"/>
        <w:adjustRightInd/>
        <w:spacing w:line="600" w:lineRule="exact"/>
        <w:ind w:firstLine="643"/>
        <w:rPr>
          <w:rFonts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20"/>
        <w:keepNext w:val="0"/>
        <w:keepLines w:val="0"/>
        <w:pageBreakBefore w:val="0"/>
        <w:widowControl w:val="0"/>
        <w:tabs>
          <w:tab w:val="center" w:pos="4153"/>
          <w:tab w:val="left" w:pos="7275"/>
        </w:tabs>
        <w:kinsoku/>
        <w:overflowPunct/>
        <w:topLinePunct w:val="0"/>
        <w:autoSpaceDN/>
        <w:bidi w:val="0"/>
        <w:adjustRightInd/>
        <w:spacing w:line="600" w:lineRule="exact"/>
        <w:ind w:firstLine="640"/>
        <w:rPr>
          <w:rFonts w:hint="default" w:ascii="Times New Roman" w:hAnsi="Times New Roman" w:eastAsia="方正仿宋_GBK"/>
          <w:bCs/>
          <w:sz w:val="32"/>
          <w:szCs w:val="32"/>
        </w:rPr>
      </w:pPr>
      <w:r>
        <w:rPr>
          <w:rFonts w:hint="default" w:ascii="Times New Roman" w:hAnsi="Times New Roman" w:eastAsia="方正仿宋_GBK"/>
          <w:bCs/>
          <w:sz w:val="32"/>
          <w:szCs w:val="32"/>
        </w:rPr>
        <w:t>区财政局未委托第三方对我</w:t>
      </w:r>
      <w:r>
        <w:rPr>
          <w:rFonts w:eastAsia="方正仿宋_GBK"/>
          <w:bCs/>
          <w:sz w:val="32"/>
          <w:szCs w:val="32"/>
        </w:rPr>
        <w:t>部门</w:t>
      </w:r>
      <w:r>
        <w:rPr>
          <w:rFonts w:hint="default" w:ascii="Times New Roman" w:hAnsi="Times New Roman" w:eastAsia="方正仿宋_GBK"/>
          <w:bCs/>
          <w:sz w:val="32"/>
          <w:szCs w:val="32"/>
        </w:rPr>
        <w:t>开展绩效评价。</w:t>
      </w:r>
    </w:p>
    <w:p>
      <w:pPr>
        <w:pStyle w:val="16"/>
        <w:keepNext w:val="0"/>
        <w:keepLines w:val="0"/>
        <w:pageBreakBefore w:val="0"/>
        <w:kinsoku/>
        <w:overflowPunct/>
        <w:topLinePunct w:val="0"/>
        <w:autoSpaceDE w:val="0"/>
        <w:autoSpaceDN/>
        <w:bidi w:val="0"/>
        <w:adjustRightInd/>
        <w:spacing w:before="0" w:beforeAutospacing="0" w:after="0" w:afterAutospacing="0" w:line="600" w:lineRule="exact"/>
        <w:rPr>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shd w:val="clear" w:color="auto" w:fill="FFFFFF"/>
        </w:rPr>
        <w:t xml:space="preserve">   </w:t>
      </w:r>
      <w:r>
        <w:rPr>
          <w:rStyle w:val="12"/>
          <w:rFonts w:hint="eastAsia" w:ascii="黑体" w:hAnsi="黑体" w:eastAsia="黑体" w:cs="黑体"/>
          <w:sz w:val="32"/>
          <w:szCs w:val="32"/>
          <w:shd w:val="clear" w:color="auto" w:fill="FFFFFF"/>
        </w:rPr>
        <w:t xml:space="preserve"> 六、专业名词解释</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sz w:val="32"/>
          <w:szCs w:val="32"/>
        </w:rPr>
      </w:pPr>
      <w:r>
        <w:rPr>
          <w:rStyle w:val="12"/>
          <w:rFonts w:hint="eastAsia" w:ascii="黑体" w:hAnsi="黑体" w:eastAsia="黑体" w:cs="黑体"/>
          <w:sz w:val="32"/>
          <w:szCs w:val="32"/>
          <w:shd w:val="clear" w:color="auto" w:fill="FFFFFF"/>
        </w:rPr>
        <w:t>七、决算公开联系方式及信息反馈渠道</w:t>
      </w:r>
    </w:p>
    <w:p>
      <w:pPr>
        <w:pStyle w:val="16"/>
        <w:keepNext w:val="0"/>
        <w:keepLines w:val="0"/>
        <w:pageBreakBefore w:val="0"/>
        <w:kinsoku/>
        <w:overflowPunct/>
        <w:topLinePunct w:val="0"/>
        <w:autoSpaceDN/>
        <w:bidi w:val="0"/>
        <w:adjustRightInd/>
        <w:spacing w:before="0" w:beforeAutospacing="0" w:after="0" w:afterAutospacing="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6"/>
        <w:keepNext w:val="0"/>
        <w:keepLines w:val="0"/>
        <w:pageBreakBefore w:val="0"/>
        <w:kinsoku/>
        <w:overflowPunct/>
        <w:topLinePunct w:val="0"/>
        <w:autoSpaceDN/>
        <w:bidi w:val="0"/>
        <w:adjustRightInd/>
        <w:spacing w:before="0" w:beforeAutospacing="0" w:after="0" w:afterAutospacing="0" w:line="60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石文静</w:t>
      </w:r>
      <w:r>
        <w:rPr>
          <w:rFonts w:hint="default" w:ascii="Times New Roman" w:hAnsi="Times New Roman" w:eastAsia="方正仿宋_GBK" w:cs="Times New Roman"/>
          <w:sz w:val="32"/>
          <w:szCs w:val="32"/>
          <w:shd w:val="clear" w:color="auto" w:fill="FFFFFF"/>
        </w:rPr>
        <w:t xml:space="preserve">   023-</w:t>
      </w:r>
      <w:r>
        <w:rPr>
          <w:rFonts w:hint="default" w:ascii="Times New Roman" w:hAnsi="Times New Roman" w:eastAsia="方正仿宋_GBK" w:cs="Times New Roman"/>
          <w:sz w:val="32"/>
          <w:szCs w:val="32"/>
          <w:shd w:val="clear" w:color="auto" w:fill="FFFFFF"/>
          <w:lang w:val="en-US" w:eastAsia="zh-CN"/>
        </w:rPr>
        <w:t>61691710</w:t>
      </w:r>
    </w:p>
    <w:p>
      <w:pPr>
        <w:pStyle w:val="15"/>
        <w:keepNext w:val="0"/>
        <w:keepLines w:val="0"/>
        <w:pageBreakBefore w:val="0"/>
        <w:kinsoku/>
        <w:overflowPunct/>
        <w:topLinePunct w:val="0"/>
        <w:autoSpaceDE w:val="0"/>
        <w:autoSpaceDN/>
        <w:bidi w:val="0"/>
        <w:adjustRightInd/>
        <w:spacing w:line="600" w:lineRule="exact"/>
        <w:ind w:firstLine="643"/>
        <w:jc w:val="both"/>
        <w:rPr>
          <w:rStyle w:val="12"/>
          <w:rFonts w:hint="eastAsia"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3"/>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Arial" w:hAnsi="Arial" w:cs="Arial"/>
                <w:color w:val="000000"/>
                <w:sz w:val="22"/>
                <w:szCs w:val="22"/>
              </w:rPr>
            </w:pPr>
            <w:r>
              <w:rPr>
                <w:rFonts w:cs="宋体"/>
                <w:sz w:val="20"/>
                <w:szCs w:val="20"/>
              </w:rPr>
              <w:t>部门：</w:t>
            </w:r>
            <w:r>
              <w:rPr>
                <w:sz w:val="20"/>
                <w:u w:color="auto"/>
              </w:rPr>
              <w:t>重庆市沙坪坝区人民政府虎溪街道办事处</w:t>
            </w:r>
          </w:p>
        </w:tc>
        <w:tc>
          <w:tcPr>
            <w:tcW w:w="40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7,701.86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2,628.93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153.37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171.89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2,725.59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168.34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1,461.67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153.37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7,855.23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7,855.23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7,855.23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7,855.23</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line="600" w:lineRule="exact"/>
        <w:rPr>
          <w:rFonts w:cs="宋体"/>
          <w:sz w:val="21"/>
          <w:szCs w:val="21"/>
        </w:rPr>
      </w:pPr>
    </w:p>
    <w:p>
      <w:pPr>
        <w:keepNext w:val="0"/>
        <w:keepLines w:val="0"/>
        <w:pageBreakBefore w:val="0"/>
        <w:kinsoku/>
        <w:overflowPunct/>
        <w:topLinePunct w:val="0"/>
        <w:autoSpaceDN/>
        <w:bidi w:val="0"/>
        <w:adjustRightInd/>
        <w:spacing w:line="60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3"/>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r>
              <w:rPr>
                <w:rFonts w:cs="宋体"/>
                <w:sz w:val="20"/>
                <w:szCs w:val="20"/>
              </w:rPr>
              <w:t>部门：</w:t>
            </w:r>
            <w:r>
              <w:rPr>
                <w:sz w:val="20"/>
                <w:u w:color="auto"/>
              </w:rPr>
              <w:t>重庆市沙坪坝区人民政府虎溪街道办事处</w:t>
            </w:r>
          </w:p>
        </w:tc>
        <w:tc>
          <w:tcPr>
            <w:tcW w:w="14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3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38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4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3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38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7,855.23</w:t>
            </w:r>
            <w:r>
              <w:rPr>
                <w:rFonts w:ascii="Times New Roman" w:hAnsi="Times New Roman"/>
                <w:b/>
                <w:color w:val="000000"/>
                <w:sz w:val="20"/>
                <w:u w:color="auto"/>
              </w:rPr>
              <w:t xml:space="preserve"> </w:t>
            </w:r>
          </w:p>
        </w:tc>
        <w:tc>
          <w:tcPr>
            <w:tcW w:w="1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7,855.23</w:t>
            </w:r>
            <w:r>
              <w:rPr>
                <w:rFonts w:ascii="Times New Roman" w:hAnsi="Times New Roman"/>
                <w:b/>
                <w:color w:val="000000"/>
                <w:sz w:val="20"/>
                <w:u w:color="auto"/>
              </w:rPr>
              <w:t xml:space="preserve"> </w:t>
            </w:r>
          </w:p>
        </w:tc>
        <w:tc>
          <w:tcPr>
            <w:tcW w:w="1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2,628.93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2,628.93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政协事务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2010202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2,334.38</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2,334.38</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2010301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941.40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941.40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2010302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1,240.06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1,240.06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2010350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统计信息事务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103.55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103.55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2010502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统计管理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2010507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专项普查活动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77.48</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77.48</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其他统计信息事务支出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18.38</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18.38</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20129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群众团体事务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2012902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2012999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其他群众团体事务支出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20132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2013202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20133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宣传事务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2013399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其他宣传事务支出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20134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统战事务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13.48</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13.48</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2013402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13.48</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13.48</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20136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61.64</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61.64</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2013602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2013699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20140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信访事务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2014004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信访业务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国防支出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20306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国防动员</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2030607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民兵</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科学技术支出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20601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科学技术管理事务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2060199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其他科学技术管理事务支出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171.89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171.89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20701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171.89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171.89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2070102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2070104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图书馆</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2070109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2070199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2,725.59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2,725.59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120.12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120.12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2080150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114.38</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114.38</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其他人力资源和社会保障管理事务支出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民政管理事务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1,837.72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1,837.72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基层政权建设和社区治理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1,837.72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1,837.72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244.01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244.01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101.02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101.02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就业补助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2080701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就业创业服务补贴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2080704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社会保险补贴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2080711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就业见习补贴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2080799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其他就业补助支出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293.77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293.77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2080801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死亡抚恤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2080802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伤残抚恤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义务兵优待</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141.49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141.49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2080899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其他优抚支出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2081002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老年福利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2081099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其他社会福利支出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2081107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残疾人生活和护理补贴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2081199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20819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最低生活保障</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77.44</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77.44</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2081901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城市最低生活保障金支出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20825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其他生活救助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2082501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其他城市生活救助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2082502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其他农村生活救助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20828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2082804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拥军优属</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2082850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2082899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其他退役军人事务管理支出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168.34</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168.34</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21007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计划生育事务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2100717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计划生育服务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15.28</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15.28</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21014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优抚对象医疗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2101401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优抚对象医疗补助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21015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医疗保障管理事务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2101506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医疗保障经办事务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28.98</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28.98</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21103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污染防治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28.98</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28.98</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2110302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水体</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28.98</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28.98</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1,461.67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1,461.67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1,097.26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1,097.26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2120102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248.18</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248.18</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2120109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住宅建设与房地产市场监管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2120199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其他城乡社区管理事务支出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802.49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802.49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21205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364.40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364.40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2120501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364.40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364.40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306.50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306.50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21301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2130102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2130153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耕地建设与利用</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21302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97.40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97.40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2130202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2130234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林业草原防灾减灾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21303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水利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2130306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水利工程运行与维护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105.33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105.33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21307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36.98</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36.98</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2130799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其他农村综合改革支出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36.98</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36.98</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21401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2140104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22001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2200199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其他自然资源事务支出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2210110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保障性租赁住房</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22401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应急管理事务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2240102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22406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自然灾害防治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44.88</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44.88</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2240601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地质灾害防治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44.88</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44.88</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153.37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153.37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22960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153.37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153.37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2296002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用于社会福利的彩票公益金支出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2296003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用于体育事业的彩票公益金支出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2296099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用于其他社会公益事业的彩票公益金支出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line="600" w:lineRule="exact"/>
        <w:ind w:left="600" w:hanging="600" w:hangingChars="300"/>
        <w:rPr>
          <w:rFonts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kinsoku/>
        <w:overflowPunct/>
        <w:topLinePunct w:val="0"/>
        <w:autoSpaceDN/>
        <w:bidi w:val="0"/>
        <w:adjustRightInd/>
        <w:spacing w:line="600" w:lineRule="exact"/>
        <w:rPr>
          <w:rFonts w:cs="宋体"/>
          <w:sz w:val="20"/>
          <w:szCs w:val="20"/>
        </w:rPr>
      </w:pPr>
      <w:r>
        <w:rPr>
          <w:rFonts w:cs="宋体"/>
          <w:sz w:val="20"/>
          <w:szCs w:val="20"/>
        </w:rPr>
        <w:br w:type="page"/>
      </w:r>
    </w:p>
    <w:tbl>
      <w:tblPr>
        <w:tblStyle w:val="13"/>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重庆市沙坪坝区人民政府虎溪街道办事处 </w:t>
            </w:r>
          </w:p>
        </w:tc>
        <w:tc>
          <w:tcPr>
            <w:tcW w:w="173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56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67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88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73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56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67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88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20"/>
                <w:szCs w:val="20"/>
              </w:rPr>
            </w:pPr>
            <w:r>
              <w:rPr>
                <w:rFonts w:cs="宋体"/>
                <w:b/>
                <w:color w:val="000000"/>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合计</w:t>
            </w:r>
          </w:p>
        </w:tc>
        <w:tc>
          <w:tcPr>
            <w:tcW w:w="1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7,855.23</w:t>
            </w:r>
            <w:r>
              <w:rPr>
                <w:rFonts w:ascii="Times New Roman" w:hAnsi="Times New Roman"/>
                <w:b/>
                <w:color w:val="000000"/>
                <w:sz w:val="20"/>
                <w:u w:color="auto"/>
              </w:rPr>
              <w:t xml:space="preserve"> </w:t>
            </w:r>
          </w:p>
        </w:tc>
        <w:tc>
          <w:tcPr>
            <w:tcW w:w="17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2,020.54</w:t>
            </w:r>
            <w:r>
              <w:rPr>
                <w:rFonts w:ascii="Times New Roman" w:hAnsi="Times New Roman"/>
                <w:b/>
                <w:color w:val="000000"/>
                <w:sz w:val="20"/>
                <w:u w:color="auto"/>
              </w:rPr>
              <w:t xml:space="preserve"> </w:t>
            </w:r>
          </w:p>
        </w:tc>
        <w:tc>
          <w:tcPr>
            <w:tcW w:w="1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5,834.68</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一般公共服务支出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2,628.93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1,094.32</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1,534.61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人大事务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政协事务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2010202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政府办公厅（室）及相关机构事务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2,334.38</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1,094.32</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1,240.06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2010301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行政运行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941.40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941.40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2010302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1,240.06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1,240.06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2010350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152.92</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统计信息事务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103.55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103.55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2010502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统计管理</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2010507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专项普查活动</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77.48</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其他统计信息事务支出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18.38</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20129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群众团体事务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2012902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2012999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其他群众团体事务支出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20132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组织事务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2013202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20133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宣传事务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2013399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其他宣传事务支出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20134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统战事务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13.48</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2013402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13.48</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20136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其他共产党事务支出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61.64</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2013602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2013699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其他共产党事务支出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20140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信访事务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2014004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信访业务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国防支出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20306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国防动员</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2030607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民兵</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科学技术支出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20601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科学技术管理事务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2060199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其他科学技术管理事务支出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文化旅游体育与传媒支出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171.89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153.90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20701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文化和旅游</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171.89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153.90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2070102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2070104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图书馆</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2070109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群众文化</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2070199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其他文化和旅游支出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153.90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2,725.59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598.23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2,127.36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人力资源和社会保障管理事务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120.12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114.38</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2080150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114.38</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114.38</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其他人力资源和社会保障管理事务支出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民政管理事务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1,837.72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156.07</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1,681.64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基层政权建设和社区治理</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1,837.72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156.07</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1,681.64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244.01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244.01</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机关事业单位基本养老保险缴费支出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101.02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101.02</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机关事业单位职业年金缴费支出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50.52</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92.47</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就业补助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2080701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就业创业服务补贴</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2080704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社会保险补贴</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2080711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就业见习补贴</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2080799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其他就业补助支出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抚恤</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293.77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24.26</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269.51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2080801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死亡抚恤</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24.26</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2080802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伤残抚恤</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义务兵优待</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141.49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141.49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2080899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其他优抚支出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社会福利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2081002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老年福利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2081099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其他社会福利支出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残疾人事业</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2081107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残疾人生活和护理补贴</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其他残疾人事业支出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20819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最低生活保障</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77.44</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77.44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2081901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城市最低生活保障金支出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20825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其他生活救助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2082501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其他城市生活救助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2082502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其他农村生活救助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20828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退役军人管理事务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2082804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拥军优属</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2082850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2082899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其他退役军人事务管理支出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168.34</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97.61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21007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计划生育事务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2100717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计划生育服务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行政单位医疗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15.28</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15.28</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其他行政事业单位医疗支出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24.39</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21014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优抚对象医疗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2101401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优抚对象医疗补助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21015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医疗保障管理事务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2101506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医疗保障经办事务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节能环保支出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28.98</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21103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污染防治</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28.98</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2110302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水体</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28.98</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城乡社区支出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1,461.67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1,461.67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城乡社区管理事务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1,097.26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1,097.26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2120102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248.18</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248.18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2120109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住宅建设与房地产市场监管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2120199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其他城乡社区管理事务支出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802.49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802.49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21205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城乡社区环境卫生</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364.40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364.40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2120501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城乡社区环境卫生</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364.40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农林水支出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306.50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306.50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21301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农业农村</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2130102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2130153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耕地建设与利用</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21302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林业和草原</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97.40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97.40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2130202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2130234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林业草原防灾减灾</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21303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水利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2130306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水利工程运行与维护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105.33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105.33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21307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农村综合改革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36.98</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2130799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其他农村综合改革支出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36.98</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交通运输支出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21401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公路水路运输</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2140104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公路建设</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自然资源海洋气象等支出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22001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自然资源事务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2200199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其他自然资源事务支出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住房保障支出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103.37</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保障性安居工程支出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2210110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保障性租赁住房</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住房改革支出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103.37</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住房公积金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103.37</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灾害防治及应急管理支出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22401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应急管理事务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2240102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22406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自然灾害防治</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44.88</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2240601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地质灾害防治</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44.88</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其他支出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153.37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153.37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22960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彩票公益金安排的支出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153.37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153.37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2296002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用于社会福利的彩票公益金支出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2296003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用于体育事业的彩票公益金支出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2296099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用于其他社会公益事业的彩票公益金支出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line="600" w:lineRule="exact"/>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kinsoku/>
        <w:overflowPunct/>
        <w:topLinePunct w:val="0"/>
        <w:autoSpaceDN/>
        <w:bidi w:val="0"/>
        <w:adjustRightInd/>
        <w:spacing w:line="600" w:lineRule="exact"/>
        <w:rPr>
          <w:rFonts w:cs="宋体"/>
          <w:sz w:val="21"/>
          <w:szCs w:val="21"/>
        </w:rPr>
      </w:pPr>
      <w:r>
        <w:rPr>
          <w:rFonts w:cs="宋体"/>
          <w:sz w:val="21"/>
          <w:szCs w:val="21"/>
        </w:rPr>
        <w:br w:type="page"/>
      </w:r>
    </w:p>
    <w:p>
      <w:pPr>
        <w:keepNext w:val="0"/>
        <w:keepLines w:val="0"/>
        <w:pageBreakBefore w:val="0"/>
        <w:kinsoku/>
        <w:overflowPunct/>
        <w:topLinePunct w:val="0"/>
        <w:autoSpaceDN/>
        <w:bidi w:val="0"/>
        <w:adjustRightInd/>
        <w:spacing w:line="600" w:lineRule="exact"/>
        <w:rPr>
          <w:rFonts w:cs="宋体"/>
          <w:sz w:val="21"/>
          <w:szCs w:val="21"/>
        </w:rPr>
      </w:pPr>
    </w:p>
    <w:tbl>
      <w:tblPr>
        <w:tblStyle w:val="13"/>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重庆市沙坪坝区人民政府虎溪街道办事处</w:t>
            </w: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7,701.86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2,628.93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2,628.93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153.37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2,725.59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2,725.59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1,461.67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1,461.67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153.37</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7,855.23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7,855.23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7,701.86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153.37</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7,855.23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7,855.23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7,701.86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153.37</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keepNext w:val="0"/>
        <w:keepLines w:val="0"/>
        <w:pageBreakBefore w:val="0"/>
        <w:kinsoku/>
        <w:overflowPunct/>
        <w:topLinePunct w:val="0"/>
        <w:autoSpaceDN/>
        <w:bidi w:val="0"/>
        <w:adjustRightInd/>
        <w:spacing w:line="60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3"/>
        <w:tblW w:w="15322" w:type="dxa"/>
        <w:tblInd w:w="0" w:type="dxa"/>
        <w:tblLayout w:type="fixed"/>
        <w:tblCellMar>
          <w:top w:w="0" w:type="dxa"/>
          <w:left w:w="0" w:type="dxa"/>
          <w:bottom w:w="0" w:type="dxa"/>
          <w:right w:w="0" w:type="dxa"/>
        </w:tblCellMar>
      </w:tblPr>
      <w:tblGrid>
        <w:gridCol w:w="1331"/>
        <w:gridCol w:w="4066"/>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重庆市沙坪坝区人民政府虎溪街道办事处</w:t>
            </w:r>
          </w:p>
        </w:tc>
        <w:tc>
          <w:tcPr>
            <w:tcW w:w="329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329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3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功能分类科目编码</w:t>
            </w:r>
          </w:p>
        </w:tc>
        <w:tc>
          <w:tcPr>
            <w:tcW w:w="40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7,701.86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2,020.54</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5,681.31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2,628.93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1,094.32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1,534.61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20101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人大事务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2010102</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20102</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政协事务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2010202</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20103</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2,334.38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1,094.32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1,240.06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2010301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941.40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941.40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2010302</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1,240.06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1,240.06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2010350</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152.92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152.92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20105</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统计信息事务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103.55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103.55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2010502</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2010506</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统计管理</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2010507</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专项普查活动</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77.48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77.48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2010599</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其他统计信息事务支出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20129</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群众团体事务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2012902</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2012999</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其他群众团体事务支出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20132</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组织事务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2013202</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20133</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宣传事务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2013399</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其他宣传事务支出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20134</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统战事务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2013402</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20136</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其他共产党事务支出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2013602</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2013699</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其他共产党事务支出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20140</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信访事务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2014004</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信访业务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203</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国防支出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20306</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国防动员</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2030607</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民兵</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206</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科学技术支出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20601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科学技术管理事务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2060199</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其他科学技术管理事务支出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207</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文化旅游体育与传媒支出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171.89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153.90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20701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文化和旅游</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171.89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153.90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2070102</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2070104</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图书馆</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2070109</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群众文化</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2070199</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其他文化和旅游支出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158.50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153.90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2,725.59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598.23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2,127.36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20801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120.12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114.38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2080150</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114.38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114.38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2080199</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其他人力资源和社会保障管理事务支出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20802</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民政管理事务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1,837.72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156.07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1,681.64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2080208</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基层政权建设和社区治理</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1,837.72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156.07</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1,681.64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20805</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244.01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244.01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2080505</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101.02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101.02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2080506</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50.52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50.52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2080599</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92.47</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20807</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就业补助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2080701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就业创业服务补贴</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2080704</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社会保险补贴</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2080711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就业见习补贴</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2080799</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其他就业补助支出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20808</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抚恤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293.77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24.26</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269.51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2080801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死亡抚恤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2080802</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伤残抚恤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2080805</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义务兵优待</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141.49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141.49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2080899</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其他优抚支出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122.80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20810</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社会福利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2081002</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老年福利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2081099</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其他社会福利支出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20811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残疾人事业</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2081107</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残疾人生活和护理补贴</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2081199</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其他残疾人事业支出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20819</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最低生活保障</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77.44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77.44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2081901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城市最低生活保障金支出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77.44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77.44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20825</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其他生活救助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2082501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其他城市生活救助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2082502</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其他农村生活救助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20828</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退役军人管理事务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69.43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2082804</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拥军优属</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2082850</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59.50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59.50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2082899</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其他退役军人事务管理支出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210</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168.34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97.61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21007</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计划生育事务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91.15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91.15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2100717</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计划生育服务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91.15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91.15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21011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2101101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2101102</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2101199</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21014</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优抚对象医疗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2101401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优抚对象医疗补助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21015</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医疗保障管理事务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2101506</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医疗保障经办事务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节能环保支出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21103</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污染防治</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2110302</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水体</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212</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城乡社区支出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1,461.67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1,461.67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21201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城乡社区管理事务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1,097.26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1,097.26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2120102</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248.18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2120109</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住宅建设与房地产市场监管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2120199</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其他城乡社区管理事务支出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802.49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802.49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21205</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364.40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364.40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2120501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364.40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364.40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213</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农林水支出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306.50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306.50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21301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农业农村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2130102</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2130153</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耕地建设与利用</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21302</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林业和草原</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97.40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97.40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2130202</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2130234</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林业草原防灾减灾</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21303</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水利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105.33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105.33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2130306</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水利工程运行与维护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105.33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21307</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农村综合改革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2130799</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其他农村综合改革支出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214</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交通运输支出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21401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公路水路运输</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2140104</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公路建设</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220</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自然资源海洋气象等支出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22001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自然资源事务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2200199</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其他自然资源事务支出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103.37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22101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保障性安居工程支出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2210110</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保障性租赁住房</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22102</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103.37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103.37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2210201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103.37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103.37</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224</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灾害防治及应急管理支出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82.43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82.43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22401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应急管理事务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2240102</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37.55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37.55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22406</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自然灾害防治</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44.88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44.88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2240601</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地质灾害防治</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44.88</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line="600" w:lineRule="exact"/>
        <w:rPr>
          <w:rFonts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kinsoku/>
        <w:overflowPunct/>
        <w:topLinePunct w:val="0"/>
        <w:autoSpaceDN/>
        <w:bidi w:val="0"/>
        <w:adjustRightInd/>
        <w:spacing w:line="600" w:lineRule="exact"/>
        <w:ind w:firstLine="630" w:firstLineChars="300"/>
        <w:rPr>
          <w:rFonts w:cs="宋体"/>
          <w:sz w:val="21"/>
          <w:szCs w:val="21"/>
        </w:rPr>
      </w:pPr>
      <w:r>
        <w:rPr>
          <w:rFonts w:cs="宋体"/>
          <w:sz w:val="21"/>
          <w:szCs w:val="21"/>
        </w:rPr>
        <w:br w:type="page"/>
      </w:r>
    </w:p>
    <w:tbl>
      <w:tblPr>
        <w:tblStyle w:val="13"/>
        <w:tblW w:w="15304" w:type="dxa"/>
        <w:tblInd w:w="0" w:type="dxa"/>
        <w:tblLayout w:type="fixed"/>
        <w:tblCellMar>
          <w:top w:w="0" w:type="dxa"/>
          <w:left w:w="0" w:type="dxa"/>
          <w:bottom w:w="0" w:type="dxa"/>
          <w:right w:w="0" w:type="dxa"/>
        </w:tblCellMar>
      </w:tblPr>
      <w:tblGrid>
        <w:gridCol w:w="784"/>
        <w:gridCol w:w="2792"/>
        <w:gridCol w:w="1522"/>
        <w:gridCol w:w="854"/>
        <w:gridCol w:w="2015"/>
        <w:gridCol w:w="1401"/>
        <w:gridCol w:w="856"/>
        <w:gridCol w:w="3450"/>
        <w:gridCol w:w="1630"/>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重庆市沙坪坝区人民政府虎溪街道办事处</w:t>
            </w:r>
          </w:p>
        </w:tc>
        <w:tc>
          <w:tcPr>
            <w:tcW w:w="1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85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345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63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85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345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63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金额</w:t>
            </w:r>
          </w:p>
        </w:tc>
        <w:tc>
          <w:tcPr>
            <w:tcW w:w="8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经济分类科目编码</w:t>
            </w:r>
          </w:p>
        </w:tc>
        <w:tc>
          <w:tcPr>
            <w:tcW w:w="34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6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14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8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3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1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1,587.73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314.68</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310</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237.02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办公费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16.21</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房屋建筑物购建</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117.02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印刷费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31002</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办公设备购置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467.00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咨询费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31003</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专用设备购置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手续费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31005</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基础设施建设</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412.98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水费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31006</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大型修缮</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101.02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31007</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信息网络及软件购置更新</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邮电费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23.38</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31008</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物资储备</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取暖费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31009</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土地补偿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物业管理费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19.86</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31010</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安置补助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差旅费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31011</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地上附着物和青苗补偿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103.37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因公出国（境）费用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31012</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拆迁补偿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维修（护）费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14.18</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31013</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公务用车购置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租赁费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31019</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其他交通工具购置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116.73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会议费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31021</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文物和陈列品购置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培训费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31022</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无形资产购置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公务接待费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31099</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其他资本性支出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专用材料费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312</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被装购置费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31201</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资本金注入</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专用燃料费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31203</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政府投资基金股权投资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劳务费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31204</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费用补贴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委托业务费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96.69</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31205</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利息补贴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工会经费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63.56</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31206</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福利费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31299</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其他对企业补助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公务用车运行维护费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9.61</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399</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其他交通费用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25.98</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39907</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国家赔偿费用支出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税金及附加费用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39908</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其他商品和服务支出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39909</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经常性赠与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债务利息及费用支出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39910</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资本性赠与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国内债务付息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39999</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国外债务付息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国内债务发行费用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国外债务发行费用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1,704.46</w:t>
            </w:r>
            <w:r>
              <w:rPr>
                <w:rFonts w:ascii="Times New Roman" w:hAnsi="Times New Roman"/>
                <w:color w:val="000000"/>
                <w:sz w:val="18"/>
                <w:u w:color="auto"/>
              </w:rPr>
              <w:t xml:space="preserve"> </w:t>
            </w:r>
          </w:p>
        </w:tc>
        <w:tc>
          <w:tcPr>
            <w:tcW w:w="857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公用经费合计</w:t>
            </w:r>
          </w:p>
        </w:tc>
        <w:tc>
          <w:tcPr>
            <w:tcW w:w="1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316.09</w:t>
            </w:r>
            <w:r>
              <w:rPr>
                <w:rFonts w:ascii="Times New Roman" w:hAnsi="Times New Roman"/>
                <w:color w:val="000000"/>
                <w:sz w:val="18"/>
                <w:u w:color="auto"/>
              </w:rPr>
              <w:t xml:space="preserve"> </w:t>
            </w:r>
          </w:p>
        </w:tc>
      </w:tr>
    </w:tbl>
    <w:p>
      <w:pPr>
        <w:keepNext w:val="0"/>
        <w:keepLines w:val="0"/>
        <w:pageBreakBefore w:val="0"/>
        <w:kinsoku/>
        <w:overflowPunct/>
        <w:topLinePunct w:val="0"/>
        <w:autoSpaceDN/>
        <w:bidi w:val="0"/>
        <w:adjustRightInd/>
        <w:spacing w:line="60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3"/>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重庆市沙坪坝区人民政府虎溪街道办事处</w:t>
            </w: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153.37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153.37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153.37</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both"/>
              <w:textAlignment w:val="center"/>
              <w:rPr>
                <w:rFonts w:cs="宋体"/>
                <w:color w:val="000000"/>
                <w:sz w:val="20"/>
                <w:szCs w:val="20"/>
              </w:rPr>
            </w:pPr>
            <w:r>
              <w:rPr>
                <w:rFonts w:cs="宋体"/>
                <w:b/>
                <w:color w:val="000000"/>
                <w:sz w:val="20"/>
                <w:szCs w:val="20"/>
              </w:rPr>
              <w:t>229</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both"/>
              <w:textAlignment w:val="center"/>
              <w:rPr>
                <w:rFonts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153.37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153.37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153.37</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both"/>
              <w:textAlignment w:val="center"/>
              <w:rPr>
                <w:rFonts w:cs="宋体"/>
                <w:color w:val="000000"/>
                <w:sz w:val="20"/>
                <w:szCs w:val="20"/>
              </w:rPr>
            </w:pPr>
            <w:r>
              <w:rPr>
                <w:rFonts w:cs="宋体"/>
                <w:b/>
                <w:color w:val="000000"/>
                <w:sz w:val="20"/>
                <w:szCs w:val="20"/>
              </w:rPr>
              <w:t>22960</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both"/>
              <w:textAlignment w:val="center"/>
              <w:rPr>
                <w:rFonts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153.37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153.37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153.37</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both"/>
              <w:textAlignment w:val="center"/>
              <w:rPr>
                <w:rFonts w:cs="宋体"/>
                <w:color w:val="000000"/>
                <w:sz w:val="20"/>
                <w:szCs w:val="20"/>
              </w:rPr>
            </w:pPr>
            <w:r>
              <w:rPr>
                <w:rFonts w:cs="宋体"/>
                <w:color w:val="000000"/>
                <w:sz w:val="20"/>
                <w:szCs w:val="20"/>
              </w:rPr>
              <w:t>2296002</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both"/>
              <w:textAlignment w:val="center"/>
              <w:rPr>
                <w:rFonts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60.23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60.23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60.23</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both"/>
              <w:textAlignment w:val="center"/>
              <w:rPr>
                <w:rFonts w:cs="宋体"/>
                <w:color w:val="000000"/>
                <w:sz w:val="20"/>
                <w:szCs w:val="20"/>
              </w:rPr>
            </w:pPr>
            <w:r>
              <w:rPr>
                <w:rFonts w:cs="宋体"/>
                <w:color w:val="000000"/>
                <w:sz w:val="20"/>
                <w:szCs w:val="20"/>
              </w:rPr>
              <w:t>2296003</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both"/>
              <w:textAlignment w:val="center"/>
              <w:rPr>
                <w:rFonts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28.45</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28.45</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28.45</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both"/>
              <w:textAlignment w:val="center"/>
              <w:rPr>
                <w:rFonts w:cs="宋体"/>
                <w:color w:val="000000"/>
                <w:sz w:val="20"/>
                <w:szCs w:val="20"/>
              </w:rPr>
            </w:pPr>
            <w:r>
              <w:rPr>
                <w:rFonts w:cs="宋体"/>
                <w:color w:val="000000"/>
                <w:sz w:val="20"/>
                <w:szCs w:val="20"/>
              </w:rPr>
              <w:t>2296099</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both"/>
              <w:textAlignment w:val="center"/>
              <w:rPr>
                <w:rFonts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64.69</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line="600" w:lineRule="exact"/>
        <w:rPr>
          <w:rFonts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kinsoku/>
        <w:overflowPunct/>
        <w:topLinePunct w:val="0"/>
        <w:autoSpaceDN/>
        <w:bidi w:val="0"/>
        <w:adjustRightInd/>
        <w:spacing w:line="600" w:lineRule="exact"/>
        <w:rPr>
          <w:rFonts w:cs="宋体"/>
          <w:sz w:val="21"/>
          <w:szCs w:val="21"/>
        </w:rPr>
      </w:pPr>
      <w:r>
        <w:rPr>
          <w:rFonts w:cs="宋体"/>
          <w:sz w:val="21"/>
          <w:szCs w:val="21"/>
        </w:rPr>
        <w:br w:type="page"/>
      </w:r>
    </w:p>
    <w:tbl>
      <w:tblPr>
        <w:tblStyle w:val="13"/>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重庆市沙坪坝区人民政府虎溪街道办事处</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keepNext w:val="0"/>
        <w:keepLines w:val="0"/>
        <w:pageBreakBefore w:val="0"/>
        <w:kinsoku/>
        <w:overflowPunct/>
        <w:topLinePunct w:val="0"/>
        <w:autoSpaceDN/>
        <w:bidi w:val="0"/>
        <w:adjustRightInd/>
        <w:spacing w:line="600" w:lineRule="exact"/>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keepNext w:val="0"/>
        <w:keepLines w:val="0"/>
        <w:pageBreakBefore w:val="0"/>
        <w:kinsoku/>
        <w:overflowPunct/>
        <w:topLinePunct w:val="0"/>
        <w:autoSpaceDN/>
        <w:bidi w:val="0"/>
        <w:adjustRightInd/>
        <w:spacing w:line="600" w:lineRule="exact"/>
        <w:rPr>
          <w:rFonts w:cs="宋体"/>
          <w:sz w:val="21"/>
          <w:szCs w:val="21"/>
        </w:rPr>
      </w:pPr>
      <w:r>
        <w:rPr>
          <w:rFonts w:hint="default" w:cs="宋体"/>
          <w:sz w:val="21"/>
          <w:szCs w:val="21"/>
        </w:rPr>
        <w:br w:type="page"/>
      </w:r>
    </w:p>
    <w:tbl>
      <w:tblPr>
        <w:tblStyle w:val="13"/>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kern w:val="2"/>
                <w:sz w:val="20"/>
                <w:szCs w:val="20"/>
              </w:rPr>
            </w:pPr>
          </w:p>
        </w:tc>
        <w:tc>
          <w:tcPr>
            <w:tcW w:w="2402"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rPr>
                <w:rFonts w:cs="宋体"/>
                <w:color w:val="000000"/>
                <w:kern w:val="2"/>
                <w:sz w:val="20"/>
                <w:szCs w:val="20"/>
              </w:rPr>
            </w:pPr>
          </w:p>
        </w:tc>
        <w:tc>
          <w:tcPr>
            <w:tcW w:w="2360"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rPr>
                <w:rFonts w:cs="宋体"/>
                <w:color w:val="000000"/>
                <w:kern w:val="2"/>
                <w:sz w:val="20"/>
                <w:szCs w:val="20"/>
              </w:rPr>
            </w:pPr>
          </w:p>
        </w:tc>
        <w:tc>
          <w:tcPr>
            <w:tcW w:w="3726"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kern w:val="2"/>
                <w:sz w:val="20"/>
                <w:szCs w:val="20"/>
              </w:rPr>
            </w:pPr>
          </w:p>
        </w:tc>
        <w:tc>
          <w:tcPr>
            <w:tcW w:w="2480"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重庆市沙坪坝区人民政府虎溪街道办事处</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rPr>
                <w:rFonts w:cs="宋体"/>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209.62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9.61</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9.61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209.62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9.61</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9.61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9.61</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9.61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93.19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15.19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78.00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93.19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93.19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0.68</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rPr>
                <w:rFonts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rPr>
                <w:rFonts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rPr>
                <w:rFonts w:cs="宋体"/>
                <w:color w:val="000000"/>
                <w:sz w:val="16"/>
                <w:szCs w:val="16"/>
              </w:rPr>
            </w:pPr>
          </w:p>
        </w:tc>
      </w:tr>
    </w:tbl>
    <w:p>
      <w:pPr>
        <w:keepNext w:val="0"/>
        <w:keepLines w:val="0"/>
        <w:pageBreakBefore w:val="0"/>
        <w:kinsoku/>
        <w:overflowPunct/>
        <w:topLinePunct w:val="0"/>
        <w:autoSpaceDN/>
        <w:bidi w:val="0"/>
        <w:adjustRightInd/>
        <w:spacing w:line="600" w:lineRule="exact"/>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4ptZc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y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4ptZcVAgAAFQQAAA4AAAAAAAAA&#10;AQAgAAAAHwEAAGRycy9lMm9Eb2MueG1sUEsFBgAAAAAGAAYAWQEAAKY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default"/>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default"/>
      </w:rPr>
      <mc:AlternateContent>
        <mc:Choice Requires="wps">
          <w:drawing>
            <wp:anchor distT="0" distB="0" distL="114300" distR="114300" simplePos="0" relativeHeight="251657216"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6192"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619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2F29B3"/>
    <w:rsid w:val="01474EBF"/>
    <w:rsid w:val="01F3521E"/>
    <w:rsid w:val="03077B2E"/>
    <w:rsid w:val="03B87EA0"/>
    <w:rsid w:val="03E3214F"/>
    <w:rsid w:val="044C50BA"/>
    <w:rsid w:val="05BC6D49"/>
    <w:rsid w:val="05EF5C81"/>
    <w:rsid w:val="06194FF1"/>
    <w:rsid w:val="065E5DC0"/>
    <w:rsid w:val="06A2550B"/>
    <w:rsid w:val="06F80EE2"/>
    <w:rsid w:val="07001CCA"/>
    <w:rsid w:val="075678DB"/>
    <w:rsid w:val="079D7CC7"/>
    <w:rsid w:val="08051BCA"/>
    <w:rsid w:val="081301C2"/>
    <w:rsid w:val="086C12F4"/>
    <w:rsid w:val="08BA052C"/>
    <w:rsid w:val="08DB07BA"/>
    <w:rsid w:val="0969353F"/>
    <w:rsid w:val="098305D0"/>
    <w:rsid w:val="098A0877"/>
    <w:rsid w:val="0A5C4B69"/>
    <w:rsid w:val="0A86124A"/>
    <w:rsid w:val="0AB54CC0"/>
    <w:rsid w:val="0B9335CE"/>
    <w:rsid w:val="0BC70D67"/>
    <w:rsid w:val="0BDE262D"/>
    <w:rsid w:val="0C7927C4"/>
    <w:rsid w:val="0C9B098C"/>
    <w:rsid w:val="0CD624B3"/>
    <w:rsid w:val="0D673E11"/>
    <w:rsid w:val="0DDA54E4"/>
    <w:rsid w:val="0E084ABF"/>
    <w:rsid w:val="0E3A5F83"/>
    <w:rsid w:val="0E686BEE"/>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053DB0"/>
    <w:rsid w:val="12C921C4"/>
    <w:rsid w:val="12F52ECF"/>
    <w:rsid w:val="13871C70"/>
    <w:rsid w:val="13A71CB4"/>
    <w:rsid w:val="13AF1D43"/>
    <w:rsid w:val="13CE1647"/>
    <w:rsid w:val="13DA0C25"/>
    <w:rsid w:val="13E270F8"/>
    <w:rsid w:val="13FD55AB"/>
    <w:rsid w:val="14061E0F"/>
    <w:rsid w:val="14200702"/>
    <w:rsid w:val="14907817"/>
    <w:rsid w:val="14C85D04"/>
    <w:rsid w:val="14CC44EE"/>
    <w:rsid w:val="15714980"/>
    <w:rsid w:val="15932718"/>
    <w:rsid w:val="163A6CEE"/>
    <w:rsid w:val="173708E3"/>
    <w:rsid w:val="174C19C7"/>
    <w:rsid w:val="17C374FC"/>
    <w:rsid w:val="189079DC"/>
    <w:rsid w:val="189B0D0B"/>
    <w:rsid w:val="18B43F7C"/>
    <w:rsid w:val="194A1770"/>
    <w:rsid w:val="1990553D"/>
    <w:rsid w:val="19B906A4"/>
    <w:rsid w:val="19FB026E"/>
    <w:rsid w:val="1A3947A7"/>
    <w:rsid w:val="1B4C2051"/>
    <w:rsid w:val="1B4F2437"/>
    <w:rsid w:val="1B6F15B6"/>
    <w:rsid w:val="1BA233C5"/>
    <w:rsid w:val="1BAA2EDC"/>
    <w:rsid w:val="1C5C0973"/>
    <w:rsid w:val="1C5C4E54"/>
    <w:rsid w:val="1CA55E64"/>
    <w:rsid w:val="1D014A01"/>
    <w:rsid w:val="1D022362"/>
    <w:rsid w:val="1D035B71"/>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057C68"/>
    <w:rsid w:val="2011128A"/>
    <w:rsid w:val="20642787"/>
    <w:rsid w:val="207864D0"/>
    <w:rsid w:val="20F4064E"/>
    <w:rsid w:val="21556F04"/>
    <w:rsid w:val="21C030D3"/>
    <w:rsid w:val="22403BD3"/>
    <w:rsid w:val="22E62042"/>
    <w:rsid w:val="23573C43"/>
    <w:rsid w:val="23DA37D9"/>
    <w:rsid w:val="23F5732E"/>
    <w:rsid w:val="24B92327"/>
    <w:rsid w:val="24C14514"/>
    <w:rsid w:val="2533755C"/>
    <w:rsid w:val="25791755"/>
    <w:rsid w:val="25907B45"/>
    <w:rsid w:val="26396DF4"/>
    <w:rsid w:val="26F92E80"/>
    <w:rsid w:val="27167136"/>
    <w:rsid w:val="27772225"/>
    <w:rsid w:val="27A7649B"/>
    <w:rsid w:val="27B23302"/>
    <w:rsid w:val="27F22438"/>
    <w:rsid w:val="285D02CA"/>
    <w:rsid w:val="28DA6D99"/>
    <w:rsid w:val="29310A5F"/>
    <w:rsid w:val="29C37A35"/>
    <w:rsid w:val="2A076083"/>
    <w:rsid w:val="2A73162E"/>
    <w:rsid w:val="2A751F0B"/>
    <w:rsid w:val="2AA732E5"/>
    <w:rsid w:val="2B167953"/>
    <w:rsid w:val="2B200583"/>
    <w:rsid w:val="2B220436"/>
    <w:rsid w:val="2B8209DE"/>
    <w:rsid w:val="2C6762A3"/>
    <w:rsid w:val="2C9319F8"/>
    <w:rsid w:val="2D126888"/>
    <w:rsid w:val="2E9213DF"/>
    <w:rsid w:val="2EBF7B3E"/>
    <w:rsid w:val="2EDE1934"/>
    <w:rsid w:val="2F7710F6"/>
    <w:rsid w:val="2FCA4B37"/>
    <w:rsid w:val="2FE029D7"/>
    <w:rsid w:val="2FF06E00"/>
    <w:rsid w:val="302E01D8"/>
    <w:rsid w:val="30562E26"/>
    <w:rsid w:val="30586FEC"/>
    <w:rsid w:val="30EC7046"/>
    <w:rsid w:val="315E6622"/>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572C79"/>
    <w:rsid w:val="36C77471"/>
    <w:rsid w:val="36C9128A"/>
    <w:rsid w:val="372E3953"/>
    <w:rsid w:val="37841E99"/>
    <w:rsid w:val="37BF1123"/>
    <w:rsid w:val="383C3F15"/>
    <w:rsid w:val="38BE4696"/>
    <w:rsid w:val="3939115E"/>
    <w:rsid w:val="39B82A39"/>
    <w:rsid w:val="39C42CA8"/>
    <w:rsid w:val="39DC4FD6"/>
    <w:rsid w:val="39F03D7A"/>
    <w:rsid w:val="39F33306"/>
    <w:rsid w:val="3A2C1C67"/>
    <w:rsid w:val="3ACF252B"/>
    <w:rsid w:val="3B1705E5"/>
    <w:rsid w:val="3B18334B"/>
    <w:rsid w:val="3B36794F"/>
    <w:rsid w:val="3B6956FB"/>
    <w:rsid w:val="3BA0098F"/>
    <w:rsid w:val="3C566AD6"/>
    <w:rsid w:val="3C6A5B02"/>
    <w:rsid w:val="3D090C43"/>
    <w:rsid w:val="3D2757A1"/>
    <w:rsid w:val="3D3D4FC4"/>
    <w:rsid w:val="3DDF3AB1"/>
    <w:rsid w:val="3E1D0952"/>
    <w:rsid w:val="3E42660A"/>
    <w:rsid w:val="3E4A679D"/>
    <w:rsid w:val="3E7555B1"/>
    <w:rsid w:val="3E787ED9"/>
    <w:rsid w:val="3EA55B2A"/>
    <w:rsid w:val="3EEC37F3"/>
    <w:rsid w:val="3F032E93"/>
    <w:rsid w:val="3F0527E5"/>
    <w:rsid w:val="3F4814B0"/>
    <w:rsid w:val="3F5E5D98"/>
    <w:rsid w:val="3F694D83"/>
    <w:rsid w:val="3F885DCC"/>
    <w:rsid w:val="3FCD675E"/>
    <w:rsid w:val="3FD86860"/>
    <w:rsid w:val="4004000C"/>
    <w:rsid w:val="408F40CE"/>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5876A5"/>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BBD71DF"/>
    <w:rsid w:val="4CCF773C"/>
    <w:rsid w:val="4DAC4ACA"/>
    <w:rsid w:val="4DBE01D2"/>
    <w:rsid w:val="4EC92552"/>
    <w:rsid w:val="4EFC6D10"/>
    <w:rsid w:val="4F0C6BA3"/>
    <w:rsid w:val="4F10477D"/>
    <w:rsid w:val="4F186D58"/>
    <w:rsid w:val="4F9E68CE"/>
    <w:rsid w:val="4FB84B34"/>
    <w:rsid w:val="4FC253E9"/>
    <w:rsid w:val="4FCB7957"/>
    <w:rsid w:val="4FEA65B7"/>
    <w:rsid w:val="5042146E"/>
    <w:rsid w:val="50F06B6E"/>
    <w:rsid w:val="52234D33"/>
    <w:rsid w:val="52261ABA"/>
    <w:rsid w:val="522F6E0C"/>
    <w:rsid w:val="52463BA1"/>
    <w:rsid w:val="5298794F"/>
    <w:rsid w:val="52D6172B"/>
    <w:rsid w:val="52F163D4"/>
    <w:rsid w:val="531A2DB4"/>
    <w:rsid w:val="536C6A05"/>
    <w:rsid w:val="53C0244D"/>
    <w:rsid w:val="53DD4D4E"/>
    <w:rsid w:val="53E578CE"/>
    <w:rsid w:val="541330F0"/>
    <w:rsid w:val="54272666"/>
    <w:rsid w:val="543B029D"/>
    <w:rsid w:val="544C3364"/>
    <w:rsid w:val="54861779"/>
    <w:rsid w:val="54EF287C"/>
    <w:rsid w:val="551F5D88"/>
    <w:rsid w:val="552256E1"/>
    <w:rsid w:val="554E5773"/>
    <w:rsid w:val="555A3CBC"/>
    <w:rsid w:val="5582012B"/>
    <w:rsid w:val="558422A5"/>
    <w:rsid w:val="558E4E05"/>
    <w:rsid w:val="55BE2E85"/>
    <w:rsid w:val="55D82B6C"/>
    <w:rsid w:val="561D52C4"/>
    <w:rsid w:val="5651697D"/>
    <w:rsid w:val="56530F5D"/>
    <w:rsid w:val="5659778A"/>
    <w:rsid w:val="56692AE5"/>
    <w:rsid w:val="567700D3"/>
    <w:rsid w:val="56EC5E29"/>
    <w:rsid w:val="56FF7E9E"/>
    <w:rsid w:val="578867FC"/>
    <w:rsid w:val="5842572D"/>
    <w:rsid w:val="5889582B"/>
    <w:rsid w:val="58992763"/>
    <w:rsid w:val="5A3B59D6"/>
    <w:rsid w:val="5AD134D8"/>
    <w:rsid w:val="5B502D99"/>
    <w:rsid w:val="5B6503B1"/>
    <w:rsid w:val="5C0F7EC4"/>
    <w:rsid w:val="5C263CE4"/>
    <w:rsid w:val="5C5D2777"/>
    <w:rsid w:val="5CF66BF3"/>
    <w:rsid w:val="5D290C69"/>
    <w:rsid w:val="5D5C3BEC"/>
    <w:rsid w:val="5E121776"/>
    <w:rsid w:val="5E302C3C"/>
    <w:rsid w:val="5F2D4A41"/>
    <w:rsid w:val="60B53C33"/>
    <w:rsid w:val="60C74F6C"/>
    <w:rsid w:val="60F66AE9"/>
    <w:rsid w:val="61025A59"/>
    <w:rsid w:val="613D5BBC"/>
    <w:rsid w:val="61536C39"/>
    <w:rsid w:val="61E64F4A"/>
    <w:rsid w:val="623E0993"/>
    <w:rsid w:val="62944DD7"/>
    <w:rsid w:val="6319381F"/>
    <w:rsid w:val="63236436"/>
    <w:rsid w:val="63C25DC5"/>
    <w:rsid w:val="63C62057"/>
    <w:rsid w:val="64571EF5"/>
    <w:rsid w:val="64685330"/>
    <w:rsid w:val="6472420D"/>
    <w:rsid w:val="64CB0157"/>
    <w:rsid w:val="64FB113D"/>
    <w:rsid w:val="65036946"/>
    <w:rsid w:val="654A25FE"/>
    <w:rsid w:val="656152C6"/>
    <w:rsid w:val="6587477F"/>
    <w:rsid w:val="658C3A08"/>
    <w:rsid w:val="65C031CA"/>
    <w:rsid w:val="65CE6852"/>
    <w:rsid w:val="65CE7072"/>
    <w:rsid w:val="66267C04"/>
    <w:rsid w:val="663F505A"/>
    <w:rsid w:val="66967186"/>
    <w:rsid w:val="66EE5541"/>
    <w:rsid w:val="67924660"/>
    <w:rsid w:val="680A7648"/>
    <w:rsid w:val="683200C2"/>
    <w:rsid w:val="68407834"/>
    <w:rsid w:val="687D4453"/>
    <w:rsid w:val="6883293E"/>
    <w:rsid w:val="688412AD"/>
    <w:rsid w:val="68EB1B71"/>
    <w:rsid w:val="69475C96"/>
    <w:rsid w:val="69A11CC0"/>
    <w:rsid w:val="6AAD2300"/>
    <w:rsid w:val="6B474EF5"/>
    <w:rsid w:val="6BBF53FD"/>
    <w:rsid w:val="6C560CAE"/>
    <w:rsid w:val="6C576495"/>
    <w:rsid w:val="6D6B5CB3"/>
    <w:rsid w:val="6D903FF5"/>
    <w:rsid w:val="6DA955B8"/>
    <w:rsid w:val="6DE346AB"/>
    <w:rsid w:val="6DE36C58"/>
    <w:rsid w:val="6DE5391A"/>
    <w:rsid w:val="6EFD1324"/>
    <w:rsid w:val="6F3039A5"/>
    <w:rsid w:val="6F5A53AC"/>
    <w:rsid w:val="6FAC003D"/>
    <w:rsid w:val="6FE55E12"/>
    <w:rsid w:val="6FFB2E76"/>
    <w:rsid w:val="708F6F7F"/>
    <w:rsid w:val="70A12A86"/>
    <w:rsid w:val="70D94BD3"/>
    <w:rsid w:val="71C34D91"/>
    <w:rsid w:val="72DB435C"/>
    <w:rsid w:val="72E2613A"/>
    <w:rsid w:val="72F771F4"/>
    <w:rsid w:val="734150D5"/>
    <w:rsid w:val="736650B0"/>
    <w:rsid w:val="73934AD2"/>
    <w:rsid w:val="750837F0"/>
    <w:rsid w:val="754758CF"/>
    <w:rsid w:val="75A32983"/>
    <w:rsid w:val="761275E6"/>
    <w:rsid w:val="764F62AB"/>
    <w:rsid w:val="765C45EC"/>
    <w:rsid w:val="768A7619"/>
    <w:rsid w:val="76AA36E6"/>
    <w:rsid w:val="772E1EBA"/>
    <w:rsid w:val="77303AE2"/>
    <w:rsid w:val="77702ED2"/>
    <w:rsid w:val="77A5004B"/>
    <w:rsid w:val="77EB79F7"/>
    <w:rsid w:val="78B63D1E"/>
    <w:rsid w:val="796D60A4"/>
    <w:rsid w:val="79A031D5"/>
    <w:rsid w:val="7A1525F7"/>
    <w:rsid w:val="7A432C6A"/>
    <w:rsid w:val="7B24540B"/>
    <w:rsid w:val="7B420052"/>
    <w:rsid w:val="7B4933D8"/>
    <w:rsid w:val="7B7D6760"/>
    <w:rsid w:val="7B861484"/>
    <w:rsid w:val="7BD06A28"/>
    <w:rsid w:val="7C3A7C0B"/>
    <w:rsid w:val="7C5248E4"/>
    <w:rsid w:val="7C566698"/>
    <w:rsid w:val="7C5866A3"/>
    <w:rsid w:val="7CA6205F"/>
    <w:rsid w:val="7CBE2F89"/>
    <w:rsid w:val="7CCD0158"/>
    <w:rsid w:val="7D7406BB"/>
    <w:rsid w:val="7DE94331"/>
    <w:rsid w:val="7E050406"/>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character" w:styleId="12">
    <w:name w:val="Strong"/>
    <w:qFormat/>
    <w:uiPriority w:val="0"/>
    <w:rPr>
      <w:b/>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字符"/>
    <w:basedOn w:val="11"/>
    <w:link w:val="5"/>
    <w:qFormat/>
    <w:uiPriority w:val="0"/>
    <w:rPr>
      <w:rFonts w:ascii="宋体" w:hAnsi="宋体"/>
      <w:sz w:val="18"/>
      <w:szCs w:val="18"/>
    </w:rPr>
  </w:style>
  <w:style w:type="paragraph" w:customStyle="1" w:styleId="20">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4051</Words>
  <Characters>23092</Characters>
  <Lines>192</Lines>
  <Paragraphs>54</Paragraphs>
  <TotalTime>0</TotalTime>
  <ScaleCrop>false</ScaleCrop>
  <LinksUpToDate>false</LinksUpToDate>
  <CharactersWithSpaces>27089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cp:lastPrinted>2025-10-15T07:20:00Z</cp:lastPrinted>
  <dcterms:modified xsi:type="dcterms:W3CDTF">2025-10-20T10:09:08Z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B4C49D72FB24434BA9B48518AE2530C8</vt:lpwstr>
  </property>
</Properties>
</file>