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A9A84">
      <w:pPr>
        <w:adjustRightInd w:val="0"/>
        <w:snapToGrid w:val="0"/>
        <w:spacing w:line="600" w:lineRule="exact"/>
        <w:ind w:firstLine="440" w:firstLineChars="100"/>
        <w:jc w:val="both"/>
        <w:rPr>
          <w:rFonts w:hint="eastAsia" w:ascii="微软雅黑" w:hAnsi="微软雅黑" w:eastAsia="微软雅黑" w:cs="微软雅黑"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渝高新综执罚字〔2024〕第3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304</w:t>
      </w:r>
      <w:r>
        <w:rPr>
          <w:rFonts w:hint="eastAsia" w:ascii="微软雅黑" w:hAnsi="微软雅黑" w:eastAsia="微软雅黑" w:cs="微软雅黑"/>
          <w:sz w:val="44"/>
          <w:szCs w:val="44"/>
        </w:rPr>
        <w:t>号</w:t>
      </w:r>
    </w:p>
    <w:tbl>
      <w:tblPr>
        <w:tblStyle w:val="5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262"/>
      </w:tblGrid>
      <w:tr w14:paraId="62DA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5D85252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行政相对人名称</w:t>
            </w:r>
          </w:p>
        </w:tc>
        <w:tc>
          <w:tcPr>
            <w:tcW w:w="5262" w:type="dxa"/>
            <w:vAlign w:val="center"/>
          </w:tcPr>
          <w:p w14:paraId="563080F8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九龙坡区海阔书店 </w:t>
            </w:r>
          </w:p>
        </w:tc>
      </w:tr>
      <w:tr w14:paraId="238B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25FB5F9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行政相对人代码</w:t>
            </w:r>
          </w:p>
          <w:p w14:paraId="1A282F7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(统一社会信用代码)</w:t>
            </w:r>
          </w:p>
        </w:tc>
        <w:tc>
          <w:tcPr>
            <w:tcW w:w="5262" w:type="dxa"/>
            <w:vAlign w:val="center"/>
          </w:tcPr>
          <w:p w14:paraId="7CD7A13E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92500107MA5URRPH2L </w:t>
            </w:r>
          </w:p>
        </w:tc>
      </w:tr>
      <w:tr w14:paraId="38F9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6468BE8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val="en-US" w:eastAsia="zh-CN"/>
              </w:rPr>
              <w:t>法定代表人</w:t>
            </w:r>
          </w:p>
        </w:tc>
        <w:tc>
          <w:tcPr>
            <w:tcW w:w="5262" w:type="dxa"/>
            <w:vAlign w:val="center"/>
          </w:tcPr>
          <w:p w14:paraId="172FDBAB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张**</w:t>
            </w:r>
            <w:bookmarkStart w:id="0" w:name="_GoBack"/>
            <w:bookmarkEnd w:id="0"/>
          </w:p>
        </w:tc>
      </w:tr>
      <w:tr w14:paraId="0C0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6C83025A">
            <w:pPr>
              <w:ind w:firstLine="482" w:firstLineChars="2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违法行为类型及依据</w:t>
            </w:r>
          </w:p>
        </w:tc>
        <w:tc>
          <w:tcPr>
            <w:tcW w:w="5262" w:type="dxa"/>
            <w:vAlign w:val="center"/>
          </w:tcPr>
          <w:p w14:paraId="352F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lang w:val="en-US" w:eastAsia="zh-CN" w:bidi="zh-CN"/>
              </w:rPr>
              <w:t>违反了《出版管理条例》第四十七条“发行进口出版物的，必须从依法设立的出版物进口经营单位进货”的规定</w:t>
            </w:r>
          </w:p>
        </w:tc>
      </w:tr>
      <w:tr w14:paraId="388D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1D146D5C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违法事实</w:t>
            </w:r>
          </w:p>
        </w:tc>
        <w:tc>
          <w:tcPr>
            <w:tcW w:w="5262" w:type="dxa"/>
            <w:vAlign w:val="center"/>
          </w:tcPr>
          <w:p w14:paraId="06DD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/>
                <w:lang w:val="zh-CN" w:eastAsia="zh-CN" w:bidi="zh-CN"/>
              </w:rPr>
              <w:t>发行进口出版物未从规定的出版物进口经营单位进货的</w:t>
            </w:r>
          </w:p>
        </w:tc>
      </w:tr>
      <w:tr w14:paraId="7DBA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0704ACBC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处罚依据</w:t>
            </w:r>
          </w:p>
        </w:tc>
        <w:tc>
          <w:tcPr>
            <w:tcW w:w="5262" w:type="dxa"/>
            <w:vAlign w:val="center"/>
          </w:tcPr>
          <w:p w14:paraId="7333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lang w:val="en-US" w:eastAsia="zh-CN" w:bidi="zh-CN"/>
              </w:rPr>
              <w:t>根据《出版管理条例》第六十三条第（三）项“有下列行为之一的，由出版行政主管部门责令停止违法行为，没收出版物、违法所得，违法经营额1万元以上的，并处违法经营额5倍以上10倍以下的罚款；违法经营额不足1万元的，可以处5万元以下的罚款；情节严重的，责令限期停业整顿或者由原发证机关吊销许可证：(三)发行进口出版物未从本条例规定的出版物进口经营单位进货的”的规定。</w:t>
            </w:r>
          </w:p>
        </w:tc>
      </w:tr>
      <w:tr w14:paraId="4E2E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78A11F7C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处罚内容</w:t>
            </w:r>
          </w:p>
        </w:tc>
        <w:tc>
          <w:tcPr>
            <w:tcW w:w="5262" w:type="dxa"/>
            <w:vAlign w:val="center"/>
          </w:tcPr>
          <w:p w14:paraId="690AE53F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 w:bidi="zh-CN"/>
              </w:rPr>
              <w:t>没收出版物3册，并处罚款人民币500元。</w:t>
            </w:r>
          </w:p>
        </w:tc>
      </w:tr>
      <w:tr w14:paraId="6AF7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6F6B757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处罚决定日期</w:t>
            </w:r>
          </w:p>
        </w:tc>
        <w:tc>
          <w:tcPr>
            <w:tcW w:w="5262" w:type="dxa"/>
            <w:vAlign w:val="center"/>
          </w:tcPr>
          <w:p w14:paraId="5F953725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 w14:paraId="6A51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76474795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处罚机关</w:t>
            </w:r>
          </w:p>
        </w:tc>
        <w:tc>
          <w:tcPr>
            <w:tcW w:w="5262" w:type="dxa"/>
            <w:vAlign w:val="center"/>
          </w:tcPr>
          <w:p w14:paraId="4554E93B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重庆高新技术产业开发区管理委员会综合执法局</w:t>
            </w:r>
          </w:p>
        </w:tc>
      </w:tr>
      <w:tr w14:paraId="40B2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33AE833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数据来源单位</w:t>
            </w:r>
          </w:p>
        </w:tc>
        <w:tc>
          <w:tcPr>
            <w:tcW w:w="5262" w:type="dxa"/>
            <w:vAlign w:val="center"/>
          </w:tcPr>
          <w:p w14:paraId="77D718E8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重庆高新技术产业开发区管理委员会</w:t>
            </w:r>
          </w:p>
        </w:tc>
      </w:tr>
    </w:tbl>
    <w:p w14:paraId="2CBB12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204352E-B371-4EA7-892A-08A2E4747E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63193FD-AA85-4470-9A74-DAAC05D545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2UyZmY3MTE0NzljYmIzOTBhNWY0MjAzZDBlOGYifQ=="/>
  </w:docVars>
  <w:rsids>
    <w:rsidRoot w:val="5D3D7C60"/>
    <w:rsid w:val="00577B68"/>
    <w:rsid w:val="00944535"/>
    <w:rsid w:val="01C35AF5"/>
    <w:rsid w:val="059D4F77"/>
    <w:rsid w:val="072D7C8A"/>
    <w:rsid w:val="077F0CC8"/>
    <w:rsid w:val="095D513F"/>
    <w:rsid w:val="0D34174A"/>
    <w:rsid w:val="0DA54270"/>
    <w:rsid w:val="119B2474"/>
    <w:rsid w:val="13A44DE1"/>
    <w:rsid w:val="17427046"/>
    <w:rsid w:val="1C8D0BA8"/>
    <w:rsid w:val="1F79606A"/>
    <w:rsid w:val="1FB65DB1"/>
    <w:rsid w:val="22FE368D"/>
    <w:rsid w:val="29117C6C"/>
    <w:rsid w:val="2C804B8A"/>
    <w:rsid w:val="2F577BEF"/>
    <w:rsid w:val="300E2B44"/>
    <w:rsid w:val="30187F75"/>
    <w:rsid w:val="317C5B56"/>
    <w:rsid w:val="36941893"/>
    <w:rsid w:val="39DA04FF"/>
    <w:rsid w:val="3BDE2409"/>
    <w:rsid w:val="454C040E"/>
    <w:rsid w:val="45CC64E0"/>
    <w:rsid w:val="47B2035D"/>
    <w:rsid w:val="48313978"/>
    <w:rsid w:val="49674EA4"/>
    <w:rsid w:val="4EED6A89"/>
    <w:rsid w:val="4EF53D2C"/>
    <w:rsid w:val="4F8459D6"/>
    <w:rsid w:val="526A6743"/>
    <w:rsid w:val="571C6CC5"/>
    <w:rsid w:val="593257A1"/>
    <w:rsid w:val="5C736CF4"/>
    <w:rsid w:val="5D3D7C60"/>
    <w:rsid w:val="5D4C366E"/>
    <w:rsid w:val="605E68E9"/>
    <w:rsid w:val="65E87633"/>
    <w:rsid w:val="67AD6CA4"/>
    <w:rsid w:val="681A7632"/>
    <w:rsid w:val="6D1F1741"/>
    <w:rsid w:val="70587444"/>
    <w:rsid w:val="721013F3"/>
    <w:rsid w:val="72AA3781"/>
    <w:rsid w:val="77993E11"/>
    <w:rsid w:val="78FD60C6"/>
    <w:rsid w:val="791D747D"/>
    <w:rsid w:val="7B636F5A"/>
    <w:rsid w:val="7BC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0" w:lineRule="atLeast"/>
    </w:pPr>
    <w:rPr>
      <w:rFonts w:eastAsia="小标宋"/>
      <w:kern w:val="0"/>
      <w:sz w:val="44"/>
      <w:szCs w:val="20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402</Words>
  <Characters>433</Characters>
  <Lines>2</Lines>
  <Paragraphs>1</Paragraphs>
  <TotalTime>0</TotalTime>
  <ScaleCrop>false</ScaleCrop>
  <LinksUpToDate>false</LinksUpToDate>
  <CharactersWithSpaces>435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2023-10-08T02:54:00Z</dcterms:created>
  <dc:creator>扎多</dc:creator>
  <cp:lastModifiedBy>扎多</cp:lastModifiedBy>
  <dcterms:modified xsi:type="dcterms:W3CDTF">2024-12-02T09:42:18Z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F42F7433F9484DCFA61213776D93B686_13</vt:lpwstr>
  </property>
</Properties>
</file>