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99" w:rsidRDefault="009538E9">
      <w:pPr>
        <w:spacing w:line="600" w:lineRule="exact"/>
        <w:jc w:val="center"/>
        <w:rPr>
          <w:rFonts w:ascii="方正小标宋_GBK" w:eastAsia="方正小标宋_GBK" w:hAnsi="华文中宋" w:cs="华文中宋"/>
          <w:color w:val="0D0D0D"/>
          <w:sz w:val="44"/>
          <w:szCs w:val="44"/>
        </w:rPr>
      </w:pPr>
      <w:proofErr w:type="gramStart"/>
      <w:r>
        <w:rPr>
          <w:rFonts w:ascii="方正小标宋_GBK" w:eastAsia="方正小标宋_GBK" w:hAnsi="华文中宋" w:cs="华文中宋" w:hint="eastAsia"/>
          <w:color w:val="0D0D0D"/>
          <w:sz w:val="44"/>
          <w:szCs w:val="44"/>
        </w:rPr>
        <w:t>走马镇</w:t>
      </w:r>
      <w:proofErr w:type="gramEnd"/>
      <w:r>
        <w:rPr>
          <w:rFonts w:ascii="方正小标宋_GBK" w:eastAsia="方正小标宋_GBK" w:hAnsi="华文中宋" w:cs="华文中宋" w:hint="eastAsia"/>
          <w:color w:val="0D0D0D"/>
          <w:sz w:val="44"/>
          <w:szCs w:val="44"/>
        </w:rPr>
        <w:t>综合行政执法大队</w:t>
      </w:r>
    </w:p>
    <w:p w:rsidR="00342B99" w:rsidRDefault="009538E9">
      <w:pPr>
        <w:spacing w:line="600" w:lineRule="exact"/>
        <w:jc w:val="center"/>
        <w:rPr>
          <w:rFonts w:ascii="方正小标宋_GBK" w:eastAsia="方正小标宋_GBK" w:hAnsi="华文中宋" w:cs="华文中宋"/>
          <w:color w:val="0D0D0D"/>
          <w:sz w:val="44"/>
          <w:szCs w:val="44"/>
        </w:rPr>
      </w:pPr>
      <w:r>
        <w:rPr>
          <w:rFonts w:ascii="Times New Roman" w:eastAsia="方正小标宋_GBK" w:hAnsi="Times New Roman" w:hint="eastAsia"/>
          <w:color w:val="0D0D0D"/>
          <w:sz w:val="44"/>
          <w:szCs w:val="44"/>
        </w:rPr>
        <w:t>2026</w:t>
      </w:r>
      <w:r>
        <w:rPr>
          <w:rFonts w:ascii="方正小标宋_GBK" w:eastAsia="方正小标宋_GBK" w:hAnsi="华文中宋" w:cs="华文中宋" w:hint="eastAsia"/>
          <w:color w:val="0D0D0D"/>
          <w:sz w:val="44"/>
          <w:szCs w:val="44"/>
        </w:rPr>
        <w:t>年单位预算情况说明</w:t>
      </w:r>
    </w:p>
    <w:p w:rsidR="00342B99" w:rsidRDefault="00342B99">
      <w:pPr>
        <w:spacing w:line="600" w:lineRule="exact"/>
        <w:ind w:left="640"/>
        <w:rPr>
          <w:rFonts w:ascii="方正黑体_GBK" w:eastAsia="方正黑体_GBK" w:hAnsi="黑体" w:cs="仿宋_GB2312"/>
          <w:color w:val="0D0D0D"/>
        </w:rPr>
      </w:pPr>
    </w:p>
    <w:p w:rsidR="00342B99" w:rsidRDefault="009538E9">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342B99" w:rsidRDefault="009538E9">
      <w:pPr>
        <w:spacing w:line="600" w:lineRule="exact"/>
        <w:ind w:firstLineChars="200" w:firstLine="640"/>
        <w:rPr>
          <w:rFonts w:ascii="方正楷体_GBK" w:eastAsia="方正楷体_GBK"/>
          <w:color w:val="0D0D0D"/>
          <w:szCs w:val="32"/>
        </w:rPr>
      </w:pPr>
      <w:r>
        <w:rPr>
          <w:rFonts w:ascii="方正楷体_GBK" w:eastAsia="方正楷体_GBK" w:hint="eastAsia"/>
          <w:color w:val="0D0D0D"/>
          <w:szCs w:val="32"/>
        </w:rPr>
        <w:t>（一）职能职责</w:t>
      </w:r>
    </w:p>
    <w:p w:rsidR="00342B99" w:rsidRDefault="009538E9">
      <w:pPr>
        <w:spacing w:line="600" w:lineRule="exact"/>
        <w:ind w:firstLineChars="200" w:firstLine="640"/>
        <w:rPr>
          <w:rFonts w:ascii="方正仿宋_GBK" w:hAnsi="仿宋_GB2312" w:cs="仿宋_GB2312"/>
          <w:color w:val="0D0D0D"/>
          <w:szCs w:val="22"/>
        </w:rPr>
      </w:pPr>
      <w:r>
        <w:rPr>
          <w:rFonts w:ascii="方正仿宋_GBK" w:hAnsi="仿宋_GB2312" w:cs="仿宋_GB2312" w:hint="eastAsia"/>
          <w:color w:val="0D0D0D"/>
          <w:szCs w:val="22"/>
        </w:rPr>
        <w:t>负责集中行使本镇法定行政执法事项、赋权行政执法事项和委托行政执法事项的行政执法权。负责开</w:t>
      </w:r>
      <w:r>
        <w:rPr>
          <w:rFonts w:ascii="方正仿宋_GBK" w:hAnsi="仿宋_GB2312" w:cs="仿宋_GB2312" w:hint="eastAsia"/>
          <w:color w:val="0D0D0D"/>
          <w:szCs w:val="22"/>
        </w:rPr>
        <w:t xml:space="preserve"> </w:t>
      </w:r>
      <w:r>
        <w:rPr>
          <w:rFonts w:ascii="方正仿宋_GBK" w:hAnsi="仿宋_GB2312" w:cs="仿宋_GB2312" w:hint="eastAsia"/>
          <w:color w:val="0D0D0D"/>
          <w:szCs w:val="22"/>
        </w:rPr>
        <w:t>展所涉执法领域的普法宣传、协同联动执法等工作。具体如下：</w:t>
      </w:r>
    </w:p>
    <w:p w:rsidR="00342B99" w:rsidRDefault="009538E9">
      <w:pPr>
        <w:spacing w:line="600" w:lineRule="exact"/>
        <w:ind w:firstLineChars="200" w:firstLine="640"/>
        <w:rPr>
          <w:rFonts w:ascii="方正仿宋_GBK" w:hAnsi="仿宋_GB2312" w:cs="仿宋_GB2312"/>
          <w:color w:val="0D0D0D"/>
          <w:szCs w:val="22"/>
        </w:rPr>
      </w:pPr>
      <w:r>
        <w:rPr>
          <w:rFonts w:ascii="Times New Roman" w:hAnsi="Times New Roman"/>
          <w:color w:val="0D0D0D"/>
          <w:szCs w:val="22"/>
        </w:rPr>
        <w:t>1</w:t>
      </w:r>
      <w:r>
        <w:rPr>
          <w:rFonts w:ascii="方正仿宋_GBK" w:hAnsi="仿宋_GB2312" w:cs="仿宋_GB2312" w:hint="eastAsia"/>
          <w:color w:val="0D0D0D"/>
          <w:szCs w:val="22"/>
        </w:rPr>
        <w:t>.</w:t>
      </w:r>
      <w:r>
        <w:rPr>
          <w:rFonts w:ascii="方正仿宋_GBK" w:hAnsi="仿宋_GB2312" w:cs="仿宋_GB2312" w:hint="eastAsia"/>
          <w:color w:val="0D0D0D"/>
          <w:szCs w:val="22"/>
        </w:rPr>
        <w:t>负责依法执法，严格按照行政执法“三项制度”要求，集中行使本镇法定执法事项、赋权执法事项和依法授权委托的农林水利、规划建设、环境保护、卫生健康、文化旅游、民政管理、城市</w:t>
      </w:r>
      <w:r>
        <w:rPr>
          <w:rFonts w:ascii="方正仿宋_GBK" w:hAnsi="仿宋_GB2312" w:cs="仿宋_GB2312" w:hint="eastAsia"/>
          <w:color w:val="0D0D0D"/>
          <w:szCs w:val="22"/>
        </w:rPr>
        <w:t xml:space="preserve"> </w:t>
      </w:r>
      <w:r>
        <w:rPr>
          <w:rFonts w:ascii="方正仿宋_GBK" w:hAnsi="仿宋_GB2312" w:cs="仿宋_GB2312" w:hint="eastAsia"/>
          <w:color w:val="0D0D0D"/>
          <w:szCs w:val="22"/>
        </w:rPr>
        <w:t>管理、应急管理、安全生产、消防救援等领域行政执法权。</w:t>
      </w:r>
    </w:p>
    <w:p w:rsidR="00342B99" w:rsidRDefault="009538E9">
      <w:pPr>
        <w:spacing w:line="600" w:lineRule="exact"/>
        <w:ind w:firstLineChars="200" w:firstLine="640"/>
        <w:rPr>
          <w:rFonts w:ascii="方正仿宋_GBK" w:hAnsi="仿宋_GB2312" w:cs="仿宋_GB2312"/>
          <w:color w:val="0D0D0D"/>
          <w:szCs w:val="22"/>
        </w:rPr>
      </w:pPr>
      <w:r>
        <w:rPr>
          <w:rFonts w:ascii="Times New Roman" w:hAnsi="Times New Roman"/>
          <w:color w:val="0D0D0D"/>
          <w:szCs w:val="22"/>
        </w:rPr>
        <w:t>2</w:t>
      </w:r>
      <w:r>
        <w:rPr>
          <w:rFonts w:ascii="方正仿宋_GBK" w:hAnsi="仿宋_GB2312" w:cs="仿宋_GB2312" w:hint="eastAsia"/>
          <w:color w:val="0D0D0D"/>
          <w:szCs w:val="22"/>
        </w:rPr>
        <w:t>.</w:t>
      </w:r>
      <w:r>
        <w:rPr>
          <w:rFonts w:ascii="方正仿宋_GBK" w:hAnsi="仿宋_GB2312" w:cs="仿宋_GB2312" w:hint="eastAsia"/>
          <w:color w:val="0D0D0D"/>
          <w:szCs w:val="22"/>
        </w:rPr>
        <w:t>负责加强与区级执法部门的联系，配合区级执法部门开展联合执法、专项执法等工作。</w:t>
      </w:r>
    </w:p>
    <w:p w:rsidR="00342B99" w:rsidRDefault="009538E9">
      <w:pPr>
        <w:spacing w:line="600" w:lineRule="exact"/>
        <w:ind w:firstLineChars="200" w:firstLine="640"/>
        <w:rPr>
          <w:rFonts w:ascii="方正仿宋_GBK" w:hAnsi="仿宋_GB2312" w:cs="仿宋_GB2312"/>
          <w:color w:val="0D0D0D"/>
          <w:szCs w:val="22"/>
        </w:rPr>
      </w:pPr>
      <w:r>
        <w:rPr>
          <w:rFonts w:ascii="Times New Roman" w:hAnsi="Times New Roman"/>
          <w:color w:val="0D0D0D"/>
          <w:szCs w:val="22"/>
        </w:rPr>
        <w:t>3</w:t>
      </w:r>
      <w:r>
        <w:rPr>
          <w:rFonts w:ascii="方正仿宋_GBK" w:hAnsi="仿宋_GB2312" w:cs="仿宋_GB2312" w:hint="eastAsia"/>
          <w:color w:val="0D0D0D"/>
          <w:szCs w:val="22"/>
        </w:rPr>
        <w:t>.</w:t>
      </w:r>
      <w:r>
        <w:rPr>
          <w:rFonts w:ascii="方正仿宋_GBK" w:hAnsi="仿宋_GB2312" w:cs="仿宋_GB2312" w:hint="eastAsia"/>
          <w:color w:val="0D0D0D"/>
          <w:szCs w:val="22"/>
        </w:rPr>
        <w:t>负责推进行政执法信息化建设，加强综合行政执法队伍建设。</w:t>
      </w:r>
    </w:p>
    <w:p w:rsidR="00342B99" w:rsidRDefault="009538E9">
      <w:pPr>
        <w:spacing w:line="600" w:lineRule="exact"/>
        <w:ind w:firstLineChars="200" w:firstLine="640"/>
        <w:rPr>
          <w:rFonts w:ascii="方正仿宋_GBK" w:hAnsi="仿宋_GB2312" w:cs="仿宋_GB2312"/>
          <w:color w:val="0D0D0D"/>
          <w:szCs w:val="22"/>
        </w:rPr>
      </w:pPr>
      <w:r>
        <w:rPr>
          <w:rFonts w:ascii="Times New Roman" w:hAnsi="Times New Roman"/>
          <w:color w:val="0D0D0D"/>
          <w:szCs w:val="22"/>
        </w:rPr>
        <w:t>4</w:t>
      </w:r>
      <w:r>
        <w:rPr>
          <w:rFonts w:ascii="方正仿宋_GBK" w:hAnsi="仿宋_GB2312" w:cs="仿宋_GB2312" w:hint="eastAsia"/>
          <w:color w:val="0D0D0D"/>
          <w:szCs w:val="22"/>
        </w:rPr>
        <w:t>.</w:t>
      </w:r>
      <w:r>
        <w:rPr>
          <w:rFonts w:ascii="方正仿宋_GBK" w:hAnsi="仿宋_GB2312" w:cs="仿宋_GB2312" w:hint="eastAsia"/>
          <w:color w:val="0D0D0D"/>
          <w:szCs w:val="22"/>
        </w:rPr>
        <w:t>负责拟定辖区普法、依法治理、法治宣传教育规划和年度计划并组织实施。落实“谁执法谁普法”的普法责任制。</w:t>
      </w:r>
    </w:p>
    <w:p w:rsidR="00342B99" w:rsidRDefault="009538E9">
      <w:pPr>
        <w:spacing w:line="600" w:lineRule="exact"/>
        <w:ind w:firstLineChars="200" w:firstLine="640"/>
        <w:rPr>
          <w:rFonts w:ascii="方正仿宋_GBK" w:hAnsi="仿宋_GB2312" w:cs="仿宋_GB2312"/>
          <w:color w:val="0D0D0D"/>
          <w:szCs w:val="22"/>
        </w:rPr>
      </w:pPr>
      <w:r>
        <w:rPr>
          <w:rFonts w:ascii="Times New Roman" w:hAnsi="Times New Roman"/>
          <w:color w:val="0D0D0D"/>
          <w:szCs w:val="22"/>
        </w:rPr>
        <w:t>5</w:t>
      </w:r>
      <w:r>
        <w:rPr>
          <w:rFonts w:ascii="方正仿宋_GBK" w:hAnsi="仿宋_GB2312" w:cs="仿宋_GB2312" w:hint="eastAsia"/>
          <w:color w:val="0D0D0D"/>
          <w:szCs w:val="22"/>
        </w:rPr>
        <w:t>.</w:t>
      </w:r>
      <w:r>
        <w:rPr>
          <w:rFonts w:ascii="方正仿宋_GBK" w:hAnsi="仿宋_GB2312" w:cs="仿宋_GB2312" w:hint="eastAsia"/>
          <w:color w:val="0D0D0D"/>
          <w:szCs w:val="22"/>
        </w:rPr>
        <w:t>完成镇党委、政府交办的其他任务。</w:t>
      </w:r>
    </w:p>
    <w:p w:rsidR="00342B99" w:rsidRDefault="009538E9">
      <w:pPr>
        <w:pStyle w:val="a6"/>
        <w:tabs>
          <w:tab w:val="center" w:pos="4153"/>
          <w:tab w:val="left" w:pos="7275"/>
        </w:tabs>
        <w:spacing w:line="600" w:lineRule="exact"/>
        <w:ind w:firstLine="640"/>
        <w:jc w:val="left"/>
        <w:rPr>
          <w:rFonts w:ascii="方正楷体_GBK" w:eastAsia="方正楷体_GBK" w:hAnsi="Calibri"/>
          <w:color w:val="0D0D0D"/>
          <w:sz w:val="32"/>
          <w:szCs w:val="32"/>
        </w:rPr>
      </w:pPr>
      <w:r>
        <w:rPr>
          <w:rFonts w:ascii="方正楷体_GBK" w:eastAsia="方正楷体_GBK" w:hAnsi="Calibri" w:hint="eastAsia"/>
          <w:color w:val="0D0D0D"/>
          <w:sz w:val="32"/>
          <w:szCs w:val="32"/>
        </w:rPr>
        <w:t>（二）单位构成</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rPr>
        <w:t>本单位未设置内部机构。</w:t>
      </w:r>
    </w:p>
    <w:p w:rsidR="00342B99" w:rsidRDefault="009538E9">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lastRenderedPageBreak/>
        <w:t>二、单位收支总体情况</w:t>
      </w:r>
    </w:p>
    <w:p w:rsidR="00342B99" w:rsidRDefault="009538E9">
      <w:pPr>
        <w:spacing w:line="600" w:lineRule="exact"/>
        <w:ind w:firstLineChars="200" w:firstLine="640"/>
        <w:rPr>
          <w:rFonts w:ascii="方正仿宋_GBK" w:hAnsi="宋体" w:cs="宋体"/>
          <w:color w:val="000000"/>
          <w:szCs w:val="32"/>
          <w:shd w:val="clear" w:color="auto" w:fill="FFFFFF"/>
          <w:lang w:bidi="ar"/>
        </w:rPr>
      </w:pPr>
      <w:r>
        <w:rPr>
          <w:rFonts w:ascii="方正楷体_GBK" w:eastAsia="方正楷体_GBK" w:hint="eastAsia"/>
          <w:color w:val="0D0D0D"/>
          <w:szCs w:val="32"/>
        </w:rPr>
        <w:t>（一）收入预算：</w:t>
      </w:r>
      <w:r>
        <w:rPr>
          <w:rFonts w:ascii="Times New Roman" w:eastAsia="方正楷体_GBK" w:hAnsi="Times New Roman" w:hint="eastAsia"/>
          <w:color w:val="0D0D0D"/>
        </w:rPr>
        <w:t>2026</w:t>
      </w:r>
      <w:r>
        <w:rPr>
          <w:rFonts w:ascii="方正仿宋_GBK" w:hAnsi="仿宋_GB2312" w:cs="仿宋_GB2312" w:hint="eastAsia"/>
          <w:color w:val="0D0D0D"/>
        </w:rPr>
        <w:t>年年初预算数</w:t>
      </w:r>
      <w:r>
        <w:rPr>
          <w:rFonts w:ascii="Times New Roman" w:hAnsi="Times New Roman" w:hint="eastAsia"/>
          <w:color w:val="0D0D0D"/>
        </w:rPr>
        <w:t>141.23</w:t>
      </w:r>
      <w:r>
        <w:rPr>
          <w:rFonts w:ascii="方正仿宋_GBK" w:hAnsi="仿宋_GB2312" w:cs="仿宋_GB2312" w:hint="eastAsia"/>
          <w:color w:val="0D0D0D"/>
        </w:rPr>
        <w:t>万元，其中：一般公共预算拨款</w:t>
      </w:r>
      <w:r>
        <w:rPr>
          <w:rFonts w:ascii="Times New Roman" w:hAnsi="Times New Roman" w:hint="eastAsia"/>
          <w:color w:val="0D0D0D"/>
        </w:rPr>
        <w:t>141.23</w:t>
      </w:r>
      <w:r>
        <w:rPr>
          <w:rFonts w:ascii="方正仿宋_GBK" w:hAnsi="仿宋_GB2312" w:cs="仿宋_GB2312" w:hint="eastAsia"/>
          <w:color w:val="0D0D0D"/>
        </w:rPr>
        <w:t>万元，政府性基金预算拨款</w:t>
      </w:r>
      <w:r>
        <w:rPr>
          <w:rFonts w:ascii="Times New Roman" w:hAnsi="Times New Roman"/>
          <w:color w:val="0D0D0D"/>
        </w:rPr>
        <w:t>0</w:t>
      </w:r>
      <w:r>
        <w:rPr>
          <w:rFonts w:ascii="方正仿宋_GBK" w:hAnsi="仿宋_GB2312" w:cs="仿宋_GB2312" w:hint="eastAsia"/>
          <w:color w:val="0D0D0D"/>
        </w:rPr>
        <w:t>万元，国有资本经营预算收入</w:t>
      </w:r>
      <w:r>
        <w:rPr>
          <w:rFonts w:ascii="Times New Roman" w:hAnsi="Times New Roman"/>
          <w:color w:val="0D0D0D"/>
        </w:rPr>
        <w:t>0</w:t>
      </w:r>
      <w:r>
        <w:rPr>
          <w:rFonts w:ascii="方正仿宋_GBK" w:hAnsi="仿宋_GB2312" w:cs="仿宋_GB2312" w:hint="eastAsia"/>
          <w:color w:val="0D0D0D"/>
        </w:rPr>
        <w:t>万元，事业收入</w:t>
      </w:r>
      <w:r>
        <w:rPr>
          <w:rFonts w:ascii="Times New Roman" w:hAnsi="Times New Roman"/>
          <w:color w:val="0D0D0D"/>
        </w:rPr>
        <w:t>0</w:t>
      </w:r>
      <w:r>
        <w:rPr>
          <w:rFonts w:ascii="方正仿宋_GBK" w:hAnsi="仿宋_GB2312" w:cs="仿宋_GB2312" w:hint="eastAsia"/>
          <w:color w:val="0D0D0D"/>
        </w:rPr>
        <w:t>万元，事业单位经营收入</w:t>
      </w:r>
      <w:r>
        <w:rPr>
          <w:rFonts w:ascii="Times New Roman" w:hAnsi="Times New Roman"/>
          <w:color w:val="0D0D0D"/>
        </w:rPr>
        <w:t>0</w:t>
      </w:r>
      <w:r>
        <w:rPr>
          <w:rFonts w:ascii="方正仿宋_GBK" w:hAnsi="仿宋_GB2312" w:cs="仿宋_GB2312" w:hint="eastAsia"/>
          <w:color w:val="0D0D0D"/>
        </w:rPr>
        <w:t>万元，其他收入</w:t>
      </w:r>
      <w:r>
        <w:rPr>
          <w:rFonts w:ascii="Times New Roman" w:hAnsi="Times New Roman"/>
          <w:color w:val="0D0D0D"/>
        </w:rPr>
        <w:t>0</w:t>
      </w:r>
      <w:r>
        <w:rPr>
          <w:rFonts w:ascii="方正仿宋_GBK" w:hAnsi="仿宋_GB2312" w:cs="仿宋_GB2312" w:hint="eastAsia"/>
          <w:color w:val="0D0D0D"/>
        </w:rPr>
        <w:t>万</w:t>
      </w:r>
      <w:r>
        <w:rPr>
          <w:rFonts w:ascii="方正仿宋_GBK" w:hAnsi="仿宋_GB2312" w:cs="仿宋_GB2312" w:hint="eastAsia"/>
          <w:color w:val="0D0D0D"/>
          <w:szCs w:val="22"/>
        </w:rPr>
        <w:t>元。</w:t>
      </w:r>
      <w:r>
        <w:rPr>
          <w:rFonts w:ascii="方正仿宋_GBK" w:hAnsi="仿宋_GB2312" w:cs="仿宋_GB2312" w:hint="eastAsia"/>
          <w:color w:val="0D0D0D"/>
        </w:rPr>
        <w:t>收入较</w:t>
      </w:r>
      <w:r>
        <w:rPr>
          <w:rFonts w:ascii="Times New Roman" w:hAnsi="Times New Roman"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增加</w:t>
      </w:r>
      <w:r>
        <w:rPr>
          <w:rFonts w:ascii="方正仿宋_GBK" w:hAnsi="仿宋_GB2312" w:cs="仿宋_GB2312" w:hint="eastAsia"/>
          <w:color w:val="0D0D0D"/>
        </w:rPr>
        <w:t>4.9</w:t>
      </w:r>
      <w:r>
        <w:rPr>
          <w:rFonts w:ascii="方正仿宋_GBK" w:hAnsi="仿宋_GB2312" w:cs="仿宋_GB2312" w:hint="eastAsia"/>
          <w:color w:val="0D0D0D"/>
        </w:rPr>
        <w:t>万元，</w:t>
      </w:r>
      <w:r>
        <w:rPr>
          <w:rFonts w:ascii="方正仿宋_GBK" w:hAnsi="仿宋_GB2312" w:cs="仿宋_GB2312" w:hint="eastAsia"/>
          <w:color w:val="0D0D0D"/>
        </w:rPr>
        <w:t>主要是一般公共预算拨款</w:t>
      </w:r>
      <w:r>
        <w:rPr>
          <w:rFonts w:ascii="方正仿宋_GBK" w:hAnsi="仿宋_GB2312" w:cs="仿宋_GB2312" w:hint="eastAsia"/>
          <w:color w:val="0D0D0D"/>
        </w:rPr>
        <w:t>增加</w:t>
      </w:r>
      <w:r>
        <w:rPr>
          <w:rFonts w:ascii="方正仿宋_GBK" w:hAnsi="仿宋_GB2312" w:cs="仿宋_GB2312" w:hint="eastAsia"/>
          <w:color w:val="0D0D0D"/>
        </w:rPr>
        <w:t>4.9</w:t>
      </w:r>
      <w:r>
        <w:rPr>
          <w:rFonts w:ascii="方正仿宋_GBK" w:hAnsi="仿宋_GB2312" w:cs="仿宋_GB2312" w:hint="eastAsia"/>
          <w:color w:val="0D0D0D"/>
        </w:rPr>
        <w:t>万元。</w:t>
      </w:r>
    </w:p>
    <w:p w:rsidR="00342B99" w:rsidRDefault="009538E9">
      <w:pPr>
        <w:spacing w:line="600" w:lineRule="exact"/>
        <w:ind w:firstLineChars="200" w:firstLine="640"/>
        <w:rPr>
          <w:rFonts w:ascii="方正仿宋_GBK" w:hAnsi="仿宋_GB2312" w:cs="仿宋_GB2312"/>
          <w:color w:val="0D0D0D"/>
        </w:rPr>
      </w:pPr>
      <w:r>
        <w:rPr>
          <w:rFonts w:ascii="方正楷体_GBK" w:eastAsia="方正楷体_GBK" w:hint="eastAsia"/>
          <w:color w:val="0D0D0D"/>
          <w:szCs w:val="32"/>
        </w:rPr>
        <w:t>（二）支出预算：</w:t>
      </w:r>
      <w:r>
        <w:rPr>
          <w:rFonts w:ascii="Times New Roman" w:eastAsia="方正楷体_GBK" w:hAnsi="Times New Roman" w:hint="eastAsia"/>
          <w:color w:val="0D0D0D"/>
        </w:rPr>
        <w:t>2026</w:t>
      </w:r>
      <w:r>
        <w:rPr>
          <w:rFonts w:ascii="方正仿宋_GBK" w:hAnsi="仿宋_GB2312" w:cs="仿宋_GB2312" w:hint="eastAsia"/>
          <w:color w:val="0D0D0D"/>
        </w:rPr>
        <w:t>年年初预算数</w:t>
      </w:r>
      <w:r>
        <w:rPr>
          <w:rFonts w:ascii="Times New Roman" w:hAnsi="Times New Roman" w:hint="eastAsia"/>
          <w:color w:val="0D0D0D"/>
        </w:rPr>
        <w:t>141.23</w:t>
      </w:r>
      <w:r>
        <w:rPr>
          <w:rFonts w:ascii="方正仿宋_GBK" w:hAnsi="仿宋_GB2312" w:cs="仿宋_GB2312" w:hint="eastAsia"/>
          <w:color w:val="0D0D0D"/>
        </w:rPr>
        <w:t>万元，其中：一般公共服务支出</w:t>
      </w:r>
      <w:r>
        <w:rPr>
          <w:rFonts w:ascii="Times New Roman" w:hAnsi="Times New Roman" w:hint="eastAsia"/>
          <w:color w:val="0D0D0D"/>
        </w:rPr>
        <w:t>109.29</w:t>
      </w:r>
      <w:r>
        <w:rPr>
          <w:rFonts w:ascii="方正仿宋_GBK" w:hAnsi="仿宋_GB2312" w:cs="仿宋_GB2312" w:hint="eastAsia"/>
          <w:color w:val="0D0D0D"/>
        </w:rPr>
        <w:t>万元，社会保障和就业支出预算</w:t>
      </w:r>
      <w:r>
        <w:rPr>
          <w:rFonts w:ascii="Times New Roman" w:hAnsi="Times New Roman" w:hint="eastAsia"/>
          <w:color w:val="0D0D0D"/>
        </w:rPr>
        <w:t>18.3</w:t>
      </w:r>
      <w:r>
        <w:rPr>
          <w:rFonts w:ascii="方正仿宋_GBK" w:hAnsi="仿宋_GB2312" w:cs="仿宋_GB2312" w:hint="eastAsia"/>
          <w:color w:val="0D0D0D"/>
        </w:rPr>
        <w:t>万元，卫生健康支出预算</w:t>
      </w:r>
      <w:r>
        <w:rPr>
          <w:rFonts w:ascii="Times New Roman" w:hAnsi="Times New Roman" w:hint="eastAsia"/>
          <w:color w:val="0D0D0D"/>
        </w:rPr>
        <w:t>7.22</w:t>
      </w:r>
      <w:r>
        <w:rPr>
          <w:rFonts w:ascii="方正仿宋_GBK" w:hAnsi="仿宋_GB2312" w:cs="仿宋_GB2312" w:hint="eastAsia"/>
          <w:color w:val="0D0D0D"/>
        </w:rPr>
        <w:t>万元，住房保障支出预算</w:t>
      </w:r>
      <w:r>
        <w:rPr>
          <w:rFonts w:ascii="Times New Roman" w:hAnsi="Times New Roman" w:hint="eastAsia"/>
          <w:color w:val="0D0D0D"/>
        </w:rPr>
        <w:t>6.43</w:t>
      </w:r>
      <w:r>
        <w:rPr>
          <w:rFonts w:ascii="方正仿宋_GBK" w:hAnsi="仿宋_GB2312" w:cs="仿宋_GB2312" w:hint="eastAsia"/>
          <w:color w:val="0D0D0D"/>
        </w:rPr>
        <w:t>万元。</w:t>
      </w:r>
      <w:r>
        <w:rPr>
          <w:rFonts w:ascii="方正仿宋_GBK" w:hAnsi="仿宋_GB2312" w:cs="仿宋_GB2312" w:hint="eastAsia"/>
          <w:color w:val="0D0D0D"/>
          <w:szCs w:val="22"/>
        </w:rPr>
        <w:t>支出预算</w:t>
      </w:r>
      <w:r>
        <w:rPr>
          <w:rFonts w:ascii="方正仿宋_GBK" w:hAnsi="仿宋_GB2312" w:cs="仿宋_GB2312" w:hint="eastAsia"/>
          <w:color w:val="0D0D0D"/>
        </w:rPr>
        <w:t>较</w:t>
      </w:r>
      <w:r>
        <w:rPr>
          <w:rFonts w:ascii="Times New Roman" w:hAnsi="Times New Roman" w:hint="eastAsia"/>
          <w:color w:val="0D0D0D"/>
        </w:rPr>
        <w:t>2025</w:t>
      </w:r>
      <w:r>
        <w:rPr>
          <w:rFonts w:ascii="方正仿宋_GBK" w:hAnsi="仿宋_GB2312" w:cs="仿宋_GB2312" w:hint="eastAsia"/>
          <w:color w:val="0D0D0D"/>
        </w:rPr>
        <w:t>年增加</w:t>
      </w:r>
      <w:r>
        <w:rPr>
          <w:rFonts w:ascii="Times New Roman" w:hAnsi="Times New Roman" w:hint="eastAsia"/>
          <w:color w:val="0D0D0D"/>
        </w:rPr>
        <w:t>4.9</w:t>
      </w:r>
      <w:r>
        <w:rPr>
          <w:rFonts w:ascii="方正仿宋_GBK" w:hAnsi="仿宋_GB2312" w:cs="仿宋_GB2312" w:hint="eastAsia"/>
          <w:color w:val="0D0D0D"/>
        </w:rPr>
        <w:t>万元，</w:t>
      </w:r>
      <w:r>
        <w:rPr>
          <w:rFonts w:ascii="方正仿宋_GBK" w:hAnsi="仿宋_GB2312" w:cs="仿宋_GB2312" w:hint="eastAsia"/>
          <w:color w:val="0D0D0D"/>
        </w:rPr>
        <w:t>主要是</w:t>
      </w:r>
      <w:r>
        <w:rPr>
          <w:rFonts w:ascii="方正仿宋_GBK" w:hAnsi="仿宋_GB2312" w:cs="仿宋_GB2312" w:hint="eastAsia"/>
          <w:color w:val="0D0D0D"/>
        </w:rPr>
        <w:t>基本支出预算增加</w:t>
      </w:r>
      <w:r>
        <w:rPr>
          <w:rFonts w:ascii="方正仿宋_GBK" w:hAnsi="仿宋_GB2312" w:cs="仿宋_GB2312" w:hint="eastAsia"/>
          <w:color w:val="0D0D0D"/>
        </w:rPr>
        <w:t>4.9</w:t>
      </w:r>
      <w:r>
        <w:rPr>
          <w:rFonts w:ascii="方正仿宋_GBK" w:hAnsi="仿宋_GB2312" w:cs="仿宋_GB2312" w:hint="eastAsia"/>
          <w:color w:val="0D0D0D"/>
        </w:rPr>
        <w:t>万元</w:t>
      </w:r>
      <w:r>
        <w:rPr>
          <w:rFonts w:ascii="方正仿宋_GBK" w:hAnsi="仿宋_GB2312" w:cs="仿宋_GB2312" w:hint="eastAsia"/>
          <w:color w:val="0D0D0D"/>
        </w:rPr>
        <w:t>。</w:t>
      </w:r>
    </w:p>
    <w:p w:rsidR="00342B99" w:rsidRDefault="009538E9">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三、单位预算情况说明</w:t>
      </w:r>
    </w:p>
    <w:p w:rsidR="00342B99" w:rsidRDefault="009538E9">
      <w:pPr>
        <w:spacing w:line="600" w:lineRule="exact"/>
        <w:ind w:firstLineChars="200" w:firstLine="640"/>
        <w:rPr>
          <w:rFonts w:ascii="方正仿宋_GBK" w:hAnsi="仿宋_GB2312" w:cs="仿宋_GB2312"/>
          <w:color w:val="0D0D0D"/>
        </w:rPr>
      </w:pPr>
      <w:r>
        <w:rPr>
          <w:rFonts w:ascii="Times New Roman" w:hAnsi="Times New Roman" w:hint="eastAsia"/>
          <w:color w:val="0D0D0D"/>
        </w:rPr>
        <w:t>2026</w:t>
      </w:r>
      <w:r>
        <w:rPr>
          <w:rFonts w:ascii="方正仿宋_GBK" w:hAnsi="仿宋_GB2312" w:cs="仿宋_GB2312" w:hint="eastAsia"/>
          <w:color w:val="0D0D0D"/>
        </w:rPr>
        <w:t>年一般公共预算财政拨款收入</w:t>
      </w:r>
      <w:r>
        <w:rPr>
          <w:rFonts w:ascii="Times New Roman" w:hAnsi="Times New Roman" w:hint="eastAsia"/>
          <w:color w:val="0D0D0D"/>
        </w:rPr>
        <w:t>141.23</w:t>
      </w:r>
      <w:r>
        <w:rPr>
          <w:rFonts w:ascii="方正仿宋_GBK" w:hAnsi="仿宋_GB2312" w:cs="仿宋_GB2312" w:hint="eastAsia"/>
          <w:color w:val="0D0D0D"/>
        </w:rPr>
        <w:t>万元，一般公共预算财政拨款支出</w:t>
      </w:r>
      <w:r>
        <w:rPr>
          <w:rFonts w:ascii="Times New Roman" w:hAnsi="Times New Roman" w:hint="eastAsia"/>
          <w:color w:val="0D0D0D"/>
        </w:rPr>
        <w:t>141.23</w:t>
      </w:r>
      <w:r>
        <w:rPr>
          <w:rFonts w:ascii="方正仿宋_GBK" w:hAnsi="仿宋_GB2312" w:cs="仿宋_GB2312" w:hint="eastAsia"/>
          <w:color w:val="0D0D0D"/>
        </w:rPr>
        <w:t>万元</w:t>
      </w:r>
      <w:r>
        <w:rPr>
          <w:rFonts w:ascii="方正仿宋_GBK" w:hAnsi="仿宋_GB2312" w:cs="仿宋_GB2312" w:hint="eastAsia"/>
          <w:color w:val="0D0D0D"/>
          <w:szCs w:val="32"/>
        </w:rPr>
        <w:t>，</w:t>
      </w:r>
      <w:r>
        <w:rPr>
          <w:rFonts w:ascii="方正仿宋_GBK" w:hAnsi="仿宋_GB2312" w:cs="仿宋_GB2312" w:hint="eastAsia"/>
          <w:color w:val="0D0D0D"/>
        </w:rPr>
        <w:t>比</w:t>
      </w:r>
      <w:r>
        <w:rPr>
          <w:rFonts w:ascii="Times New Roman" w:hAnsi="Times New Roman"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4.9</w:t>
      </w:r>
      <w:r>
        <w:rPr>
          <w:rFonts w:ascii="方正仿宋_GBK" w:hAnsi="仿宋_GB2312" w:cs="仿宋_GB2312" w:hint="eastAsia"/>
          <w:color w:val="0D0D0D"/>
        </w:rPr>
        <w:t>万元。其中：基本支出</w:t>
      </w:r>
      <w:r>
        <w:rPr>
          <w:rFonts w:ascii="Times New Roman" w:hAnsi="Times New Roman" w:hint="eastAsia"/>
          <w:color w:val="0D0D0D"/>
        </w:rPr>
        <w:t>141.23</w:t>
      </w:r>
      <w:r>
        <w:rPr>
          <w:rFonts w:ascii="方正仿宋_GBK" w:hAnsi="仿宋_GB2312" w:cs="仿宋_GB2312" w:hint="eastAsia"/>
          <w:color w:val="0D0D0D"/>
        </w:rPr>
        <w:t>万元，比</w:t>
      </w:r>
      <w:r>
        <w:rPr>
          <w:rFonts w:ascii="Times New Roman" w:hAnsi="Times New Roman" w:hint="eastAsia"/>
          <w:color w:val="0D0D0D"/>
        </w:rPr>
        <w:t>2025</w:t>
      </w:r>
      <w:r>
        <w:rPr>
          <w:rFonts w:ascii="方正仿宋_GBK" w:hAnsi="仿宋_GB2312" w:cs="仿宋_GB2312" w:hint="eastAsia"/>
          <w:color w:val="0D0D0D"/>
        </w:rPr>
        <w:t>年增加</w:t>
      </w:r>
      <w:r>
        <w:rPr>
          <w:rFonts w:ascii="Times New Roman" w:hAnsi="Times New Roman" w:hint="eastAsia"/>
          <w:color w:val="0D0D0D"/>
        </w:rPr>
        <w:t>4.9</w:t>
      </w:r>
      <w:r>
        <w:rPr>
          <w:rFonts w:ascii="方正仿宋_GBK" w:hAnsi="仿宋_GB2312" w:cs="仿宋_GB2312" w:hint="eastAsia"/>
          <w:color w:val="0D0D0D"/>
        </w:rPr>
        <w:t>万元，主要原因是社保缴费基数调整等，主要用于保障在职人员工资福利及社会保险缴费，离休人员离休费，退休人员补助等，保障单位正常运转的各项商品服务支出；项目支出</w:t>
      </w:r>
      <w:r>
        <w:rPr>
          <w:rFonts w:ascii="Times New Roman" w:hAnsi="Times New Roman"/>
          <w:color w:val="0D0D0D"/>
        </w:rPr>
        <w:t>0</w:t>
      </w:r>
      <w:r>
        <w:rPr>
          <w:rFonts w:ascii="方正仿宋_GBK" w:hAnsi="仿宋_GB2312" w:cs="仿宋_GB2312" w:hint="eastAsia"/>
          <w:color w:val="0D0D0D"/>
        </w:rPr>
        <w:t>万元</w:t>
      </w:r>
      <w:r>
        <w:rPr>
          <w:rFonts w:ascii="方正仿宋_GBK" w:hAnsi="仿宋_GB2312" w:cs="仿宋_GB2312" w:hint="eastAsia"/>
          <w:color w:val="0D0D0D"/>
          <w:szCs w:val="32"/>
        </w:rPr>
        <w:t>，与</w:t>
      </w:r>
      <w:r>
        <w:rPr>
          <w:rFonts w:ascii="方正仿宋_GBK" w:hAnsi="仿宋_GB2312" w:cs="仿宋_GB2312" w:hint="eastAsia"/>
          <w:color w:val="0D0D0D"/>
          <w:szCs w:val="32"/>
        </w:rPr>
        <w:t>2025</w:t>
      </w:r>
      <w:r>
        <w:rPr>
          <w:rFonts w:ascii="方正仿宋_GBK" w:hAnsi="仿宋_GB2312" w:cs="仿宋_GB2312" w:hint="eastAsia"/>
          <w:color w:val="0D0D0D"/>
          <w:szCs w:val="32"/>
        </w:rPr>
        <w:t>年持平，</w:t>
      </w:r>
      <w:r>
        <w:rPr>
          <w:rFonts w:ascii="方正仿宋_GBK" w:hAnsi="仿宋_GB2312" w:cs="仿宋_GB2312" w:hint="eastAsia"/>
          <w:color w:val="0D0D0D"/>
        </w:rPr>
        <w:t>主要原因是</w:t>
      </w:r>
      <w:r>
        <w:rPr>
          <w:rFonts w:ascii="方正仿宋_GBK" w:hAnsi="仿宋_GB2312" w:cs="仿宋_GB2312" w:hint="eastAsia"/>
          <w:color w:val="0D0D0D"/>
        </w:rPr>
        <w:t>本单位无项目支出预算</w:t>
      </w:r>
      <w:r>
        <w:rPr>
          <w:rFonts w:ascii="方正仿宋_GBK" w:hAnsi="仿宋_GB2312" w:cs="仿宋_GB2312" w:hint="eastAsia"/>
          <w:color w:val="0D0D0D"/>
        </w:rPr>
        <w:t>。</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本单位</w:t>
      </w:r>
      <w:r>
        <w:rPr>
          <w:rFonts w:ascii="Times New Roman" w:hAnsi="Times New Roman" w:hint="eastAsia"/>
          <w:color w:val="0D0D0D"/>
        </w:rPr>
        <w:t>2026</w:t>
      </w:r>
      <w:r>
        <w:rPr>
          <w:rFonts w:ascii="方正仿宋_GBK" w:hAnsi="仿宋_GB2312" w:cs="仿宋_GB2312" w:hint="eastAsia"/>
          <w:color w:val="0D0D0D"/>
        </w:rPr>
        <w:t>年无使用政府性基金预算拨款安排的支出。</w:t>
      </w:r>
    </w:p>
    <w:p w:rsidR="00342B99" w:rsidRDefault="009538E9">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342B99" w:rsidRDefault="009538E9">
      <w:pPr>
        <w:spacing w:line="600" w:lineRule="exact"/>
        <w:ind w:firstLineChars="200" w:firstLine="640"/>
        <w:rPr>
          <w:rFonts w:ascii="方正仿宋_GBK" w:hAnsi="仿宋_GB2312" w:cs="仿宋_GB2312"/>
          <w:color w:val="0D0D0D"/>
        </w:rPr>
      </w:pPr>
      <w:r>
        <w:rPr>
          <w:rFonts w:ascii="Times New Roman" w:hAnsi="Times New Roman" w:hint="eastAsia"/>
          <w:color w:val="0D0D0D"/>
        </w:rPr>
        <w:lastRenderedPageBreak/>
        <w:t>2026</w:t>
      </w:r>
      <w:r>
        <w:rPr>
          <w:rFonts w:ascii="方正仿宋_GBK" w:hAnsi="仿宋_GB2312" w:cs="仿宋_GB2312" w:hint="eastAsia"/>
          <w:color w:val="0D0D0D"/>
        </w:rPr>
        <w:t>年“三公”经费预算</w:t>
      </w:r>
      <w:r>
        <w:rPr>
          <w:rFonts w:ascii="Times New Roman" w:hAnsi="Times New Roman"/>
          <w:color w:val="0D0D0D"/>
        </w:rPr>
        <w:t>0</w:t>
      </w:r>
      <w:r>
        <w:rPr>
          <w:rFonts w:ascii="方正仿宋_GBK" w:hAnsi="仿宋_GB2312" w:cs="仿宋_GB2312" w:hint="eastAsia"/>
          <w:color w:val="0D0D0D"/>
        </w:rPr>
        <w:t>万元。</w:t>
      </w:r>
    </w:p>
    <w:p w:rsidR="00342B99" w:rsidRDefault="009538E9">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（一）我单位不在机关运行经费统计范围之内。</w:t>
      </w:r>
    </w:p>
    <w:p w:rsidR="00342B99" w:rsidRDefault="009538E9">
      <w:pPr>
        <w:spacing w:line="600" w:lineRule="exact"/>
        <w:ind w:firstLineChars="200" w:firstLine="640"/>
        <w:rPr>
          <w:rFonts w:ascii="方正仿宋_GBK" w:hAnsi="仿宋_GB2312" w:cs="仿宋_GB2312"/>
        </w:rPr>
      </w:pPr>
      <w:r>
        <w:rPr>
          <w:rFonts w:ascii="方正仿宋_GBK" w:hAnsi="仿宋_GB2312" w:cs="仿宋_GB2312" w:hint="eastAsia"/>
          <w:color w:val="0D0D0D"/>
        </w:rPr>
        <w:t>（二）政府采购情况。</w:t>
      </w:r>
      <w:r>
        <w:rPr>
          <w:rFonts w:ascii="方正仿宋_GBK" w:hAnsi="仿宋_GB2312" w:cs="仿宋_GB2312" w:hint="eastAsia"/>
        </w:rPr>
        <w:t>本单位</w:t>
      </w:r>
      <w:r>
        <w:rPr>
          <w:rFonts w:ascii="方正仿宋_GBK" w:hAnsi="仿宋_GB2312" w:cs="仿宋_GB2312" w:hint="eastAsia"/>
        </w:rPr>
        <w:t>无</w:t>
      </w:r>
      <w:r>
        <w:rPr>
          <w:rFonts w:ascii="方正仿宋_GBK" w:hAnsi="仿宋_GB2312" w:cs="仿宋_GB2312" w:hint="eastAsia"/>
        </w:rPr>
        <w:t>政府采购预算。</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rFonts w:ascii="Times New Roman" w:hAnsi="Times New Roman" w:hint="eastAsia"/>
          <w:color w:val="000000"/>
        </w:rPr>
        <w:t>2026</w:t>
      </w:r>
      <w:r>
        <w:rPr>
          <w:rFonts w:ascii="方正仿宋_GBK" w:hAnsi="仿宋_GB2312" w:cs="仿宋_GB2312" w:hint="eastAsia"/>
          <w:color w:val="000000"/>
        </w:rPr>
        <w:t>年无项目支出</w:t>
      </w:r>
      <w:r>
        <w:rPr>
          <w:rFonts w:ascii="方正仿宋_GBK" w:hAnsi="仿宋_GB2312" w:cs="仿宋_GB2312" w:hint="eastAsia"/>
          <w:color w:val="000000"/>
        </w:rPr>
        <w:t>预算</w:t>
      </w:r>
      <w:r>
        <w:rPr>
          <w:rFonts w:ascii="方正仿宋_GBK" w:hAnsi="仿宋_GB2312" w:cs="仿宋_GB2312" w:hint="eastAsia"/>
          <w:color w:val="000000"/>
        </w:rPr>
        <w:t>，不涉及绩效目标管理。</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Times New Roman" w:hAnsi="Times New Roman" w:hint="eastAsia"/>
          <w:color w:val="0D0D0D"/>
        </w:rPr>
        <w:t>2025</w:t>
      </w:r>
      <w:r>
        <w:rPr>
          <w:rFonts w:ascii="方正仿宋_GBK" w:hAnsi="仿宋_GB2312" w:cs="仿宋_GB2312" w:hint="eastAsia"/>
          <w:color w:val="0D0D0D"/>
        </w:rPr>
        <w:t>年</w:t>
      </w:r>
      <w:r>
        <w:rPr>
          <w:rFonts w:ascii="Times New Roman" w:hAnsi="Times New Roman"/>
          <w:color w:val="0D0D0D"/>
        </w:rPr>
        <w:t>12</w:t>
      </w:r>
      <w:r>
        <w:rPr>
          <w:rFonts w:ascii="方正仿宋_GBK" w:hAnsi="仿宋_GB2312" w:cs="仿宋_GB2312" w:hint="eastAsia"/>
          <w:color w:val="0D0D0D"/>
        </w:rPr>
        <w:t>月，本单位</w:t>
      </w:r>
      <w:r>
        <w:rPr>
          <w:rFonts w:ascii="方正仿宋_GBK" w:hAnsi="仿宋_GB2312" w:cs="仿宋_GB2312" w:hint="eastAsia"/>
          <w:color w:val="0D0D0D"/>
        </w:rPr>
        <w:t>无</w:t>
      </w:r>
      <w:r>
        <w:rPr>
          <w:rFonts w:ascii="方正仿宋_GBK" w:hAnsi="仿宋_GB2312" w:cs="仿宋_GB2312" w:hint="eastAsia"/>
          <w:color w:val="0D0D0D"/>
        </w:rPr>
        <w:t>车辆。</w:t>
      </w:r>
      <w:r>
        <w:rPr>
          <w:rFonts w:ascii="Times New Roman" w:hAnsi="Times New Roman" w:hint="eastAsia"/>
          <w:color w:val="0D0D0D"/>
        </w:rPr>
        <w:t>2026</w:t>
      </w:r>
      <w:r>
        <w:rPr>
          <w:rFonts w:ascii="方正仿宋_GBK" w:hAnsi="仿宋_GB2312" w:cs="仿宋_GB2312" w:hint="eastAsia"/>
          <w:color w:val="0D0D0D"/>
        </w:rPr>
        <w:t>年一般公共预算</w:t>
      </w:r>
      <w:r>
        <w:rPr>
          <w:rFonts w:ascii="方正仿宋_GBK" w:hAnsi="仿宋_GB2312" w:cs="仿宋_GB2312" w:hint="eastAsia"/>
          <w:color w:val="0D0D0D"/>
        </w:rPr>
        <w:t>未</w:t>
      </w:r>
      <w:r>
        <w:rPr>
          <w:rFonts w:ascii="方正仿宋_GBK" w:hAnsi="仿宋_GB2312" w:cs="仿宋_GB2312" w:hint="eastAsia"/>
          <w:color w:val="0D0D0D"/>
        </w:rPr>
        <w:t>安排购置车辆。</w:t>
      </w:r>
    </w:p>
    <w:p w:rsidR="00342B99" w:rsidRDefault="009538E9">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w:t>
      </w:r>
      <w:r>
        <w:rPr>
          <w:rFonts w:ascii="方正仿宋_GBK" w:hAnsi="仿宋_GB2312" w:cs="仿宋_GB2312" w:hint="eastAsia"/>
          <w:color w:val="0D0D0D"/>
          <w:szCs w:val="32"/>
        </w:rPr>
        <w:t>本单位</w:t>
      </w:r>
      <w:r>
        <w:rPr>
          <w:rFonts w:ascii="Times New Roman" w:hAnsi="Times New Roman" w:hint="eastAsia"/>
          <w:color w:val="0D0D0D"/>
          <w:szCs w:val="22"/>
        </w:rPr>
        <w:t>2026</w:t>
      </w:r>
      <w:r>
        <w:rPr>
          <w:rFonts w:ascii="方正仿宋_GBK" w:hAnsi="仿宋_GB2312" w:cs="仿宋_GB2312" w:hint="eastAsia"/>
          <w:color w:val="0D0D0D"/>
          <w:szCs w:val="32"/>
        </w:rPr>
        <w:t>年无</w:t>
      </w:r>
      <w:r>
        <w:rPr>
          <w:rFonts w:ascii="方正仿宋_GBK" w:hAnsi="仿宋_GB2312" w:cs="仿宋_GB2312" w:hint="eastAsia"/>
          <w:color w:val="0D0D0D"/>
        </w:rPr>
        <w:t>委托业务费</w:t>
      </w:r>
      <w:r>
        <w:rPr>
          <w:rFonts w:ascii="方正仿宋_GBK" w:hAnsi="仿宋_GB2312" w:cs="仿宋_GB2312" w:hint="eastAsia"/>
          <w:color w:val="0D0D0D"/>
          <w:szCs w:val="32"/>
        </w:rPr>
        <w:t>支出</w:t>
      </w:r>
      <w:r>
        <w:rPr>
          <w:rFonts w:ascii="方正仿宋_GBK" w:hAnsi="仿宋_GB2312" w:cs="仿宋_GB2312" w:hint="eastAsia"/>
          <w:color w:val="0D0D0D"/>
          <w:szCs w:val="32"/>
        </w:rPr>
        <w:t>预算</w:t>
      </w:r>
      <w:r>
        <w:rPr>
          <w:rFonts w:ascii="方正仿宋_GBK" w:hAnsi="仿宋_GB2312" w:cs="仿宋_GB2312" w:hint="eastAsia"/>
          <w:color w:val="0D0D0D"/>
          <w:szCs w:val="32"/>
        </w:rPr>
        <w:t>。</w:t>
      </w:r>
    </w:p>
    <w:p w:rsidR="00342B99" w:rsidRDefault="009538E9">
      <w:pPr>
        <w:spacing w:line="600" w:lineRule="exact"/>
        <w:ind w:left="640"/>
        <w:rPr>
          <w:rFonts w:ascii="方正黑体_GBK" w:eastAsia="方正黑体_GBK" w:hAnsi="黑体" w:cs="仿宋_GB2312"/>
          <w:color w:val="0D0D0D"/>
          <w:szCs w:val="32"/>
        </w:rPr>
      </w:pPr>
      <w:r>
        <w:rPr>
          <w:rFonts w:ascii="方正黑体_GBK" w:eastAsia="方正黑体_GBK" w:hAnsi="黑体" w:cs="仿宋_GB2312" w:hint="eastAsia"/>
          <w:color w:val="0D0D0D"/>
          <w:szCs w:val="32"/>
        </w:rPr>
        <w:t>六、专业</w:t>
      </w:r>
      <w:proofErr w:type="gramStart"/>
      <w:r>
        <w:rPr>
          <w:rFonts w:ascii="方正黑体_GBK" w:eastAsia="方正黑体_GBK" w:hAnsi="黑体" w:cs="仿宋_GB2312" w:hint="eastAsia"/>
          <w:color w:val="0D0D0D"/>
          <w:szCs w:val="32"/>
        </w:rPr>
        <w:t>性名</w:t>
      </w:r>
      <w:proofErr w:type="gramEnd"/>
      <w:r>
        <w:rPr>
          <w:rFonts w:ascii="方正黑体_GBK" w:eastAsia="方正黑体_GBK" w:hAnsi="黑体" w:cs="仿宋_GB2312" w:hint="eastAsia"/>
          <w:color w:val="0D0D0D"/>
          <w:szCs w:val="32"/>
        </w:rPr>
        <w:t>词解释</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一</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财政拨款收入：</w:t>
      </w:r>
      <w:r>
        <w:rPr>
          <w:rFonts w:ascii="方正仿宋_GBK" w:eastAsia="方正仿宋_GBK" w:hAnsi="仿宋_GB2312" w:cs="仿宋_GB2312" w:hint="eastAsia"/>
          <w:color w:val="0D0D0D"/>
          <w:sz w:val="32"/>
          <w:szCs w:val="20"/>
        </w:rPr>
        <w:t>指本年度从本级财政部门取得的财政拨款，包括一般公共预算财政拨款和政府性基金预算财政拨款。</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二</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财政专户管理资金收入：</w:t>
      </w:r>
      <w:r>
        <w:rPr>
          <w:rFonts w:ascii="方正仿宋_GBK" w:eastAsia="方正仿宋_GBK" w:hAnsi="仿宋_GB2312" w:cs="仿宋_GB2312" w:hint="eastAsia"/>
          <w:color w:val="0D0D0D"/>
          <w:sz w:val="32"/>
          <w:szCs w:val="20"/>
        </w:rPr>
        <w:t>指缴入财政专户，实行专项管理的高中以上学费，住宿费，高校委托培养费，函大，电大，夜大及短训班培训费等教育收费。单位根据教育收费标准，学生人数等合理预计。</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三</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事业收入</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不含教育收费</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指事业单位开展专业业务活动及其辅助活动取得的收入，不包括教育收费。单位根据本年度事业单位开展专业业务活动及其辅助活动计划，结合上年度收入等情况进行预计。</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四</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上级补助收入：</w:t>
      </w:r>
      <w:r>
        <w:rPr>
          <w:rFonts w:ascii="方正仿宋_GBK" w:eastAsia="方正仿宋_GBK" w:hAnsi="仿宋_GB2312" w:cs="仿宋_GB2312" w:hint="eastAsia"/>
          <w:color w:val="0D0D0D"/>
          <w:sz w:val="32"/>
          <w:szCs w:val="20"/>
        </w:rPr>
        <w:t>指从主管部门或上级单位取得的财政</w:t>
      </w:r>
      <w:r>
        <w:rPr>
          <w:rFonts w:ascii="方正仿宋_GBK" w:eastAsia="方正仿宋_GBK" w:hAnsi="仿宋_GB2312" w:cs="仿宋_GB2312" w:hint="eastAsia"/>
          <w:color w:val="0D0D0D"/>
          <w:sz w:val="32"/>
          <w:szCs w:val="20"/>
        </w:rPr>
        <w:lastRenderedPageBreak/>
        <w:t>拨款以外的其他补助收入。单位结合上年度上级补助收入等情况进行预计。</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五</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附属单位上缴收入：</w:t>
      </w:r>
      <w:r>
        <w:rPr>
          <w:rFonts w:ascii="方正仿宋_GBK" w:eastAsia="方正仿宋_GBK" w:hAnsi="仿宋_GB2312" w:cs="仿宋_GB2312" w:hint="eastAsia"/>
          <w:color w:val="0D0D0D"/>
          <w:sz w:val="32"/>
          <w:szCs w:val="20"/>
        </w:rPr>
        <w:t>指本单位所属下级单位上缴给本</w:t>
      </w:r>
      <w:r>
        <w:rPr>
          <w:rFonts w:ascii="方正仿宋_GBK" w:eastAsia="方正仿宋_GBK" w:hAnsi="仿宋_GB2312" w:cs="仿宋_GB2312" w:hint="eastAsia"/>
          <w:color w:val="0D0D0D"/>
          <w:sz w:val="32"/>
          <w:szCs w:val="20"/>
        </w:rPr>
        <w:t>单位的全部收入</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包括下级事业单位上缴的事业收入，其他收入和下级企业单位上缴的利润等</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。单位结合上年度附属单位上缴收入等情况商附属单位进行预计。</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六</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事业单位经营收入</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指事业单位在专业业务活动及其辅助活动之外开展非独立核算经营活动取得的收入。单位应当根据本年度事业单位经营活动计划，结合上年度事业单位经营收入规模，经营状况和市场行情等因素进行预计。</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七</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其他收入：</w:t>
      </w:r>
      <w:r>
        <w:rPr>
          <w:rFonts w:ascii="方正仿宋_GBK" w:eastAsia="方正仿宋_GBK" w:hAnsi="仿宋_GB2312" w:cs="仿宋_GB2312" w:hint="eastAsia"/>
          <w:color w:val="0D0D0D"/>
          <w:sz w:val="32"/>
          <w:szCs w:val="20"/>
        </w:rPr>
        <w:t>指债务收入，投资收益等收入，单位根据情况合理预计，全部编入预算。</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八</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上年结转结余资金：</w:t>
      </w:r>
      <w:r>
        <w:rPr>
          <w:rFonts w:ascii="方正仿宋_GBK" w:eastAsia="方正仿宋_GBK" w:hAnsi="仿宋_GB2312" w:cs="仿宋_GB2312" w:hint="eastAsia"/>
          <w:color w:val="0D0D0D"/>
          <w:sz w:val="32"/>
          <w:szCs w:val="20"/>
        </w:rPr>
        <w:t>包括财政拨款结转，财政拨款结余，财政专户管理资金结转结余</w:t>
      </w:r>
      <w:r>
        <w:rPr>
          <w:rFonts w:ascii="方正仿宋_GBK" w:eastAsia="方正仿宋_GBK" w:hAnsi="仿宋_GB2312" w:cs="仿宋_GB2312" w:hint="eastAsia"/>
          <w:color w:val="0D0D0D"/>
          <w:sz w:val="32"/>
          <w:szCs w:val="20"/>
        </w:rPr>
        <w:t>和单位资金结转结余。财政拨款结转是指项目实施周期内，年度预算执行结束时，预算未全部执行或因故未执行，下年需要按照原用途继续使用的财政拨款资金</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财政拨款结余是指当年预算工作目标已完成，或者因故终止，当年剩余的财政拨款资金。财政专户管理资金结转结余，单位资金结转结余是指年度预算执行结束时，当年实际剩余的财政专户资金，单位资金。</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九</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基本支出：</w:t>
      </w:r>
      <w:r>
        <w:rPr>
          <w:rFonts w:ascii="方正仿宋_GBK" w:eastAsia="方正仿宋_GBK" w:hAnsi="仿宋_GB2312" w:cs="仿宋_GB2312" w:hint="eastAsia"/>
          <w:color w:val="0D0D0D"/>
          <w:sz w:val="32"/>
          <w:szCs w:val="20"/>
        </w:rPr>
        <w:t>指为保障机构正常运转，完成日常工作任</w:t>
      </w:r>
      <w:r>
        <w:rPr>
          <w:rFonts w:ascii="方正仿宋_GBK" w:eastAsia="方正仿宋_GBK" w:hAnsi="仿宋_GB2312" w:cs="仿宋_GB2312" w:hint="eastAsia"/>
          <w:color w:val="0D0D0D"/>
          <w:sz w:val="32"/>
          <w:szCs w:val="20"/>
        </w:rPr>
        <w:lastRenderedPageBreak/>
        <w:t>务而发生的人员经费和公用经费。其中：人员经费指政府收支分类经济科目中的</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工资福利支出</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和</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对个人和家庭的补助</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；公用经费指政府收支分类经济科目中除</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工资福利支出</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和</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对个人和家庭的补助</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外的其他支出。</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项目支出：</w:t>
      </w:r>
      <w:r>
        <w:rPr>
          <w:rFonts w:ascii="方正仿宋_GBK" w:eastAsia="方正仿宋_GBK" w:hAnsi="仿宋_GB2312" w:cs="仿宋_GB2312" w:hint="eastAsia"/>
          <w:color w:val="0D0D0D"/>
          <w:sz w:val="32"/>
          <w:szCs w:val="20"/>
        </w:rPr>
        <w:t>指在基本支出之外为完成特定行政任务和事业发展目标所发生的支出。</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十一</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三公</w:t>
      </w:r>
      <w:r>
        <w:rPr>
          <w:rFonts w:ascii="方正楷体_GBK" w:eastAsia="方正楷体_GBK" w:hAnsi="仿宋_GB2312" w:cs="仿宋_GB2312"/>
          <w:color w:val="0D0D0D"/>
          <w:sz w:val="32"/>
          <w:szCs w:val="20"/>
        </w:rPr>
        <w:t>”</w:t>
      </w:r>
      <w:r>
        <w:rPr>
          <w:rFonts w:ascii="方正楷体_GBK" w:eastAsia="方正楷体_GBK" w:hAnsi="仿宋_GB2312" w:cs="仿宋_GB2312" w:hint="eastAsia"/>
          <w:color w:val="0D0D0D"/>
          <w:sz w:val="32"/>
          <w:szCs w:val="20"/>
        </w:rPr>
        <w:t>经费：</w:t>
      </w:r>
      <w:r>
        <w:rPr>
          <w:rFonts w:ascii="方正仿宋_GBK" w:eastAsia="方正仿宋_GBK" w:hAnsi="仿宋_GB2312" w:cs="仿宋_GB2312" w:hint="eastAsia"/>
          <w:color w:val="0D0D0D"/>
          <w:sz w:val="32"/>
          <w:szCs w:val="20"/>
        </w:rPr>
        <w:t>指用财政拨款安排的因公出国</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境</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费，公务用车购置及运行维护费，公务接待费。其中，因公出国</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境</w:t>
      </w:r>
      <w:r>
        <w:rPr>
          <w:rFonts w:ascii="方正仿宋_GBK" w:eastAsia="方正仿宋_GBK" w:hAnsi="仿宋_GB2312" w:cs="仿宋_GB2312" w:hint="eastAsia"/>
          <w:color w:val="0D0D0D"/>
          <w:sz w:val="32"/>
          <w:szCs w:val="20"/>
        </w:rPr>
        <w:t>）</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单位公务出国</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境</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的国际旅费，国外城市间交通费，住宿费，伙食费，培训费，公杂费等支出；公务用车购置</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单位公务用车购置支出</w:t>
      </w:r>
      <w:r>
        <w:rPr>
          <w:rFonts w:ascii="方正仿宋_GBK" w:eastAsia="方正仿宋_GBK" w:hAnsi="仿宋_GB2312" w:cs="仿宋_GB2312" w:hint="eastAsia"/>
          <w:color w:val="0D0D0D"/>
          <w:sz w:val="32"/>
          <w:szCs w:val="20"/>
        </w:rPr>
        <w:t>（</w:t>
      </w:r>
      <w:proofErr w:type="gramStart"/>
      <w:r>
        <w:rPr>
          <w:rFonts w:ascii="方正仿宋_GBK" w:eastAsia="方正仿宋_GBK" w:hAnsi="仿宋_GB2312" w:cs="仿宋_GB2312" w:hint="eastAsia"/>
          <w:color w:val="0D0D0D"/>
          <w:sz w:val="32"/>
          <w:szCs w:val="20"/>
        </w:rPr>
        <w:t>含车辆</w:t>
      </w:r>
      <w:proofErr w:type="gramEnd"/>
      <w:r>
        <w:rPr>
          <w:rFonts w:ascii="方正仿宋_GBK" w:eastAsia="方正仿宋_GBK" w:hAnsi="仿宋_GB2312" w:cs="仿宋_GB2312" w:hint="eastAsia"/>
          <w:color w:val="0D0D0D"/>
          <w:sz w:val="32"/>
          <w:szCs w:val="20"/>
        </w:rPr>
        <w:t>购置税</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；公务用车运行维护费反映单位按规定保留的公务用车燃料费，维修费，过路过桥费，保险费，安全奖励费用等支出；公务接待</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单位按规定开支的各类公务接待</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含外宾接待</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支出。</w:t>
      </w:r>
    </w:p>
    <w:p w:rsidR="00342B99" w:rsidRDefault="009538E9">
      <w:pPr>
        <w:pStyle w:val="a6"/>
        <w:tabs>
          <w:tab w:val="center" w:pos="4153"/>
          <w:tab w:val="left" w:pos="7275"/>
        </w:tabs>
        <w:spacing w:line="600" w:lineRule="exact"/>
        <w:ind w:firstLine="640"/>
        <w:jc w:val="left"/>
        <w:rPr>
          <w:rFonts w:ascii="方正楷体_GBK" w:eastAsia="方正楷体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十二</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机关运行经费：</w:t>
      </w:r>
      <w:r>
        <w:rPr>
          <w:rFonts w:ascii="方正仿宋_GBK" w:eastAsia="方正仿宋_GBK" w:hAnsi="仿宋_GB2312" w:cs="仿宋_GB2312" w:hint="eastAsia"/>
          <w:color w:val="0D0D0D"/>
          <w:sz w:val="32"/>
          <w:szCs w:val="20"/>
        </w:rPr>
        <w:t>为保障行政单位</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含参照公务员法管理的事业单位</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十三</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工资福利支出</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反映单位开支的在职职工和编制</w:t>
      </w:r>
      <w:proofErr w:type="gramStart"/>
      <w:r>
        <w:rPr>
          <w:rFonts w:ascii="方正仿宋_GBK" w:eastAsia="方正仿宋_GBK" w:hAnsi="仿宋_GB2312" w:cs="仿宋_GB2312" w:hint="eastAsia"/>
          <w:color w:val="0D0D0D"/>
          <w:sz w:val="32"/>
          <w:szCs w:val="20"/>
        </w:rPr>
        <w:t>外长</w:t>
      </w:r>
      <w:r>
        <w:rPr>
          <w:rFonts w:ascii="方正仿宋_GBK" w:eastAsia="方正仿宋_GBK" w:hAnsi="仿宋_GB2312" w:cs="仿宋_GB2312" w:hint="eastAsia"/>
          <w:color w:val="0D0D0D"/>
          <w:sz w:val="32"/>
          <w:szCs w:val="20"/>
        </w:rPr>
        <w:t>期</w:t>
      </w:r>
      <w:proofErr w:type="gramEnd"/>
      <w:r>
        <w:rPr>
          <w:rFonts w:ascii="方正仿宋_GBK" w:eastAsia="方正仿宋_GBK" w:hAnsi="仿宋_GB2312" w:cs="仿宋_GB2312" w:hint="eastAsia"/>
          <w:color w:val="0D0D0D"/>
          <w:sz w:val="32"/>
          <w:szCs w:val="20"/>
        </w:rPr>
        <w:t>聘用人员的各类劳动报酬，以及</w:t>
      </w:r>
      <w:r>
        <w:rPr>
          <w:rFonts w:ascii="方正仿宋_GBK" w:eastAsia="方正仿宋_GBK" w:hAnsi="仿宋_GB2312" w:cs="仿宋_GB2312" w:hint="eastAsia"/>
          <w:color w:val="0D0D0D"/>
          <w:sz w:val="32"/>
          <w:szCs w:val="20"/>
        </w:rPr>
        <w:lastRenderedPageBreak/>
        <w:t>为上述人员缴纳的各项社会保险费等。</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十四</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商品和服务支出</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反映单位购买商品和服务的支出</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不包括用于购置固定资产的支出，战略性和应急储备支出</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w:t>
      </w:r>
    </w:p>
    <w:p w:rsidR="00342B99" w:rsidRDefault="009538E9">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十五</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对个人和家庭的补助</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反映用于对个人和家庭的补助支出。</w:t>
      </w:r>
    </w:p>
    <w:p w:rsidR="00342B99" w:rsidRDefault="009538E9">
      <w:pPr>
        <w:pStyle w:val="a6"/>
        <w:tabs>
          <w:tab w:val="center" w:pos="4153"/>
          <w:tab w:val="left" w:pos="7275"/>
        </w:tabs>
        <w:spacing w:line="5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十六</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其他资本性支出</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反映非本级发展与改革部门集中安排的用于购置固定资产，战略性和应急性储备，土地和无形资产，以及构建基础设施，大型修缮和财政支持企业更新改造所发生的支出。</w:t>
      </w:r>
    </w:p>
    <w:p w:rsidR="00342B99" w:rsidRDefault="00342B99">
      <w:pPr>
        <w:spacing w:line="500" w:lineRule="exact"/>
        <w:ind w:firstLineChars="200" w:firstLine="640"/>
        <w:rPr>
          <w:rFonts w:ascii="方正仿宋_GBK" w:hAnsi="仿宋_GB2312" w:cs="仿宋_GB2312"/>
          <w:color w:val="0D0D0D"/>
        </w:rPr>
      </w:pPr>
    </w:p>
    <w:p w:rsidR="00342B99" w:rsidRDefault="009538E9">
      <w:pPr>
        <w:spacing w:line="600" w:lineRule="exact"/>
        <w:ind w:firstLineChars="100" w:firstLine="320"/>
        <w:rPr>
          <w:rFonts w:ascii="方正仿宋_GBK"/>
          <w:color w:val="0D0D0D"/>
          <w:szCs w:val="32"/>
        </w:rPr>
      </w:pPr>
      <w:r>
        <w:rPr>
          <w:rFonts w:ascii="方正仿宋_GBK" w:hAnsi="仿宋_GB2312" w:cs="仿宋_GB2312" w:hint="eastAsia"/>
          <w:color w:val="0D0D0D"/>
        </w:rPr>
        <w:t>单位</w:t>
      </w:r>
      <w:r>
        <w:rPr>
          <w:rFonts w:ascii="方正仿宋_GBK" w:hAnsi="仿宋_GB2312" w:cs="仿宋_GB2312" w:hint="eastAsia"/>
          <w:color w:val="0D0D0D"/>
        </w:rPr>
        <w:t>预算公开联系人：</w:t>
      </w:r>
      <w:r>
        <w:rPr>
          <w:rFonts w:ascii="方正仿宋_GBK" w:hAnsi="仿宋_GB2312" w:cs="仿宋_GB2312" w:hint="eastAsia"/>
          <w:color w:val="0D0D0D"/>
        </w:rPr>
        <w:t>盘仁利</w:t>
      </w:r>
      <w:r w:rsidR="002D633E">
        <w:rPr>
          <w:rFonts w:ascii="方正仿宋_GBK" w:hAnsi="仿宋_GB2312" w:cs="仿宋_GB2312" w:hint="eastAsia"/>
          <w:color w:val="0D0D0D"/>
        </w:rPr>
        <w:t>，</w:t>
      </w:r>
      <w:bookmarkStart w:id="0" w:name="_GoBack"/>
      <w:bookmarkEnd w:id="0"/>
      <w:r>
        <w:rPr>
          <w:rFonts w:ascii="方正仿宋_GBK" w:hAnsi="仿宋_GB2312" w:cs="仿宋_GB2312" w:hint="eastAsia"/>
          <w:color w:val="0D0D0D"/>
        </w:rPr>
        <w:t>联系方式：</w:t>
      </w:r>
      <w:r>
        <w:rPr>
          <w:rFonts w:ascii="Times New Roman" w:hAnsi="Times New Roman"/>
          <w:color w:val="0D0D0D"/>
        </w:rPr>
        <w:t>023</w:t>
      </w:r>
      <w:r>
        <w:rPr>
          <w:rFonts w:ascii="Times New Roman" w:hAnsi="Times New Roman" w:hint="eastAsia"/>
          <w:color w:val="0D0D0D"/>
        </w:rPr>
        <w:t>-</w:t>
      </w:r>
      <w:r>
        <w:rPr>
          <w:rFonts w:ascii="Times New Roman" w:hAnsi="Times New Roman"/>
          <w:color w:val="0D0D0D"/>
        </w:rPr>
        <w:t>65770025</w:t>
      </w:r>
    </w:p>
    <w:sectPr w:rsidR="00342B99">
      <w:footerReference w:type="even" r:id="rId8"/>
      <w:footerReference w:type="default" r:id="rId9"/>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E9" w:rsidRDefault="009538E9">
      <w:r>
        <w:separator/>
      </w:r>
    </w:p>
  </w:endnote>
  <w:endnote w:type="continuationSeparator" w:id="0">
    <w:p w:rsidR="009538E9" w:rsidRDefault="0095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B99" w:rsidRDefault="009538E9">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sdt>
      <w:sdtPr>
        <w:rPr>
          <w:rFonts w:asciiTheme="majorEastAsia" w:eastAsiaTheme="majorEastAsia" w:hAnsiTheme="majorEastAsia"/>
          <w:sz w:val="28"/>
          <w:szCs w:val="28"/>
        </w:rPr>
        <w:id w:val="-313259230"/>
      </w:sdtPr>
      <w:sdtEndPr/>
      <w:sdtContent>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2D633E" w:rsidRPr="002D633E">
          <w:rPr>
            <w:rFonts w:asciiTheme="majorEastAsia" w:eastAsiaTheme="majorEastAsia" w:hAnsiTheme="majorEastAsia"/>
            <w:noProof/>
            <w:sz w:val="28"/>
            <w:szCs w:val="28"/>
            <w:lang w:val="zh-CN"/>
          </w:rPr>
          <w:t>6</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r>
      <w:rPr>
        <w:rFonts w:asciiTheme="majorEastAsia" w:eastAsiaTheme="majorEastAsia" w:hAnsiTheme="majorEastAsia" w:hint="eastAsia"/>
        <w:sz w:val="28"/>
        <w:szCs w:val="28"/>
      </w:rPr>
      <w:t>—</w:t>
    </w:r>
  </w:p>
  <w:p w:rsidR="00342B99" w:rsidRDefault="00342B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96730"/>
    </w:sdtPr>
    <w:sdtEndPr>
      <w:rPr>
        <w:rFonts w:asciiTheme="majorEastAsia" w:eastAsiaTheme="majorEastAsia" w:hAnsiTheme="majorEastAsia"/>
        <w:sz w:val="28"/>
        <w:szCs w:val="28"/>
      </w:rPr>
    </w:sdtEndPr>
    <w:sdtContent>
      <w:p w:rsidR="00342B99" w:rsidRDefault="009538E9">
        <w:pPr>
          <w:pStyle w:val="a3"/>
          <w:ind w:right="18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2D633E" w:rsidRPr="002D633E">
          <w:rPr>
            <w:rFonts w:asciiTheme="majorEastAsia" w:eastAsiaTheme="majorEastAsia" w:hAnsiTheme="majorEastAsia"/>
            <w:noProof/>
            <w:sz w:val="28"/>
            <w:szCs w:val="28"/>
            <w:lang w:val="zh-CN"/>
          </w:rPr>
          <w:t>5</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p>
    </w:sdtContent>
  </w:sdt>
  <w:p w:rsidR="00342B99" w:rsidRDefault="00342B99">
    <w:pPr>
      <w:spacing w:line="233" w:lineRule="auto"/>
      <w:ind w:left="7649"/>
      <w:rPr>
        <w:rFonts w:ascii="宋体" w:eastAsia="宋体" w:hAnsi="宋体" w:cs="宋体"/>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E9" w:rsidRDefault="009538E9">
      <w:r>
        <w:separator/>
      </w:r>
    </w:p>
  </w:footnote>
  <w:footnote w:type="continuationSeparator" w:id="0">
    <w:p w:rsidR="009538E9" w:rsidRDefault="00953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43"/>
    <w:rsid w:val="00227D43"/>
    <w:rsid w:val="002D633E"/>
    <w:rsid w:val="00342B99"/>
    <w:rsid w:val="00591B7A"/>
    <w:rsid w:val="009538E9"/>
    <w:rsid w:val="00B07E98"/>
    <w:rsid w:val="00D256AB"/>
    <w:rsid w:val="00F2138A"/>
    <w:rsid w:val="01094006"/>
    <w:rsid w:val="11F804A4"/>
    <w:rsid w:val="2BAD1D9E"/>
    <w:rsid w:val="61FA7D09"/>
    <w:rsid w:val="65927733"/>
    <w:rsid w:val="74D47C73"/>
    <w:rsid w:val="7F3F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方正仿宋_GBK"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 w:type="character" w:customStyle="1" w:styleId="Char0">
    <w:name w:val="页眉 Char"/>
    <w:basedOn w:val="a0"/>
    <w:link w:val="a4"/>
    <w:qFormat/>
    <w:rPr>
      <w:rFonts w:eastAsia="方正仿宋_GBK"/>
      <w:kern w:val="2"/>
      <w:sz w:val="18"/>
      <w:szCs w:val="18"/>
    </w:rPr>
  </w:style>
  <w:style w:type="character" w:customStyle="1" w:styleId="Char">
    <w:name w:val="页脚 Char"/>
    <w:basedOn w:val="a0"/>
    <w:link w:val="a3"/>
    <w:uiPriority w:val="99"/>
    <w:qFormat/>
    <w:rPr>
      <w:rFonts w:eastAsia="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方正仿宋_GBK"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 w:type="character" w:customStyle="1" w:styleId="Char0">
    <w:name w:val="页眉 Char"/>
    <w:basedOn w:val="a0"/>
    <w:link w:val="a4"/>
    <w:qFormat/>
    <w:rPr>
      <w:rFonts w:eastAsia="方正仿宋_GBK"/>
      <w:kern w:val="2"/>
      <w:sz w:val="18"/>
      <w:szCs w:val="18"/>
    </w:rPr>
  </w:style>
  <w:style w:type="character" w:customStyle="1" w:styleId="Char">
    <w:name w:val="页脚 Char"/>
    <w:basedOn w:val="a0"/>
    <w:link w:val="a3"/>
    <w:uiPriority w:val="99"/>
    <w:qFormat/>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2296</Characters>
  <Application>Microsoft Office Word</Application>
  <DocSecurity>0</DocSecurity>
  <Lines>19</Lines>
  <Paragraphs>5</Paragraphs>
  <ScaleCrop>false</ScaleCrop>
  <Company>china</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6</cp:revision>
  <dcterms:created xsi:type="dcterms:W3CDTF">2025-04-14T11:36:00Z</dcterms:created>
  <dcterms:modified xsi:type="dcterms:W3CDTF">2026-05-11T09:36:00Z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