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F58A7">
      <w:pPr>
        <w:spacing w:line="600" w:lineRule="exact"/>
        <w:jc w:val="center"/>
        <w:rPr>
          <w:rFonts w:hint="eastAsia"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走马镇综合行政执法大队</w:t>
      </w:r>
    </w:p>
    <w:p w14:paraId="6461F741">
      <w:pPr>
        <w:spacing w:line="600" w:lineRule="exact"/>
        <w:jc w:val="center"/>
        <w:rPr>
          <w:rFonts w:hint="eastAsia"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2025年</w:t>
      </w:r>
      <w:r>
        <w:rPr>
          <w:rFonts w:hint="eastAsia" w:ascii="方正小标宋_GBK" w:hAnsi="华文中宋" w:eastAsia="方正小标宋_GBK" w:cs="华文中宋"/>
          <w:color w:val="0D0D0D"/>
          <w:sz w:val="44"/>
          <w:szCs w:val="44"/>
          <w:lang w:eastAsia="zh-CN"/>
        </w:rPr>
        <w:t>单位</w:t>
      </w:r>
      <w:r>
        <w:rPr>
          <w:rFonts w:hint="eastAsia" w:ascii="方正小标宋_GBK" w:hAnsi="华文中宋" w:eastAsia="方正小标宋_GBK" w:cs="华文中宋"/>
          <w:color w:val="0D0D0D"/>
          <w:sz w:val="44"/>
          <w:szCs w:val="44"/>
        </w:rPr>
        <w:t>预算情况说明</w:t>
      </w:r>
    </w:p>
    <w:p w14:paraId="5BC208B5">
      <w:pPr>
        <w:spacing w:line="600" w:lineRule="exact"/>
        <w:ind w:left="640"/>
        <w:rPr>
          <w:rFonts w:hint="eastAsia" w:ascii="方正黑体_GBK" w:hAnsi="黑体" w:eastAsia="方正黑体_GBK" w:cs="仿宋_GB2312"/>
          <w:color w:val="0D0D0D"/>
        </w:rPr>
      </w:pPr>
      <w:bookmarkStart w:id="0" w:name="_GoBack"/>
      <w:bookmarkEnd w:id="0"/>
    </w:p>
    <w:p w14:paraId="45B5C94B">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一、单位基本情况</w:t>
      </w:r>
    </w:p>
    <w:p w14:paraId="2D593D46">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（一）职能职责</w:t>
      </w:r>
    </w:p>
    <w:p w14:paraId="07C3AB85">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负责集中行使本镇法定行政执法事项、赋权行政执法事项和委托行政执法事项的行政执法权。负责开 展所涉执法领域的普法宣传、协同联动执法等工作。具体如下：</w:t>
      </w:r>
    </w:p>
    <w:p w14:paraId="1F6BC298">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1.负责依法执法，严格按照行政执法“三项制度”要求，集中行使本镇法定执法事项、赋权执法事项和依法授权委托的农林水利、规划建设、环境保护、卫生健康、文化旅游、民政管理、城市 管理、应急管理、安全生产、消防救援等领域行政执法权。</w:t>
      </w:r>
    </w:p>
    <w:p w14:paraId="4F34047A">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2.负责加强与区级执法部门的联系，配合区级执法部门开展联合执法、专项执法等工作。</w:t>
      </w:r>
    </w:p>
    <w:p w14:paraId="49F1C3FE">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3.负责推进行政执法信息化建设，加强综合行政执法队伍建设。</w:t>
      </w:r>
    </w:p>
    <w:p w14:paraId="4417C6A2">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4.负责拟定辖区普法、依法治理、法治宣传教育规划和年度计划并组织实施。落实“谁执法谁普法”的普法责任制。</w:t>
      </w:r>
    </w:p>
    <w:p w14:paraId="2B6D499E">
      <w:pPr>
        <w:spacing w:line="600" w:lineRule="exact"/>
        <w:ind w:firstLine="640" w:firstLineChars="200"/>
        <w:rPr>
          <w:rFonts w:hint="eastAsia" w:ascii="方正仿宋_GBK" w:hAnsi="仿宋_GB2312" w:cs="仿宋_GB2312"/>
          <w:color w:val="0D0D0D"/>
          <w:szCs w:val="22"/>
        </w:rPr>
      </w:pPr>
      <w:r>
        <w:rPr>
          <w:rFonts w:hint="eastAsia" w:ascii="方正仿宋_GBK" w:hAnsi="仿宋_GB2312" w:cs="仿宋_GB2312"/>
          <w:color w:val="0D0D0D"/>
          <w:szCs w:val="22"/>
        </w:rPr>
        <w:t>5.完成镇党委、政府交办的其他任务。</w:t>
      </w:r>
    </w:p>
    <w:p w14:paraId="2F926878">
      <w:pPr>
        <w:pStyle w:val="4"/>
        <w:tabs>
          <w:tab w:val="center" w:pos="4153"/>
          <w:tab w:val="left" w:pos="7275"/>
        </w:tabs>
        <w:spacing w:line="600" w:lineRule="exact"/>
        <w:jc w:val="left"/>
        <w:rPr>
          <w:rFonts w:hint="eastAsia" w:ascii="方正仿宋_GBK" w:hAnsi="仿宋_GB2312" w:eastAsia="方正仿宋_GBK" w:cs="仿宋_GB2312"/>
          <w:color w:val="0D0D0D"/>
          <w:sz w:val="32"/>
        </w:rPr>
      </w:pPr>
      <w:r>
        <w:rPr>
          <w:rFonts w:hint="eastAsia" w:ascii="方正仿宋_GBK" w:hAnsi="仿宋_GB2312" w:eastAsia="方正仿宋_GBK" w:cs="仿宋_GB2312"/>
          <w:color w:val="0D0D0D"/>
          <w:sz w:val="32"/>
        </w:rPr>
        <w:t>（二）单位构成</w:t>
      </w:r>
    </w:p>
    <w:p w14:paraId="397F1999">
      <w:pPr>
        <w:spacing w:line="600" w:lineRule="exact"/>
        <w:ind w:firstLine="640" w:firstLineChars="200"/>
        <w:rPr>
          <w:rFonts w:hint="eastAsia" w:ascii="方正仿宋_GBK" w:hAnsi="仿宋_GB2312" w:cs="仿宋_GB2312"/>
          <w:color w:val="0D0D0D"/>
        </w:rPr>
      </w:pPr>
      <w:r>
        <w:rPr>
          <w:rFonts w:hint="eastAsia" w:ascii="方正仿宋_GBK" w:hAnsi="仿宋_GB2312" w:eastAsia="方正仿宋_GBK" w:cs="仿宋_GB2312"/>
          <w:sz w:val="32"/>
          <w:szCs w:val="20"/>
        </w:rPr>
        <w:t>本单位未设置内部机构。</w:t>
      </w:r>
    </w:p>
    <w:p w14:paraId="371AA975">
      <w:pPr>
        <w:spacing w:line="600" w:lineRule="exact"/>
        <w:ind w:left="640"/>
        <w:rPr>
          <w:rFonts w:hint="eastAsia" w:ascii="方正仿宋_GBK" w:hAnsi="黑体" w:cs="仿宋_GB2312"/>
          <w:color w:val="0D0D0D"/>
        </w:rPr>
      </w:pPr>
      <w:r>
        <w:rPr>
          <w:rFonts w:hint="eastAsia" w:ascii="方正黑体_GBK" w:hAnsi="黑体" w:eastAsia="方正黑体_GBK" w:cs="仿宋_GB2312"/>
          <w:color w:val="0D0D0D"/>
        </w:rPr>
        <w:t>二、</w:t>
      </w:r>
      <w:r>
        <w:rPr>
          <w:rFonts w:hint="eastAsia" w:ascii="方正黑体_GBK" w:hAnsi="黑体" w:eastAsia="方正黑体_GBK" w:cs="仿宋_GB2312"/>
          <w:color w:val="0D0D0D"/>
          <w:lang w:eastAsia="zh-CN"/>
        </w:rPr>
        <w:t>单位</w:t>
      </w:r>
      <w:r>
        <w:rPr>
          <w:rFonts w:hint="eastAsia" w:ascii="方正黑体_GBK" w:hAnsi="黑体" w:eastAsia="方正黑体_GBK" w:cs="仿宋_GB2312"/>
          <w:color w:val="0D0D0D"/>
        </w:rPr>
        <w:t>收支总体情况</w:t>
      </w:r>
    </w:p>
    <w:p w14:paraId="5E362B8A">
      <w:pPr>
        <w:spacing w:line="600" w:lineRule="exact"/>
        <w:ind w:firstLine="640" w:firstLineChars="200"/>
        <w:rPr>
          <w:rFonts w:hint="eastAsia" w:ascii="方正仿宋_GBK" w:hAnsi="宋体" w:eastAsia="方正仿宋_GBK" w:cs="宋体"/>
          <w:color w:val="000000"/>
          <w:sz w:val="32"/>
          <w:szCs w:val="32"/>
          <w:shd w:val="clear" w:color="auto" w:fill="FFFFFF"/>
          <w:lang w:eastAsia="zh-CN" w:bidi="ar"/>
        </w:rPr>
      </w:pPr>
      <w:r>
        <w:rPr>
          <w:rFonts w:hint="eastAsia" w:ascii="方正仿宋_GBK" w:hAnsi="仿宋_GB2312" w:cs="仿宋_GB2312"/>
          <w:color w:val="0D0D0D"/>
        </w:rPr>
        <w:t>（一）收入预算：2025年年初预算数</w:t>
      </w:r>
      <w:r>
        <w:rPr>
          <w:rFonts w:hint="eastAsia" w:ascii="方正仿宋_GBK" w:hAnsi="仿宋_GB2312" w:cs="仿宋_GB2312"/>
          <w:color w:val="0D0D0D"/>
          <w:lang w:eastAsia="zh-CN"/>
        </w:rPr>
        <w:t>136.33</w:t>
      </w:r>
      <w:r>
        <w:rPr>
          <w:rFonts w:hint="eastAsia" w:ascii="方正仿宋_GBK" w:hAnsi="仿宋_GB2312" w:cs="仿宋_GB2312"/>
          <w:color w:val="0D0D0D"/>
        </w:rPr>
        <w:t>万元，其中：一般公共预算拨款</w:t>
      </w:r>
      <w:r>
        <w:rPr>
          <w:rFonts w:hint="eastAsia" w:ascii="方正仿宋_GBK" w:hAnsi="仿宋_GB2312" w:cs="仿宋_GB2312"/>
          <w:color w:val="0D0D0D"/>
          <w:lang w:eastAsia="zh-CN"/>
        </w:rPr>
        <w:t>136.33</w:t>
      </w:r>
      <w:r>
        <w:rPr>
          <w:rFonts w:hint="eastAsia" w:ascii="方正仿宋_GBK" w:hAnsi="仿宋_GB2312" w:cs="仿宋_GB2312"/>
          <w:color w:val="0D0D0D"/>
        </w:rPr>
        <w:t>万元，政府性基金预算拨款</w:t>
      </w:r>
      <w:r>
        <w:rPr>
          <w:rFonts w:hint="eastAsia" w:ascii="方正仿宋_GBK" w:hAnsi="仿宋_GB2312" w:cs="仿宋_GB2312"/>
          <w:color w:val="0D0D0D"/>
          <w:lang w:val="en-US" w:eastAsia="zh-CN"/>
        </w:rPr>
        <w:t>0</w:t>
      </w:r>
      <w:r>
        <w:rPr>
          <w:rFonts w:hint="eastAsia" w:ascii="方正仿宋_GBK" w:hAnsi="仿宋_GB2312" w:cs="仿宋_GB2312"/>
          <w:color w:val="0D0D0D"/>
        </w:rPr>
        <w:t>万元，国有资本经营预算收入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万元，事业收入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万元，事业单位经营收入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万元，其他收入</w:t>
      </w:r>
      <w:r>
        <w:rPr>
          <w:rFonts w:hint="eastAsia" w:ascii="方正仿宋_GBK" w:hAnsi="仿宋_GB2312" w:cs="仿宋_GB2312"/>
          <w:color w:val="0D0D0D"/>
          <w:lang w:val="en-US" w:eastAsia="zh-CN"/>
        </w:rPr>
        <w:t>0</w:t>
      </w:r>
      <w:r>
        <w:rPr>
          <w:rFonts w:hint="eastAsia" w:ascii="方正仿宋_GBK" w:hAnsi="仿宋_GB2312" w:cs="仿宋_GB2312"/>
          <w:color w:val="0D0D0D"/>
        </w:rPr>
        <w:t>万</w:t>
      </w:r>
      <w:r>
        <w:rPr>
          <w:rFonts w:hint="eastAsia" w:ascii="方正仿宋_GBK" w:hAnsi="仿宋_GB2312" w:cs="仿宋_GB2312"/>
          <w:color w:val="0D0D0D"/>
          <w:szCs w:val="22"/>
        </w:rPr>
        <w:t>元。</w:t>
      </w:r>
      <w:r>
        <w:rPr>
          <w:rFonts w:hint="eastAsia" w:ascii="方正仿宋_GBK" w:hAnsi="仿宋_GB2312" w:cs="仿宋_GB2312"/>
          <w:color w:val="0D0D0D"/>
        </w:rPr>
        <w:t>收入较2024年</w:t>
      </w:r>
      <w:r>
        <w:rPr>
          <w:rFonts w:hint="eastAsia" w:ascii="方正仿宋_GBK" w:hAnsi="仿宋_GB2312" w:cs="仿宋_GB2312"/>
          <w:color w:val="0D0D0D"/>
          <w:lang w:eastAsia="zh-CN"/>
        </w:rPr>
        <w:t>增加</w:t>
      </w:r>
      <w:r>
        <w:rPr>
          <w:rFonts w:hint="eastAsia" w:ascii="方正仿宋_GBK" w:hAnsi="仿宋_GB2312" w:cs="仿宋_GB2312"/>
          <w:color w:val="0D0D0D"/>
          <w:lang w:val="en-US" w:eastAsia="zh-CN"/>
        </w:rPr>
        <w:t>9.38</w:t>
      </w:r>
      <w:r>
        <w:rPr>
          <w:rFonts w:hint="eastAsia" w:ascii="方正仿宋_GBK" w:hAnsi="仿宋_GB2312" w:cs="仿宋_GB2312"/>
          <w:color w:val="0D0D0D"/>
        </w:rPr>
        <w:t>万元，主要是</w:t>
      </w:r>
      <w:r>
        <w:rPr>
          <w:rFonts w:hint="eastAsia" w:ascii="方正仿宋_GBK" w:hAnsi="宋体" w:cs="宋体"/>
          <w:color w:val="000000"/>
          <w:sz w:val="32"/>
          <w:szCs w:val="32"/>
          <w:shd w:val="clear" w:color="auto" w:fill="FFFFFF"/>
          <w:lang w:eastAsia="zh-CN" w:bidi="ar"/>
        </w:rPr>
        <w:t>基本</w:t>
      </w:r>
      <w:r>
        <w:rPr>
          <w:rFonts w:hint="eastAsia" w:ascii="方正仿宋_GBK" w:hAnsi="宋体" w:eastAsia="方正仿宋_GBK" w:cs="宋体"/>
          <w:color w:val="000000"/>
          <w:sz w:val="32"/>
          <w:szCs w:val="32"/>
          <w:shd w:val="clear" w:color="auto" w:fill="FFFFFF"/>
          <w:lang w:bidi="ar"/>
        </w:rPr>
        <w:t>支出预算</w:t>
      </w:r>
      <w:r>
        <w:rPr>
          <w:rFonts w:hint="eastAsia" w:ascii="方正仿宋_GBK" w:hAnsi="宋体" w:cs="宋体"/>
          <w:color w:val="000000"/>
          <w:sz w:val="32"/>
          <w:szCs w:val="32"/>
          <w:shd w:val="clear" w:color="auto" w:fill="FFFFFF"/>
          <w:lang w:eastAsia="zh-CN" w:bidi="ar"/>
        </w:rPr>
        <w:t>增加。</w:t>
      </w:r>
    </w:p>
    <w:p w14:paraId="68259688">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（二）支出预算：2025年年初预算数</w:t>
      </w:r>
      <w:r>
        <w:rPr>
          <w:rFonts w:hint="eastAsia" w:ascii="方正仿宋_GBK" w:hAnsi="仿宋_GB2312" w:cs="仿宋_GB2312"/>
          <w:color w:val="0D0D0D"/>
          <w:lang w:eastAsia="zh-CN"/>
        </w:rPr>
        <w:t>136.33</w:t>
      </w:r>
      <w:r>
        <w:rPr>
          <w:rFonts w:hint="eastAsia" w:ascii="方正仿宋_GBK" w:hAnsi="仿宋_GB2312" w:cs="仿宋_GB2312"/>
          <w:color w:val="0D0D0D"/>
        </w:rPr>
        <w:t>万元，其中：一般公共服务支出107.08</w:t>
      </w:r>
      <w:r>
        <w:rPr>
          <w:rFonts w:hint="eastAsia" w:ascii="方正仿宋_GBK" w:hAnsi="仿宋_GB2312" w:cs="仿宋_GB2312"/>
          <w:color w:val="0D0D0D"/>
          <w:lang w:eastAsia="zh-CN"/>
        </w:rPr>
        <w:t>万元，</w:t>
      </w:r>
      <w:r>
        <w:rPr>
          <w:rFonts w:hint="eastAsia" w:ascii="方正仿宋_GBK" w:hAnsi="仿宋_GB2312" w:cs="仿宋_GB2312"/>
          <w:color w:val="0D0D0D"/>
        </w:rPr>
        <w:t>社会保障和就业支出预算16.74万元，卫生健康支出预算6.7万元</w:t>
      </w:r>
      <w:r>
        <w:rPr>
          <w:rFonts w:hint="eastAsia" w:ascii="方正仿宋_GBK" w:hAnsi="仿宋_GB2312" w:cs="仿宋_GB2312"/>
          <w:color w:val="0D0D0D"/>
          <w:lang w:eastAsia="zh-CN"/>
        </w:rPr>
        <w:t>，</w:t>
      </w:r>
      <w:r>
        <w:rPr>
          <w:rFonts w:hint="eastAsia" w:ascii="方正仿宋_GBK" w:hAnsi="仿宋_GB2312" w:cs="仿宋_GB2312"/>
          <w:color w:val="0D0D0D"/>
        </w:rPr>
        <w:t>住房保障支出预算5.81万元。</w:t>
      </w:r>
      <w:r>
        <w:rPr>
          <w:rFonts w:hint="eastAsia" w:ascii="方正仿宋_GBK" w:hAnsi="仿宋_GB2312" w:cs="仿宋_GB2312"/>
          <w:color w:val="0D0D0D"/>
          <w:szCs w:val="22"/>
          <w:lang w:eastAsia="zh-CN"/>
        </w:rPr>
        <w:t>支出预算</w:t>
      </w:r>
      <w:r>
        <w:rPr>
          <w:rFonts w:hint="eastAsia" w:ascii="方正仿宋_GBK" w:hAnsi="仿宋_GB2312" w:cs="仿宋_GB2312"/>
          <w:color w:val="0D0D0D"/>
        </w:rPr>
        <w:t>较2024年</w:t>
      </w:r>
      <w:r>
        <w:rPr>
          <w:rFonts w:hint="eastAsia" w:ascii="方正仿宋_GBK" w:hAnsi="仿宋_GB2312" w:cs="仿宋_GB2312"/>
          <w:color w:val="0D0D0D"/>
          <w:lang w:eastAsia="zh-CN"/>
        </w:rPr>
        <w:t>增加</w:t>
      </w:r>
      <w:r>
        <w:rPr>
          <w:rFonts w:hint="eastAsia" w:ascii="方正仿宋_GBK" w:hAnsi="仿宋_GB2312" w:cs="仿宋_GB2312"/>
          <w:color w:val="0D0D0D"/>
          <w:lang w:val="en-US" w:eastAsia="zh-CN"/>
        </w:rPr>
        <w:t>9.38</w:t>
      </w:r>
      <w:r>
        <w:rPr>
          <w:rFonts w:hint="eastAsia" w:ascii="方正仿宋_GBK" w:hAnsi="仿宋_GB2312" w:cs="仿宋_GB2312"/>
          <w:color w:val="0D0D0D"/>
        </w:rPr>
        <w:t>万元，主要是</w:t>
      </w:r>
      <w:r>
        <w:rPr>
          <w:rFonts w:hint="eastAsia" w:ascii="方正仿宋_GBK" w:hAnsi="宋体" w:cs="宋体"/>
          <w:color w:val="000000"/>
          <w:sz w:val="32"/>
          <w:szCs w:val="32"/>
          <w:shd w:val="clear" w:color="auto" w:fill="FFFFFF"/>
          <w:lang w:eastAsia="zh-CN" w:bidi="ar"/>
        </w:rPr>
        <w:t>基本</w:t>
      </w:r>
      <w:r>
        <w:rPr>
          <w:rFonts w:hint="eastAsia" w:ascii="方正仿宋_GBK" w:hAnsi="宋体" w:eastAsia="方正仿宋_GBK" w:cs="宋体"/>
          <w:color w:val="000000"/>
          <w:sz w:val="32"/>
          <w:szCs w:val="32"/>
          <w:shd w:val="clear" w:color="auto" w:fill="FFFFFF"/>
          <w:lang w:bidi="ar"/>
        </w:rPr>
        <w:t>支出预算</w:t>
      </w:r>
      <w:r>
        <w:rPr>
          <w:rFonts w:hint="eastAsia" w:ascii="方正仿宋_GBK" w:hAnsi="宋体" w:cs="宋体"/>
          <w:color w:val="000000"/>
          <w:sz w:val="32"/>
          <w:szCs w:val="32"/>
          <w:shd w:val="clear" w:color="auto" w:fill="FFFFFF"/>
          <w:lang w:eastAsia="zh-CN" w:bidi="ar"/>
        </w:rPr>
        <w:t>增加。</w:t>
      </w:r>
    </w:p>
    <w:p w14:paraId="4833663E">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三、</w:t>
      </w:r>
      <w:r>
        <w:rPr>
          <w:rFonts w:hint="eastAsia" w:ascii="方正黑体_GBK" w:hAnsi="黑体" w:eastAsia="方正黑体_GBK" w:cs="仿宋_GB2312"/>
          <w:color w:val="0D0D0D"/>
          <w:lang w:eastAsia="zh-CN"/>
        </w:rPr>
        <w:t>单位</w:t>
      </w:r>
      <w:r>
        <w:rPr>
          <w:rFonts w:hint="eastAsia" w:ascii="方正黑体_GBK" w:hAnsi="黑体" w:eastAsia="方正黑体_GBK" w:cs="仿宋_GB2312"/>
          <w:color w:val="0D0D0D"/>
        </w:rPr>
        <w:t>预算情况说明</w:t>
      </w:r>
    </w:p>
    <w:p w14:paraId="2F2CE83B">
      <w:pPr>
        <w:spacing w:line="600" w:lineRule="exact"/>
        <w:ind w:firstLine="640" w:firstLineChars="200"/>
        <w:rPr>
          <w:rFonts w:hint="eastAsia" w:ascii="方正仿宋_GBK" w:hAnsi="仿宋_GB2312" w:cs="仿宋_GB2312"/>
          <w:color w:val="0D0D0D"/>
          <w:lang w:eastAsia="zh-CN"/>
        </w:rPr>
      </w:pPr>
      <w:r>
        <w:rPr>
          <w:rFonts w:hint="eastAsia" w:ascii="方正仿宋_GBK" w:hAnsi="仿宋_GB2312" w:cs="仿宋_GB2312"/>
          <w:color w:val="0D0D0D"/>
        </w:rPr>
        <w:t>2025年一般公共预算财政拨款收入</w:t>
      </w:r>
      <w:r>
        <w:rPr>
          <w:rFonts w:hint="eastAsia" w:ascii="方正仿宋_GBK" w:hAnsi="仿宋_GB2312" w:cs="仿宋_GB2312"/>
          <w:color w:val="0D0D0D"/>
          <w:lang w:eastAsia="zh-CN"/>
        </w:rPr>
        <w:t>136.33</w:t>
      </w:r>
      <w:r>
        <w:rPr>
          <w:rFonts w:hint="eastAsia" w:ascii="方正仿宋_GBK" w:hAnsi="仿宋_GB2312" w:cs="仿宋_GB2312"/>
          <w:color w:val="0D0D0D"/>
        </w:rPr>
        <w:t>万元，一般公共预算财政拨款支出</w:t>
      </w:r>
      <w:r>
        <w:rPr>
          <w:rFonts w:hint="eastAsia" w:ascii="方正仿宋_GBK" w:hAnsi="仿宋_GB2312" w:cs="仿宋_GB2312"/>
          <w:color w:val="0D0D0D"/>
          <w:lang w:eastAsia="zh-CN"/>
        </w:rPr>
        <w:t>136.33</w:t>
      </w:r>
      <w:r>
        <w:rPr>
          <w:rFonts w:hint="eastAsia" w:ascii="方正仿宋_GBK" w:hAnsi="仿宋_GB2312" w:cs="仿宋_GB2312"/>
          <w:color w:val="0D0D0D"/>
        </w:rPr>
        <w:t>万元。其中：基本支出</w:t>
      </w:r>
      <w:r>
        <w:rPr>
          <w:rFonts w:hint="eastAsia" w:ascii="方正仿宋_GBK" w:hAnsi="仿宋_GB2312" w:cs="仿宋_GB2312"/>
          <w:color w:val="0D0D0D"/>
          <w:lang w:eastAsia="zh-CN"/>
        </w:rPr>
        <w:t>136.33</w:t>
      </w:r>
      <w:r>
        <w:rPr>
          <w:rFonts w:hint="eastAsia" w:ascii="方正仿宋_GBK" w:hAnsi="仿宋_GB2312" w:cs="仿宋_GB2312"/>
          <w:color w:val="0D0D0D"/>
        </w:rPr>
        <w:t>万元，比2024年增加</w:t>
      </w:r>
      <w:r>
        <w:rPr>
          <w:rFonts w:hint="eastAsia" w:ascii="方正仿宋_GBK" w:hAnsi="仿宋_GB2312" w:cs="仿宋_GB2312"/>
          <w:color w:val="0D0D0D"/>
          <w:lang w:val="en-US" w:eastAsia="zh-CN"/>
        </w:rPr>
        <w:t>9.38</w:t>
      </w:r>
      <w:r>
        <w:rPr>
          <w:rFonts w:hint="eastAsia" w:ascii="方正仿宋_GBK" w:hAnsi="仿宋_GB2312" w:cs="仿宋_GB2312"/>
          <w:color w:val="0D0D0D"/>
        </w:rPr>
        <w:t>万元，主要原因是</w:t>
      </w:r>
      <w:r>
        <w:rPr>
          <w:rFonts w:hint="eastAsia" w:ascii="方正仿宋_GBK" w:hAnsi="宋体" w:cs="宋体"/>
          <w:color w:val="000000"/>
          <w:sz w:val="32"/>
          <w:szCs w:val="32"/>
          <w:shd w:val="clear" w:color="auto" w:fill="FFFFFF"/>
          <w:lang w:eastAsia="zh-CN" w:bidi="ar"/>
        </w:rPr>
        <w:t>社保缴费基数调整</w:t>
      </w:r>
      <w:r>
        <w:rPr>
          <w:rFonts w:hint="eastAsia" w:ascii="方正仿宋_GBK" w:hAnsi="宋体" w:eastAsia="方正仿宋_GBK" w:cs="宋体"/>
          <w:color w:val="000000"/>
          <w:sz w:val="32"/>
          <w:szCs w:val="32"/>
          <w:shd w:val="clear" w:color="auto" w:fill="FFFFFF"/>
          <w:lang w:bidi="ar"/>
        </w:rPr>
        <w:t>等</w:t>
      </w:r>
      <w:r>
        <w:rPr>
          <w:rFonts w:hint="eastAsia" w:ascii="方正仿宋_GBK" w:hAnsi="仿宋_GB2312" w:cs="仿宋_GB2312"/>
          <w:color w:val="0D0D0D"/>
        </w:rPr>
        <w:t>，主要用于保障在职人员工资福利及社会保险缴费，离休人员离休费，退休人员补助等，保障</w:t>
      </w:r>
      <w:r>
        <w:rPr>
          <w:rFonts w:hint="eastAsia" w:ascii="方正仿宋_GBK" w:hAnsi="仿宋_GB2312" w:cs="仿宋_GB2312"/>
          <w:color w:val="0D0D0D"/>
          <w:lang w:eastAsia="zh-CN"/>
        </w:rPr>
        <w:t>单位</w:t>
      </w:r>
      <w:r>
        <w:rPr>
          <w:rFonts w:hint="eastAsia" w:ascii="方正仿宋_GBK" w:hAnsi="仿宋_GB2312" w:cs="仿宋_GB2312"/>
          <w:color w:val="0D0D0D"/>
        </w:rPr>
        <w:t>正常运转的各项商品服务支出；项目支出</w:t>
      </w:r>
      <w:r>
        <w:rPr>
          <w:rFonts w:hint="eastAsia" w:ascii="方正仿宋_GBK" w:hAnsi="仿宋_GB2312" w:cs="仿宋_GB2312"/>
          <w:color w:val="0D0D0D"/>
          <w:lang w:val="en-US" w:eastAsia="zh-CN"/>
        </w:rPr>
        <w:t>0</w:t>
      </w:r>
      <w:r>
        <w:rPr>
          <w:rFonts w:hint="eastAsia" w:ascii="方正仿宋_GBK" w:hAnsi="仿宋_GB2312" w:cs="仿宋_GB2312"/>
          <w:color w:val="0D0D0D"/>
        </w:rPr>
        <w:t>万元</w:t>
      </w:r>
      <w:r>
        <w:rPr>
          <w:rFonts w:hint="eastAsia" w:ascii="方正仿宋_GBK" w:hAnsi="仿宋_GB2312" w:cs="仿宋_GB2312"/>
          <w:color w:val="0D0D0D"/>
          <w:lang w:eastAsia="zh-CN"/>
        </w:rPr>
        <w:t>。</w:t>
      </w:r>
    </w:p>
    <w:p w14:paraId="38A5C25D">
      <w:pPr>
        <w:spacing w:line="600" w:lineRule="exact"/>
        <w:ind w:firstLine="640" w:firstLineChars="200"/>
        <w:rPr>
          <w:rFonts w:hint="eastAsia" w:ascii="方正仿宋_GBK" w:hAnsi="仿宋_GB2312" w:eastAsia="方正仿宋_GBK" w:cs="仿宋_GB2312"/>
          <w:color w:val="0D0D0D"/>
          <w:lang w:eastAsia="zh-CN"/>
        </w:rPr>
      </w:pPr>
      <w:r>
        <w:rPr>
          <w:rFonts w:hint="eastAsia" w:ascii="方正仿宋_GBK" w:hAnsi="仿宋_GB2312" w:cs="仿宋_GB2312"/>
          <w:color w:val="0D0D0D"/>
          <w:lang w:eastAsia="zh-CN"/>
        </w:rPr>
        <w:t>本单位</w:t>
      </w:r>
      <w:r>
        <w:rPr>
          <w:rFonts w:hint="eastAsia" w:ascii="方正仿宋_GBK" w:hAnsi="仿宋_GB2312" w:cs="仿宋_GB2312"/>
          <w:color w:val="0D0D0D"/>
        </w:rPr>
        <w:t>2025年无使用政府性基金预算拨款安排的支出</w:t>
      </w:r>
      <w:r>
        <w:rPr>
          <w:rFonts w:hint="eastAsia" w:ascii="方正仿宋_GBK" w:hAnsi="仿宋_GB2312" w:cs="仿宋_GB2312"/>
          <w:color w:val="0D0D0D"/>
          <w:lang w:eastAsia="zh-CN"/>
        </w:rPr>
        <w:t>。</w:t>
      </w:r>
    </w:p>
    <w:p w14:paraId="2F76281B">
      <w:pPr>
        <w:spacing w:line="600" w:lineRule="exact"/>
        <w:ind w:left="640"/>
        <w:rPr>
          <w:rFonts w:hint="eastAsia" w:ascii="方正仿宋_GBK" w:hAnsi="黑体" w:cs="仿宋_GB2312"/>
          <w:color w:val="0D0D0D"/>
        </w:rPr>
      </w:pPr>
      <w:r>
        <w:rPr>
          <w:rFonts w:hint="eastAsia" w:ascii="方正黑体_GBK" w:hAnsi="黑体" w:eastAsia="方正黑体_GBK" w:cs="仿宋_GB2312"/>
          <w:color w:val="0D0D0D"/>
        </w:rPr>
        <w:t>四、“三公”经费情况说明</w:t>
      </w:r>
    </w:p>
    <w:p w14:paraId="77BA9DAE">
      <w:pPr>
        <w:spacing w:line="600" w:lineRule="exact"/>
        <w:ind w:firstLine="640" w:firstLineChars="200"/>
        <w:rPr>
          <w:rFonts w:hint="eastAsia" w:ascii="方正仿宋_GBK" w:hAnsi="仿宋_GB2312" w:eastAsia="方正仿宋_GBK" w:cs="仿宋_GB2312"/>
          <w:color w:val="0D0D0D"/>
          <w:lang w:eastAsia="zh-CN"/>
        </w:rPr>
      </w:pPr>
      <w:r>
        <w:rPr>
          <w:rFonts w:hint="eastAsia" w:ascii="方正仿宋_GBK" w:hAnsi="仿宋_GB2312" w:cs="仿宋_GB2312"/>
          <w:color w:val="0D0D0D"/>
        </w:rPr>
        <w:t>2025年“三公”经费预算</w:t>
      </w:r>
      <w:r>
        <w:rPr>
          <w:rFonts w:hint="eastAsia" w:ascii="方正仿宋_GBK" w:hAnsi="仿宋_GB2312" w:cs="仿宋_GB2312"/>
          <w:color w:val="0D0D0D"/>
          <w:lang w:val="en-US" w:eastAsia="zh-CN"/>
        </w:rPr>
        <w:t>0</w:t>
      </w:r>
      <w:r>
        <w:rPr>
          <w:rFonts w:hint="eastAsia" w:ascii="方正仿宋_GBK" w:hAnsi="仿宋_GB2312" w:cs="仿宋_GB2312"/>
          <w:color w:val="0D0D0D"/>
        </w:rPr>
        <w:t>万元</w:t>
      </w:r>
      <w:r>
        <w:rPr>
          <w:rFonts w:hint="eastAsia" w:ascii="方正仿宋_GBK" w:hAnsi="仿宋_GB2312" w:cs="仿宋_GB2312"/>
          <w:color w:val="0D0D0D"/>
          <w:lang w:eastAsia="zh-CN"/>
        </w:rPr>
        <w:t>。</w:t>
      </w:r>
      <w:r>
        <w:rPr>
          <w:rFonts w:hint="eastAsia" w:ascii="方正仿宋_GBK" w:hAnsi="仿宋_GB2312" w:cs="仿宋_GB2312"/>
          <w:color w:val="0D0D0D"/>
        </w:rPr>
        <w:t>其中：因公出国（境）费用</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万元；公务接待费</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万元；公务用车运行维护费</w:t>
      </w:r>
      <w:r>
        <w:rPr>
          <w:rFonts w:hint="eastAsia" w:ascii="方正仿宋_GBK" w:hAnsi="仿宋_GB2312" w:cs="仿宋_GB2312"/>
          <w:color w:val="0D0D0D"/>
          <w:lang w:val="en-US" w:eastAsia="zh-CN"/>
        </w:rPr>
        <w:t>0</w:t>
      </w:r>
      <w:r>
        <w:rPr>
          <w:rFonts w:hint="eastAsia" w:ascii="方正仿宋_GBK" w:hAnsi="仿宋_GB2312" w:cs="仿宋_GB2312"/>
          <w:color w:val="0D0D0D"/>
        </w:rPr>
        <w:t>万元；公务用车购置费</w:t>
      </w:r>
      <w:r>
        <w:rPr>
          <w:rFonts w:hint="eastAsia" w:ascii="方正仿宋_GBK" w:hAnsi="仿宋_GB2312" w:cs="仿宋_GB2312"/>
          <w:color w:val="0D0D0D"/>
          <w:lang w:val="en-US" w:eastAsia="zh-CN"/>
        </w:rPr>
        <w:t>0</w:t>
      </w:r>
      <w:r>
        <w:rPr>
          <w:rFonts w:hint="eastAsia" w:ascii="方正仿宋_GBK" w:hAnsi="仿宋_GB2312" w:cs="仿宋_GB2312"/>
          <w:color w:val="0D0D0D"/>
        </w:rPr>
        <w:t>万元</w:t>
      </w:r>
      <w:r>
        <w:rPr>
          <w:rFonts w:hint="eastAsia" w:ascii="方正仿宋_GBK" w:hAnsi="仿宋_GB2312" w:cs="仿宋_GB2312"/>
          <w:color w:val="0D0D0D"/>
          <w:lang w:eastAsia="zh-CN"/>
        </w:rPr>
        <w:t>。</w:t>
      </w:r>
    </w:p>
    <w:p w14:paraId="1C067495">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650357AC">
      <w:pPr>
        <w:ind w:firstLine="640" w:firstLineChars="200"/>
        <w:rPr>
          <w:rFonts w:hint="eastAsia" w:ascii="方正仿宋_GBK" w:hAnsi="仿宋_GB2312" w:cs="仿宋_GB2312"/>
          <w:color w:val="0D0D0D"/>
        </w:rPr>
      </w:pPr>
      <w:r>
        <w:rPr>
          <w:rFonts w:hint="eastAsia" w:ascii="方正仿宋_GBK" w:hAnsi="仿宋_GB2312" w:cs="仿宋_GB2312"/>
          <w:color w:val="0D0D0D"/>
        </w:rPr>
        <w:t>1、我单位不在机关运行经费统计范围之内。</w:t>
      </w:r>
    </w:p>
    <w:p w14:paraId="7001FED6">
      <w:pPr>
        <w:ind w:firstLine="640" w:firstLineChars="200"/>
        <w:rPr>
          <w:rFonts w:hint="eastAsia" w:ascii="方正仿宋_GBK" w:hAnsi="仿宋_GB2312" w:eastAsia="方正仿宋_GBK" w:cs="仿宋_GB2312"/>
          <w:sz w:val="32"/>
          <w:szCs w:val="20"/>
        </w:rPr>
      </w:pPr>
      <w:r>
        <w:rPr>
          <w:rFonts w:hint="eastAsia" w:ascii="方正仿宋_GBK" w:hAnsi="仿宋_GB2312" w:cs="仿宋_GB2312"/>
          <w:color w:val="0D0D0D"/>
        </w:rPr>
        <w:t>2、政府采购情况。</w:t>
      </w:r>
      <w:r>
        <w:rPr>
          <w:rFonts w:hint="eastAsia" w:ascii="方正仿宋_GBK" w:hAnsi="仿宋_GB2312" w:eastAsia="方正仿宋_GBK" w:cs="仿宋_GB2312"/>
          <w:sz w:val="32"/>
          <w:szCs w:val="20"/>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6241C158">
      <w:pPr>
        <w:ind w:firstLine="640" w:firstLineChars="200"/>
        <w:rPr>
          <w:rFonts w:hint="eastAsia" w:ascii="方正仿宋_GBK" w:hAnsi="仿宋_GB2312" w:cs="仿宋_GB2312"/>
          <w:color w:val="0D0D0D"/>
        </w:rPr>
      </w:pPr>
      <w:r>
        <w:rPr>
          <w:rFonts w:hint="eastAsia" w:ascii="方正仿宋_GBK" w:hAnsi="仿宋_GB2312" w:cs="仿宋_GB2312"/>
          <w:color w:val="0D0D0D"/>
        </w:rPr>
        <w:t>3、绩效目标设置情况。</w:t>
      </w:r>
      <w:r>
        <w:rPr>
          <w:rFonts w:hint="eastAsia" w:ascii="方正仿宋_GBK" w:hAnsi="仿宋_GB2312" w:eastAsia="方正仿宋_GBK" w:cs="仿宋_GB2312"/>
          <w:color w:val="000000"/>
          <w:sz w:val="32"/>
          <w:szCs w:val="20"/>
        </w:rPr>
        <w:t>2024年无项目支出，不涉及绩效目标管理。</w:t>
      </w:r>
    </w:p>
    <w:p w14:paraId="67A84F72">
      <w:pPr>
        <w:ind w:firstLine="640" w:firstLineChars="200"/>
        <w:rPr>
          <w:rFonts w:hint="eastAsia"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w:t>
      </w:r>
      <w:r>
        <w:rPr>
          <w:rFonts w:hint="eastAsia" w:ascii="方正仿宋_GBK" w:hAnsi="仿宋_GB2312" w:cs="仿宋_GB2312"/>
          <w:color w:val="0D0D0D"/>
          <w:lang w:eastAsia="zh-CN"/>
        </w:rPr>
        <w:t>本单位</w:t>
      </w:r>
      <w:r>
        <w:rPr>
          <w:rFonts w:hint="eastAsia" w:ascii="方正仿宋_GBK" w:hAnsi="仿宋_GB2312" w:cs="仿宋_GB2312"/>
          <w:color w:val="0D0D0D"/>
        </w:rPr>
        <w:t>共有车辆</w:t>
      </w:r>
      <w:r>
        <w:rPr>
          <w:rFonts w:hint="eastAsia" w:ascii="方正仿宋_GBK" w:hAnsi="仿宋_GB2312" w:cs="仿宋_GB2312"/>
          <w:color w:val="0D0D0D"/>
          <w:lang w:eastAsia="zh-CN"/>
        </w:rPr>
        <w:t>0</w:t>
      </w:r>
      <w:r>
        <w:rPr>
          <w:rFonts w:hint="eastAsia" w:ascii="方正仿宋_GBK" w:hAnsi="仿宋_GB2312" w:cs="仿宋_GB2312"/>
          <w:color w:val="0D0D0D"/>
        </w:rPr>
        <w:t>辆，其中一般公务用车</w:t>
      </w:r>
      <w:r>
        <w:rPr>
          <w:rFonts w:hint="eastAsia" w:ascii="方正仿宋_GBK" w:hAnsi="仿宋_GB2312" w:cs="仿宋_GB2312"/>
          <w:color w:val="0D0D0D"/>
          <w:lang w:eastAsia="zh-CN"/>
        </w:rPr>
        <w:t>0</w:t>
      </w:r>
      <w:r>
        <w:rPr>
          <w:rFonts w:hint="eastAsia" w:ascii="方正仿宋_GBK" w:hAnsi="仿宋_GB2312" w:cs="仿宋_GB2312"/>
          <w:color w:val="0D0D0D"/>
        </w:rPr>
        <w:t>辆、执勤执法用车</w:t>
      </w:r>
      <w:r>
        <w:rPr>
          <w:rFonts w:hint="eastAsia" w:ascii="方正仿宋_GBK" w:hAnsi="仿宋_GB2312" w:cs="仿宋_GB2312"/>
          <w:color w:val="0D0D0D"/>
          <w:lang w:eastAsia="zh-CN"/>
        </w:rPr>
        <w:t>0</w:t>
      </w:r>
      <w:r>
        <w:rPr>
          <w:rFonts w:hint="eastAsia" w:ascii="方正仿宋_GBK" w:hAnsi="仿宋_GB2312" w:cs="仿宋_GB2312"/>
          <w:color w:val="0D0D0D"/>
        </w:rPr>
        <w:t>辆。2025年一般公共预算安排购置车辆</w:t>
      </w:r>
      <w:r>
        <w:rPr>
          <w:rFonts w:hint="eastAsia" w:ascii="方正仿宋_GBK" w:hAnsi="仿宋_GB2312" w:cs="仿宋_GB2312"/>
          <w:color w:val="0D0D0D"/>
          <w:lang w:eastAsia="zh-CN"/>
        </w:rPr>
        <w:t>0</w:t>
      </w:r>
      <w:r>
        <w:rPr>
          <w:rFonts w:hint="eastAsia" w:ascii="方正仿宋_GBK" w:hAnsi="仿宋_GB2312" w:cs="仿宋_GB2312"/>
          <w:color w:val="0D0D0D"/>
        </w:rPr>
        <w:t>辆，其中一般公务用车</w:t>
      </w:r>
      <w:r>
        <w:rPr>
          <w:rFonts w:hint="eastAsia" w:ascii="方正仿宋_GBK" w:hAnsi="仿宋_GB2312" w:cs="仿宋_GB2312"/>
          <w:color w:val="0D0D0D"/>
          <w:lang w:eastAsia="zh-CN"/>
        </w:rPr>
        <w:t>0</w:t>
      </w:r>
      <w:r>
        <w:rPr>
          <w:rFonts w:hint="eastAsia" w:ascii="方正仿宋_GBK" w:hAnsi="仿宋_GB2312" w:cs="仿宋_GB2312"/>
          <w:color w:val="0D0D0D"/>
        </w:rPr>
        <w:t>辆、执勤执法用车</w:t>
      </w:r>
      <w:r>
        <w:rPr>
          <w:rFonts w:hint="eastAsia" w:ascii="方正仿宋_GBK" w:hAnsi="仿宋_GB2312" w:cs="仿宋_GB2312"/>
          <w:color w:val="0D0D0D"/>
          <w:lang w:eastAsia="zh-CN"/>
        </w:rPr>
        <w:t>0</w:t>
      </w:r>
      <w:r>
        <w:rPr>
          <w:rFonts w:hint="eastAsia" w:ascii="方正仿宋_GBK" w:hAnsi="仿宋_GB2312" w:cs="仿宋_GB2312"/>
          <w:color w:val="0D0D0D"/>
        </w:rPr>
        <w:t>辆。</w:t>
      </w:r>
    </w:p>
    <w:p w14:paraId="54014479">
      <w:pPr>
        <w:spacing w:line="600" w:lineRule="exact"/>
        <w:ind w:left="640"/>
        <w:rPr>
          <w:rFonts w:hint="eastAsia"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4620D6E2">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（一）财政拨款收入：指本年度从本级财政</w:t>
      </w:r>
      <w:r>
        <w:rPr>
          <w:rFonts w:hint="eastAsia" w:ascii="方正仿宋_GBK" w:eastAsia="方正仿宋_GBK"/>
          <w:color w:val="0D0D0D"/>
          <w:sz w:val="32"/>
          <w:szCs w:val="32"/>
          <w:lang w:eastAsia="zh-CN"/>
        </w:rPr>
        <w:t>单位</w:t>
      </w:r>
      <w:r>
        <w:rPr>
          <w:rFonts w:hint="eastAsia" w:ascii="方正仿宋_GBK" w:eastAsia="方正仿宋_GBK"/>
          <w:color w:val="0D0D0D"/>
          <w:sz w:val="32"/>
          <w:szCs w:val="32"/>
        </w:rPr>
        <w:t>取得的财政拨款，包括一般公共预算财政拨款和政府性基金预算财政拨款。</w:t>
      </w:r>
    </w:p>
    <w:p w14:paraId="1DC8A1BB">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（二）其他收入：指单位取得的除“财政拨款收入”、“事业收入”、“经营收入”等以外的收入。</w:t>
      </w:r>
    </w:p>
    <w:p w14:paraId="3CDF681F">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（三）基本支出：指为保障机构正常运转、完成日常工作任务而发生的人员经费和公用经费。</w:t>
      </w:r>
    </w:p>
    <w:p w14:paraId="13BFA60A">
      <w:pPr>
        <w:pStyle w:val="4"/>
        <w:tabs>
          <w:tab w:val="center" w:pos="4153"/>
          <w:tab w:val="left" w:pos="7275"/>
        </w:tabs>
        <w:spacing w:line="600" w:lineRule="exact"/>
        <w:ind w:firstLine="640"/>
        <w:jc w:val="left"/>
        <w:rPr>
          <w:rFonts w:hint="eastAsia" w:ascii="方正仿宋_GBK" w:eastAsia="方正仿宋_GBK"/>
          <w:color w:val="0D0D0D"/>
          <w:sz w:val="32"/>
          <w:szCs w:val="32"/>
        </w:rPr>
      </w:pPr>
      <w:r>
        <w:rPr>
          <w:rFonts w:hint="eastAsia" w:ascii="方正仿宋_GBK" w:eastAsia="方正仿宋_GBK"/>
          <w:color w:val="0D0D0D"/>
          <w:sz w:val="32"/>
          <w:szCs w:val="32"/>
        </w:rPr>
        <w:t>（四）项目支出：指在基本支出之外为完成特定行政任务和事业发展目标所发生的支出。</w:t>
      </w:r>
    </w:p>
    <w:p w14:paraId="179E7D77">
      <w:pPr>
        <w:ind w:firstLine="640" w:firstLineChars="200"/>
        <w:rPr>
          <w:rFonts w:hint="eastAsia" w:ascii="方正仿宋_GBK" w:hAnsi="仿宋_GB2312" w:cs="仿宋_GB2312"/>
          <w:color w:val="0D0D0D"/>
        </w:rPr>
      </w:pPr>
      <w:r>
        <w:rPr>
          <w:rFonts w:hint="eastAsia" w:ascii="方正仿宋_GBK"/>
          <w:color w:val="0D0D0D"/>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BDD358">
      <w:pPr>
        <w:ind w:firstLine="640" w:firstLineChars="200"/>
        <w:rPr>
          <w:rFonts w:hint="eastAsia" w:ascii="方正仿宋_GBK" w:hAnsi="仿宋_GB2312" w:cs="仿宋_GB2312"/>
          <w:color w:val="0D0D0D"/>
        </w:rPr>
      </w:pPr>
    </w:p>
    <w:p w14:paraId="45274B5E">
      <w:pPr>
        <w:ind w:firstLine="640" w:firstLineChars="200"/>
        <w:rPr>
          <w:rFonts w:hint="default" w:ascii="仿宋" w:hAnsi="仿宋" w:eastAsia="仿宋" w:cs="仿宋"/>
          <w:sz w:val="29"/>
          <w:szCs w:val="29"/>
          <w:lang w:val="en-US"/>
        </w:rPr>
        <w:sectPr>
          <w:footerReference r:id="rId3" w:type="default"/>
          <w:pgSz w:w="11900" w:h="16840"/>
          <w:pgMar w:top="1431" w:right="1724" w:bottom="1969" w:left="1410" w:header="0" w:footer="1592" w:gutter="0"/>
          <w:cols w:space="720" w:num="1"/>
        </w:sectPr>
      </w:pPr>
      <w:r>
        <w:rPr>
          <w:rFonts w:hint="eastAsia" w:ascii="方正仿宋_GBK" w:hAnsi="仿宋_GB2312" w:cs="仿宋_GB2312"/>
          <w:color w:val="0D0D0D"/>
          <w:lang w:eastAsia="zh-CN"/>
        </w:rPr>
        <w:t>单位</w:t>
      </w:r>
      <w:r>
        <w:rPr>
          <w:rFonts w:hint="eastAsia" w:ascii="方正仿宋_GBK" w:hAnsi="仿宋_GB2312" w:cs="仿宋_GB2312"/>
          <w:color w:val="0D0D0D"/>
        </w:rPr>
        <w:t>预算公开联系人：</w:t>
      </w:r>
      <w:r>
        <w:rPr>
          <w:rFonts w:hint="eastAsia" w:ascii="方正仿宋_GBK" w:hAnsi="仿宋_GB2312" w:cs="仿宋_GB2312"/>
          <w:color w:val="0D0D0D"/>
          <w:lang w:eastAsia="zh-CN"/>
        </w:rPr>
        <w:t>汪洋</w:t>
      </w:r>
      <w:r>
        <w:rPr>
          <w:rFonts w:hint="eastAsia" w:ascii="方正仿宋_GBK" w:eastAsia="方正仿宋_GBK"/>
          <w:sz w:val="32"/>
          <w:szCs w:val="32"/>
        </w:rPr>
        <w:t>，</w:t>
      </w:r>
      <w:r>
        <w:rPr>
          <w:rFonts w:hint="eastAsia" w:ascii="方正仿宋_GBK" w:hAnsi="仿宋_GB2312" w:cs="仿宋_GB2312"/>
          <w:color w:val="0D0D0D"/>
        </w:rPr>
        <w:t>联系方式：</w:t>
      </w:r>
      <w:r>
        <w:rPr>
          <w:rFonts w:hint="eastAsia" w:ascii="方正仿宋_GBK" w:hAnsi="仿宋_GB2312" w:cs="仿宋_GB2312"/>
          <w:color w:val="0D0D0D"/>
          <w:lang w:val="en-US" w:eastAsia="zh-CN"/>
        </w:rPr>
        <w:t>023-65770025</w:t>
      </w:r>
    </w:p>
    <w:p w14:paraId="451408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5F7D4F-8A8A-4F09-8810-1BB3FDBDDC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26315B-3136-4242-8E8E-A5D8B94B3E61}"/>
  </w:font>
  <w:font w:name="方正仿宋_GBK">
    <w:panose1 w:val="03000509000000000000"/>
    <w:charset w:val="86"/>
    <w:family w:val="script"/>
    <w:pitch w:val="default"/>
    <w:sig w:usb0="00000001" w:usb1="080E0000" w:usb2="00000000" w:usb3="00000000" w:csb0="00040000" w:csb1="00000000"/>
    <w:embedRegular r:id="rId3" w:fontKey="{4451CCF4-E21D-4AA7-B3F8-31C9C101B24C}"/>
  </w:font>
  <w:font w:name="仿宋">
    <w:panose1 w:val="02010609060101010101"/>
    <w:charset w:val="86"/>
    <w:family w:val="modern"/>
    <w:pitch w:val="default"/>
    <w:sig w:usb0="800002BF" w:usb1="38CF7CFA" w:usb2="00000016" w:usb3="00000000" w:csb0="00040001" w:csb1="00000000"/>
    <w:embedRegular r:id="rId4" w:fontKey="{FFC6727A-E5F3-48F0-B4BD-3DBF54620154}"/>
  </w:font>
  <w:font w:name="方正小标宋_GBK">
    <w:panose1 w:val="02000000000000000000"/>
    <w:charset w:val="86"/>
    <w:family w:val="script"/>
    <w:pitch w:val="default"/>
    <w:sig w:usb0="A00002BF" w:usb1="38CF7CFA" w:usb2="00082016" w:usb3="00000000" w:csb0="00040001" w:csb1="00000000"/>
    <w:embedRegular r:id="rId5" w:fontKey="{B5E24113-527B-478A-8F4E-BCF344857DBA}"/>
  </w:font>
  <w:font w:name="华文中宋">
    <w:altName w:val="宋体"/>
    <w:panose1 w:val="02010600040101010101"/>
    <w:charset w:val="86"/>
    <w:family w:val="auto"/>
    <w:pitch w:val="default"/>
    <w:sig w:usb0="00000000" w:usb1="00000000" w:usb2="00000010" w:usb3="00000000" w:csb0="0004009F" w:csb1="00000000"/>
    <w:embedRegular r:id="rId6" w:fontKey="{3EDB2B7C-81B3-44C6-A851-3C7C5C3B2400}"/>
  </w:font>
  <w:font w:name="方正黑体_GBK">
    <w:panose1 w:val="02010600010101010101"/>
    <w:charset w:val="86"/>
    <w:family w:val="script"/>
    <w:pitch w:val="default"/>
    <w:sig w:usb0="00000001" w:usb1="080E0000" w:usb2="00000000" w:usb3="00000000" w:csb0="00040000" w:csb1="00000000"/>
    <w:embedRegular r:id="rId7" w:fontKey="{D128E181-A288-4115-B106-ED1AD2DFD19C}"/>
  </w:font>
  <w:font w:name="仿宋_GB2312">
    <w:altName w:val="仿宋"/>
    <w:panose1 w:val="02010609030101010101"/>
    <w:charset w:val="86"/>
    <w:family w:val="modern"/>
    <w:pitch w:val="default"/>
    <w:sig w:usb0="00000000" w:usb1="00000000" w:usb2="00000010" w:usb3="00000000" w:csb0="00040000" w:csb1="00000000"/>
    <w:embedRegular r:id="rId8" w:fontKey="{66A77164-7345-4257-B7CD-64A53D564D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97FE">
    <w:pPr>
      <w:spacing w:line="233" w:lineRule="auto"/>
      <w:ind w:left="7649"/>
      <w:rPr>
        <w:rFonts w:ascii="宋体" w:hAnsi="宋体" w:eastAsia="宋体" w:cs="宋体"/>
        <w:sz w:val="29"/>
        <w:szCs w:val="29"/>
      </w:rPr>
    </w:pPr>
    <w:r>
      <w:rPr>
        <w:rFonts w:ascii="宋体" w:hAnsi="宋体" w:eastAsia="宋体" w:cs="宋体"/>
        <w:spacing w:val="-3"/>
        <w:sz w:val="29"/>
        <w:szCs w:val="29"/>
      </w:rPr>
      <w:t>—7—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804A4"/>
    <w:rsid w:val="2BAD1D9E"/>
    <w:rsid w:val="5DD14CB2"/>
    <w:rsid w:val="61FA7D09"/>
    <w:rsid w:val="6592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1520</Words>
  <Characters>1626</Characters>
  <Lines>0</Lines>
  <Paragraphs>0</Paragraphs>
  <TotalTime>1</TotalTime>
  <ScaleCrop>false</ScaleCrop>
  <LinksUpToDate>false</LinksUpToDate>
  <CharactersWithSpaces>1628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2025-04-14T03:36:00Z</dcterms:created>
  <dc:creator>Administrator</dc:creator>
  <cp:lastModifiedBy>silence</cp:lastModifiedBy>
  <dcterms:modified xsi:type="dcterms:W3CDTF">2025-05-07T02:08:29Z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DAA1D077C3E64AA993821A8644C8B2E0_12</vt:lpwstr>
  </property>
</Properties>
</file>