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F622F">
      <w:pPr>
        <w:spacing w:line="480" w:lineRule="exact"/>
      </w:pPr>
      <w:r>
        <w:rPr>
          <w:rFonts w:hint="eastAsia" w:ascii="Times New Roman" w:hAnsi="Times New Roman" w:eastAsia="方正黑体_GBK" w:cs="方正黑体_GBK"/>
          <w:bCs/>
          <w:kern w:val="0"/>
          <w:sz w:val="32"/>
          <w:szCs w:val="32"/>
        </w:rPr>
        <w:t>附件4</w:t>
      </w:r>
    </w:p>
    <w:p w14:paraId="2F0EE816">
      <w:pPr>
        <w:snapToGrid w:val="0"/>
        <w:spacing w:line="480" w:lineRule="exact"/>
        <w:jc w:val="center"/>
        <w:rPr>
          <w:rFonts w:ascii="Times New Roman" w:hAnsi="Times New Roman" w:eastAsia="方正小标宋_GBK"/>
          <w:sz w:val="44"/>
          <w:szCs w:val="44"/>
          <w:shd w:val="clear" w:color="auto" w:fill="FFFFFF"/>
        </w:rPr>
      </w:pPr>
      <w:r>
        <w:rPr>
          <w:rFonts w:hint="eastAsia" w:ascii="Times New Roman" w:hAnsi="Times New Roman" w:eastAsia="方正小标宋_GBK"/>
          <w:bCs/>
          <w:kern w:val="0"/>
          <w:sz w:val="44"/>
          <w:szCs w:val="44"/>
        </w:rPr>
        <w:t>“</w:t>
      </w:r>
      <w:r>
        <w:rPr>
          <w:rFonts w:ascii="Times New Roman" w:hAnsi="Times New Roman" w:eastAsia="方正小标宋_GBK"/>
          <w:bCs/>
          <w:kern w:val="0"/>
          <w:sz w:val="44"/>
          <w:szCs w:val="44"/>
        </w:rPr>
        <w:t>三项岗位</w:t>
      </w:r>
      <w:r>
        <w:rPr>
          <w:rFonts w:hint="eastAsia" w:ascii="Times New Roman" w:hAnsi="Times New Roman" w:eastAsia="方正小标宋_GBK"/>
          <w:bCs/>
          <w:kern w:val="0"/>
          <w:sz w:val="44"/>
          <w:szCs w:val="44"/>
        </w:rPr>
        <w:t>”</w:t>
      </w:r>
      <w:r>
        <w:rPr>
          <w:rFonts w:ascii="Times New Roman" w:hAnsi="Times New Roman" w:eastAsia="方正小标宋_GBK"/>
          <w:bCs/>
          <w:kern w:val="0"/>
          <w:sz w:val="44"/>
          <w:szCs w:val="44"/>
        </w:rPr>
        <w:t>人员</w:t>
      </w:r>
      <w:r>
        <w:rPr>
          <w:rFonts w:ascii="Times New Roman" w:hAnsi="Times New Roman" w:eastAsia="方正小标宋_GBK"/>
          <w:sz w:val="44"/>
          <w:szCs w:val="44"/>
          <w:shd w:val="clear" w:color="auto" w:fill="FFFFFF"/>
        </w:rPr>
        <w:t>持证上岗专项执法</w:t>
      </w:r>
      <w:r>
        <w:rPr>
          <w:rFonts w:hint="eastAsia" w:ascii="Times New Roman" w:hAnsi="Times New Roman" w:eastAsia="方正小标宋_GBK"/>
          <w:sz w:val="44"/>
          <w:szCs w:val="44"/>
          <w:shd w:val="clear" w:color="auto" w:fill="FFFFFF"/>
        </w:rPr>
        <w:t>行动</w:t>
      </w:r>
      <w:r>
        <w:rPr>
          <w:rFonts w:ascii="Times New Roman" w:hAnsi="Times New Roman" w:eastAsia="方正小标宋_GBK"/>
          <w:sz w:val="44"/>
          <w:szCs w:val="44"/>
          <w:shd w:val="clear" w:color="auto" w:fill="FFFFFF"/>
        </w:rPr>
        <w:t>检查表</w:t>
      </w:r>
    </w:p>
    <w:p w14:paraId="1918ABEC">
      <w:pPr>
        <w:spacing w:line="480" w:lineRule="exact"/>
        <w:rPr>
          <w:rFonts w:hint="eastAsia"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bCs/>
          <w:kern w:val="0"/>
          <w:sz w:val="28"/>
          <w:szCs w:val="28"/>
        </w:rPr>
        <w:t>村（社区）：曾家镇XX村（社）   企业名称：               所属行业：       联系人：    电话：</w:t>
      </w:r>
    </w:p>
    <w:tbl>
      <w:tblPr>
        <w:tblStyle w:val="5"/>
        <w:tblW w:w="14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6578"/>
        <w:gridCol w:w="3195"/>
        <w:gridCol w:w="1469"/>
        <w:gridCol w:w="879"/>
      </w:tblGrid>
      <w:tr w14:paraId="0C8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35" w:type="dxa"/>
            <w:noWrap w:val="0"/>
            <w:vAlign w:val="top"/>
          </w:tcPr>
          <w:p w14:paraId="7B51ED80">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检查内容</w:t>
            </w:r>
          </w:p>
        </w:tc>
        <w:tc>
          <w:tcPr>
            <w:tcW w:w="6578" w:type="dxa"/>
            <w:noWrap w:val="0"/>
            <w:vAlign w:val="top"/>
          </w:tcPr>
          <w:p w14:paraId="737C890C">
            <w:pPr>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bCs/>
                <w:sz w:val="28"/>
                <w:szCs w:val="28"/>
              </w:rPr>
              <w:t>检查依据</w:t>
            </w:r>
          </w:p>
        </w:tc>
        <w:tc>
          <w:tcPr>
            <w:tcW w:w="3195" w:type="dxa"/>
            <w:noWrap w:val="0"/>
            <w:vAlign w:val="top"/>
          </w:tcPr>
          <w:p w14:paraId="7293A0D4">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检查项目</w:t>
            </w:r>
          </w:p>
        </w:tc>
        <w:tc>
          <w:tcPr>
            <w:tcW w:w="1469" w:type="dxa"/>
            <w:noWrap w:val="0"/>
            <w:vAlign w:val="top"/>
          </w:tcPr>
          <w:p w14:paraId="5790DBDD">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检查情况</w:t>
            </w:r>
          </w:p>
        </w:tc>
        <w:tc>
          <w:tcPr>
            <w:tcW w:w="879" w:type="dxa"/>
            <w:noWrap w:val="0"/>
            <w:vAlign w:val="top"/>
          </w:tcPr>
          <w:p w14:paraId="4D0B4A37">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备注</w:t>
            </w:r>
          </w:p>
        </w:tc>
      </w:tr>
      <w:tr w14:paraId="5B5D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5" w:type="dxa"/>
            <w:noWrap w:val="0"/>
            <w:vAlign w:val="center"/>
          </w:tcPr>
          <w:p w14:paraId="74B828F2">
            <w:pPr>
              <w:spacing w:line="260" w:lineRule="exact"/>
              <w:jc w:val="lef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生产经营单位的主要负责人和安全生产管理人员具备与本单位所从事的市场经营活动相应的安全生产知识和管理能力，经考核合格。</w:t>
            </w:r>
          </w:p>
        </w:tc>
        <w:tc>
          <w:tcPr>
            <w:tcW w:w="6578" w:type="dxa"/>
            <w:noWrap w:val="0"/>
            <w:vAlign w:val="center"/>
          </w:tcPr>
          <w:p w14:paraId="620192BE">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《安全生产法》第二十七条第一款 生产经营单位的主要负责人和安全生产管理人员必须具备与本单位所从事的生产经营活动相应的安全生产知识和管理能力。</w:t>
            </w:r>
          </w:p>
          <w:p w14:paraId="2C44C183">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《安全生产法》第二十七条第二款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477D6178">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F1D38BA">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（一）未按照规定设置安全生产管理机构或者配备安全生产管理人员、注册安全工程师的；</w:t>
            </w:r>
          </w:p>
          <w:p w14:paraId="0C02D51E">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（二）危险物品的生产、经营、储存、装卸单位以及矿山、金属冶炼、建筑施工、运输单位的主要负责人和安全生产管理人员未按照规定经考核合格的。</w:t>
            </w:r>
          </w:p>
        </w:tc>
        <w:tc>
          <w:tcPr>
            <w:tcW w:w="3195" w:type="dxa"/>
            <w:noWrap w:val="0"/>
            <w:vAlign w:val="center"/>
          </w:tcPr>
          <w:p w14:paraId="4B6DF70F">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查企业组织机构设置文件、安全生产管理机构设置文件、主要负责人和安全生产管理人员安全生产知识和管理能力考核合格证明及安全生产责任制等。</w:t>
            </w:r>
          </w:p>
          <w:p w14:paraId="4A57517F">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1.考核合格证明是否有效；</w:t>
            </w:r>
          </w:p>
          <w:p w14:paraId="6A484D8C">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2.应考核合格人数；</w:t>
            </w:r>
          </w:p>
          <w:p w14:paraId="2B0BC815">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3.已考核合格人数；</w:t>
            </w:r>
          </w:p>
          <w:p w14:paraId="09933678">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4.考核合格证明过期人数；</w:t>
            </w:r>
          </w:p>
          <w:p w14:paraId="6849E2B9">
            <w:pPr>
              <w:spacing w:line="260" w:lineRule="exac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5.未考核合格人数。</w:t>
            </w:r>
          </w:p>
        </w:tc>
        <w:tc>
          <w:tcPr>
            <w:tcW w:w="1469" w:type="dxa"/>
            <w:noWrap w:val="0"/>
            <w:vAlign w:val="top"/>
          </w:tcPr>
          <w:p w14:paraId="4D4CF074">
            <w:pPr>
              <w:spacing w:line="260" w:lineRule="exact"/>
              <w:rPr>
                <w:rFonts w:ascii="Times New Roman" w:hAnsi="Times New Roman" w:eastAsia="方正仿宋_GBK"/>
                <w:sz w:val="22"/>
              </w:rPr>
            </w:pPr>
          </w:p>
        </w:tc>
        <w:tc>
          <w:tcPr>
            <w:tcW w:w="879" w:type="dxa"/>
            <w:noWrap w:val="0"/>
            <w:vAlign w:val="top"/>
          </w:tcPr>
          <w:p w14:paraId="2E4ACD5D">
            <w:pPr>
              <w:spacing w:line="260" w:lineRule="exact"/>
              <w:rPr>
                <w:rFonts w:ascii="Times New Roman" w:hAnsi="Times New Roman" w:eastAsia="方正仿宋_GBK"/>
                <w:sz w:val="22"/>
              </w:rPr>
            </w:pPr>
          </w:p>
        </w:tc>
      </w:tr>
      <w:tr w14:paraId="2FB3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035" w:type="dxa"/>
            <w:noWrap w:val="0"/>
            <w:vAlign w:val="center"/>
          </w:tcPr>
          <w:p w14:paraId="0F618EC9">
            <w:pPr>
              <w:spacing w:line="260" w:lineRule="exact"/>
              <w:jc w:val="lef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特种作业人员是否经专门培训并持有相应的特种作业操作证、操作证是否在有效期内、所操作的项目类别是否与操作证所注明的类别一致</w:t>
            </w:r>
          </w:p>
        </w:tc>
        <w:tc>
          <w:tcPr>
            <w:tcW w:w="6578" w:type="dxa"/>
            <w:noWrap w:val="0"/>
            <w:vAlign w:val="center"/>
          </w:tcPr>
          <w:p w14:paraId="52573C87">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《安全生产法》第三十条第一款 生产经营单位的特种作业人员必须按照国家有关规定经专门的安全作业培训，取得相应资格，方可上岗作业。</w:t>
            </w:r>
          </w:p>
          <w:p w14:paraId="1102F22A">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9441136">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（七）特种作业人员未按照规定经专门的安全作业培训并取得相应资格，上岗作业的。</w:t>
            </w:r>
          </w:p>
        </w:tc>
        <w:tc>
          <w:tcPr>
            <w:tcW w:w="3195" w:type="dxa"/>
            <w:noWrap w:val="0"/>
            <w:vAlign w:val="center"/>
          </w:tcPr>
          <w:p w14:paraId="6983514B">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查企业职工花名册、特作证原件及安全现状评价报告（或标准化资料）：</w:t>
            </w:r>
          </w:p>
          <w:p w14:paraId="30A2CBD7">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1.证件是否有效；</w:t>
            </w:r>
          </w:p>
          <w:p w14:paraId="4381FE2A">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2.应取证人数；</w:t>
            </w:r>
          </w:p>
          <w:p w14:paraId="09E4CB8A">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3.已取证人数；</w:t>
            </w:r>
          </w:p>
          <w:p w14:paraId="750FFFAA">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4.证件过期人数；</w:t>
            </w:r>
          </w:p>
          <w:p w14:paraId="7325DD1E">
            <w:pPr>
              <w:spacing w:line="26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5.未取证人数。</w:t>
            </w:r>
          </w:p>
        </w:tc>
        <w:tc>
          <w:tcPr>
            <w:tcW w:w="1469" w:type="dxa"/>
            <w:noWrap w:val="0"/>
            <w:vAlign w:val="top"/>
          </w:tcPr>
          <w:p w14:paraId="76E69EBE">
            <w:pPr>
              <w:spacing w:line="260" w:lineRule="exact"/>
              <w:rPr>
                <w:rFonts w:ascii="Times New Roman" w:hAnsi="Times New Roman" w:eastAsia="方正仿宋_GBK"/>
                <w:sz w:val="22"/>
              </w:rPr>
            </w:pPr>
          </w:p>
        </w:tc>
        <w:tc>
          <w:tcPr>
            <w:tcW w:w="879" w:type="dxa"/>
            <w:noWrap w:val="0"/>
            <w:vAlign w:val="top"/>
          </w:tcPr>
          <w:p w14:paraId="2809355D">
            <w:pPr>
              <w:spacing w:line="260" w:lineRule="exact"/>
              <w:rPr>
                <w:rFonts w:ascii="Times New Roman" w:hAnsi="Times New Roman" w:eastAsia="方正仿宋_GBK"/>
                <w:sz w:val="22"/>
              </w:rPr>
            </w:pPr>
          </w:p>
        </w:tc>
      </w:tr>
      <w:tr w14:paraId="7EBB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35" w:type="dxa"/>
            <w:noWrap w:val="0"/>
            <w:vAlign w:val="top"/>
          </w:tcPr>
          <w:p w14:paraId="7F977B9E">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检查内容</w:t>
            </w:r>
          </w:p>
        </w:tc>
        <w:tc>
          <w:tcPr>
            <w:tcW w:w="6578" w:type="dxa"/>
            <w:noWrap w:val="0"/>
            <w:vAlign w:val="top"/>
          </w:tcPr>
          <w:p w14:paraId="2DEF6A8D">
            <w:pPr>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bCs/>
                <w:sz w:val="28"/>
                <w:szCs w:val="28"/>
              </w:rPr>
              <w:t>检查依据</w:t>
            </w:r>
          </w:p>
        </w:tc>
        <w:tc>
          <w:tcPr>
            <w:tcW w:w="3195" w:type="dxa"/>
            <w:noWrap w:val="0"/>
            <w:vAlign w:val="top"/>
          </w:tcPr>
          <w:p w14:paraId="46BF5A99">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检查项目</w:t>
            </w:r>
          </w:p>
        </w:tc>
        <w:tc>
          <w:tcPr>
            <w:tcW w:w="1469" w:type="dxa"/>
            <w:noWrap w:val="0"/>
            <w:vAlign w:val="top"/>
          </w:tcPr>
          <w:p w14:paraId="18289B0A">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检查情况</w:t>
            </w:r>
          </w:p>
        </w:tc>
        <w:tc>
          <w:tcPr>
            <w:tcW w:w="879" w:type="dxa"/>
            <w:noWrap w:val="0"/>
            <w:vAlign w:val="top"/>
          </w:tcPr>
          <w:p w14:paraId="5EFB62C5">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备注</w:t>
            </w:r>
          </w:p>
        </w:tc>
      </w:tr>
      <w:tr w14:paraId="59E0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2" w:hRule="atLeast"/>
          <w:jc w:val="center"/>
        </w:trPr>
        <w:tc>
          <w:tcPr>
            <w:tcW w:w="2035" w:type="dxa"/>
            <w:noWrap w:val="0"/>
            <w:vAlign w:val="center"/>
          </w:tcPr>
          <w:p w14:paraId="04772055">
            <w:pPr>
              <w:spacing w:line="340" w:lineRule="exact"/>
              <w:jc w:val="left"/>
              <w:rPr>
                <w:rFonts w:ascii="Times New Roman" w:hAnsi="Times New Roman" w:eastAsia="方正仿宋_GBK"/>
                <w:bCs/>
                <w:sz w:val="22"/>
              </w:rPr>
            </w:pPr>
            <w:r>
              <w:rPr>
                <w:rFonts w:ascii="Times New Roman" w:hAnsi="Times New Roman" w:eastAsia="方正仿宋_GBK"/>
                <w:bCs/>
                <w:sz w:val="22"/>
              </w:rPr>
              <w:t>生产经营单位是否对特种作业人员定期开展安全教育培训，并建立特种作业人员相关档案</w:t>
            </w:r>
          </w:p>
        </w:tc>
        <w:tc>
          <w:tcPr>
            <w:tcW w:w="6578" w:type="dxa"/>
            <w:noWrap w:val="0"/>
            <w:vAlign w:val="center"/>
          </w:tcPr>
          <w:p w14:paraId="2F1C516D">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《安全生产法》第二十八条第一款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82545D4">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《安全生产法》第二十八条第四款 生产经营单位应当建立安全生产教育和培训档案，如实记录安全生产教育和培训的时间、内容、参加人员以及考核结果等情况。</w:t>
            </w:r>
          </w:p>
          <w:p w14:paraId="3B4C0B1B">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2FF3F85">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（三）未按照规定对从业人员、被派遣劳动者、实习学生进行安全生产教育和培训，或者未按照规定如实告知有关的安全生产事项的；</w:t>
            </w:r>
          </w:p>
          <w:p w14:paraId="3C07AD58">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（四）未如实记录安全生产教育和培训情况的。</w:t>
            </w:r>
          </w:p>
          <w:p w14:paraId="44FAAAE7">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《生产经营单位安全培训规定》第十三条 生产经营单位新上岗的从业人员，岗前安全培训时间不得少于24学时。</w:t>
            </w:r>
          </w:p>
          <w:p w14:paraId="7ED04E61">
            <w:pPr>
              <w:spacing w:line="340" w:lineRule="exact"/>
              <w:rPr>
                <w:rFonts w:ascii="Times New Roman" w:hAnsi="Times New Roman" w:eastAsia="方正仿宋_GBK"/>
                <w:bCs/>
                <w:kern w:val="0"/>
                <w:sz w:val="22"/>
              </w:rPr>
            </w:pPr>
            <w:r>
              <w:rPr>
                <w:rFonts w:hint="eastAsia" w:ascii="方正仿宋_GBK" w:hAnsi="方正仿宋_GBK" w:eastAsia="方正仿宋_GBK" w:cs="方正仿宋_GBK"/>
                <w:bCs/>
                <w:kern w:val="0"/>
                <w:sz w:val="22"/>
              </w:rPr>
              <w:t>煤矿、非煤矿山、危险化学品、烟花爆竹、金属冶炼等生产经营单位新上岗的从业人员安全培训时间不得少于72学时，每年再培训的时间不得少于20学时。</w:t>
            </w:r>
          </w:p>
        </w:tc>
        <w:tc>
          <w:tcPr>
            <w:tcW w:w="3195" w:type="dxa"/>
            <w:noWrap w:val="0"/>
            <w:vAlign w:val="center"/>
          </w:tcPr>
          <w:p w14:paraId="2451597B">
            <w:pPr>
              <w:spacing w:line="34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1.查看2023年度安全培训计划，计划要明确培训班名称、培训内容、培训对象、参训人数等内容；根据计划随机抽取1—2个培训班查看培训过程管理资料，包括培训方案（通知）、课程设计、考勤表、考试试卷及成绩汇总表、小结等，检查计划执行情况；查特作人员专项培训、经常性安全教育培训、三级教育以及四新、换岗、复工前安全教育等内容；以及安全培训过程管理制度等。</w:t>
            </w:r>
          </w:p>
          <w:p w14:paraId="534DD262">
            <w:pPr>
              <w:spacing w:line="340" w:lineRule="exact"/>
              <w:rPr>
                <w:rFonts w:ascii="Times New Roman" w:hAnsi="Times New Roman" w:eastAsia="方正仿宋_GBK"/>
                <w:bCs/>
                <w:kern w:val="0"/>
                <w:sz w:val="22"/>
              </w:rPr>
            </w:pPr>
            <w:r>
              <w:rPr>
                <w:rFonts w:hint="eastAsia" w:ascii="方正仿宋_GBK" w:hAnsi="方正仿宋_GBK" w:eastAsia="方正仿宋_GBK" w:cs="方正仿宋_GBK"/>
                <w:bCs/>
                <w:kern w:val="0"/>
                <w:sz w:val="22"/>
              </w:rPr>
              <w:t>2.查特作人员档案，核实年龄、学历和体检健康档案。查《企业职工花名册》，必须有职工岗位（工种）信息，《特种作业人员安全培训台账》。</w:t>
            </w:r>
          </w:p>
        </w:tc>
        <w:tc>
          <w:tcPr>
            <w:tcW w:w="1469" w:type="dxa"/>
            <w:noWrap w:val="0"/>
            <w:vAlign w:val="top"/>
          </w:tcPr>
          <w:p w14:paraId="5E14F5E4">
            <w:pPr>
              <w:spacing w:line="340" w:lineRule="exact"/>
              <w:rPr>
                <w:rFonts w:ascii="Times New Roman" w:hAnsi="Times New Roman" w:eastAsia="方正仿宋_GBK"/>
                <w:sz w:val="22"/>
              </w:rPr>
            </w:pPr>
          </w:p>
        </w:tc>
        <w:tc>
          <w:tcPr>
            <w:tcW w:w="879" w:type="dxa"/>
            <w:noWrap w:val="0"/>
            <w:vAlign w:val="top"/>
          </w:tcPr>
          <w:p w14:paraId="315B77B8">
            <w:pPr>
              <w:spacing w:line="340" w:lineRule="exact"/>
              <w:rPr>
                <w:rFonts w:ascii="Times New Roman" w:hAnsi="Times New Roman" w:eastAsia="方正仿宋_GBK"/>
                <w:sz w:val="22"/>
              </w:rPr>
            </w:pPr>
          </w:p>
        </w:tc>
      </w:tr>
    </w:tbl>
    <w:p w14:paraId="1C78DF8B">
      <w:pPr>
        <w:spacing w:line="300" w:lineRule="exact"/>
        <w:jc w:val="center"/>
        <w:rPr>
          <w:rFonts w:hint="eastAsia" w:ascii="Times New Roman" w:hAnsi="Times New Roman" w:eastAsia="方正黑体_GBK" w:cs="方正黑体_GBK"/>
          <w:bCs/>
          <w:sz w:val="22"/>
        </w:rPr>
      </w:pPr>
      <w:r>
        <w:rPr>
          <w:rFonts w:hint="eastAsia" w:ascii="Times New Roman" w:hAnsi="Times New Roman" w:eastAsia="方正黑体_GBK" w:cs="方正黑体_GBK"/>
          <w:bCs/>
          <w:sz w:val="2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360"/>
        <w:gridCol w:w="3195"/>
        <w:gridCol w:w="1469"/>
        <w:gridCol w:w="879"/>
      </w:tblGrid>
      <w:tr w14:paraId="6392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2253" w:type="dxa"/>
            <w:noWrap w:val="0"/>
            <w:vAlign w:val="top"/>
          </w:tcPr>
          <w:p w14:paraId="1201FAEE">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检查内容</w:t>
            </w:r>
          </w:p>
        </w:tc>
        <w:tc>
          <w:tcPr>
            <w:tcW w:w="6360" w:type="dxa"/>
            <w:noWrap w:val="0"/>
            <w:vAlign w:val="center"/>
          </w:tcPr>
          <w:p w14:paraId="68363BF4">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检查依据</w:t>
            </w:r>
          </w:p>
        </w:tc>
        <w:tc>
          <w:tcPr>
            <w:tcW w:w="3195" w:type="dxa"/>
            <w:noWrap w:val="0"/>
            <w:vAlign w:val="center"/>
          </w:tcPr>
          <w:p w14:paraId="669E83CD">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检查项目</w:t>
            </w:r>
          </w:p>
        </w:tc>
        <w:tc>
          <w:tcPr>
            <w:tcW w:w="1469" w:type="dxa"/>
            <w:noWrap w:val="0"/>
            <w:vAlign w:val="top"/>
          </w:tcPr>
          <w:p w14:paraId="7F309968">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检查情况</w:t>
            </w:r>
          </w:p>
        </w:tc>
        <w:tc>
          <w:tcPr>
            <w:tcW w:w="879" w:type="dxa"/>
            <w:noWrap w:val="0"/>
            <w:vAlign w:val="top"/>
          </w:tcPr>
          <w:p w14:paraId="68D350E3">
            <w:pPr>
              <w:jc w:val="center"/>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备注</w:t>
            </w:r>
          </w:p>
        </w:tc>
      </w:tr>
      <w:tr w14:paraId="0F8B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blHeader/>
          <w:jc w:val="center"/>
        </w:trPr>
        <w:tc>
          <w:tcPr>
            <w:tcW w:w="2253" w:type="dxa"/>
            <w:noWrap w:val="0"/>
            <w:vAlign w:val="center"/>
          </w:tcPr>
          <w:p w14:paraId="34B0E0B8">
            <w:pPr>
              <w:spacing w:line="300" w:lineRule="exact"/>
              <w:jc w:val="lef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操作证与人员身份是否相符</w:t>
            </w:r>
          </w:p>
        </w:tc>
        <w:tc>
          <w:tcPr>
            <w:tcW w:w="6360" w:type="dxa"/>
            <w:noWrap w:val="0"/>
            <w:vAlign w:val="center"/>
          </w:tcPr>
          <w:p w14:paraId="2AA024E8">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p w14:paraId="117FBAF5">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第四十一条 特种作业人员伪造、涂改特种作业操作证或者使用伪造的特种作业操作证的，给予警告，并处1000元以上5000元以下的罚款。</w:t>
            </w:r>
          </w:p>
          <w:p w14:paraId="7649A78E">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特种作业人员转借、转让、冒用特种作业操作证的，给予警告，并处2000元以上1万元以下的罚款。</w:t>
            </w:r>
          </w:p>
        </w:tc>
        <w:tc>
          <w:tcPr>
            <w:tcW w:w="3195" w:type="dxa"/>
            <w:noWrap w:val="0"/>
            <w:vAlign w:val="center"/>
          </w:tcPr>
          <w:p w14:paraId="5C4D189B">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1.现场抽查操作人员，核对人员相关信息和特作知识掌握情况。</w:t>
            </w:r>
          </w:p>
          <w:p w14:paraId="195C8BD7">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2.抽查特作证，查验真伪。</w:t>
            </w:r>
          </w:p>
        </w:tc>
        <w:tc>
          <w:tcPr>
            <w:tcW w:w="1469" w:type="dxa"/>
            <w:noWrap w:val="0"/>
            <w:vAlign w:val="top"/>
          </w:tcPr>
          <w:p w14:paraId="07CBD151">
            <w:pPr>
              <w:spacing w:line="300" w:lineRule="exact"/>
              <w:rPr>
                <w:rFonts w:ascii="Times New Roman" w:hAnsi="Times New Roman" w:eastAsia="方正仿宋_GBK"/>
                <w:sz w:val="22"/>
              </w:rPr>
            </w:pPr>
          </w:p>
        </w:tc>
        <w:tc>
          <w:tcPr>
            <w:tcW w:w="879" w:type="dxa"/>
            <w:noWrap w:val="0"/>
            <w:vAlign w:val="top"/>
          </w:tcPr>
          <w:p w14:paraId="6C730F51">
            <w:pPr>
              <w:spacing w:line="300" w:lineRule="exact"/>
              <w:rPr>
                <w:rFonts w:ascii="Times New Roman" w:hAnsi="Times New Roman" w:eastAsia="方正仿宋_GBK"/>
                <w:sz w:val="22"/>
              </w:rPr>
            </w:pPr>
          </w:p>
        </w:tc>
      </w:tr>
      <w:tr w14:paraId="501B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blHeader/>
          <w:jc w:val="center"/>
        </w:trPr>
        <w:tc>
          <w:tcPr>
            <w:tcW w:w="2253" w:type="dxa"/>
            <w:noWrap w:val="0"/>
            <w:vAlign w:val="center"/>
          </w:tcPr>
          <w:p w14:paraId="7565F682">
            <w:pPr>
              <w:spacing w:line="300" w:lineRule="exact"/>
              <w:jc w:val="left"/>
              <w:rPr>
                <w:rFonts w:hint="eastAsia" w:ascii="方正仿宋_GBK" w:hAnsi="方正仿宋_GBK" w:eastAsia="方正仿宋_GBK" w:cs="方正仿宋_GBK"/>
                <w:bCs/>
                <w:sz w:val="22"/>
              </w:rPr>
            </w:pPr>
            <w:r>
              <w:rPr>
                <w:rFonts w:hint="eastAsia" w:ascii="方正仿宋_GBK" w:hAnsi="方正仿宋_GBK" w:eastAsia="方正仿宋_GBK" w:cs="方正仿宋_GBK"/>
                <w:bCs/>
                <w:sz w:val="22"/>
              </w:rPr>
              <w:t>特殊工种作业安全操作规程的制定及落实情况</w:t>
            </w:r>
          </w:p>
        </w:tc>
        <w:tc>
          <w:tcPr>
            <w:tcW w:w="6360" w:type="dxa"/>
            <w:noWrap w:val="0"/>
            <w:vAlign w:val="center"/>
          </w:tcPr>
          <w:p w14:paraId="6BB001FC">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《安全生产法》第二十一条 生产经营单位的主要负责人对本单位安全生产工作负有下列职责：</w:t>
            </w:r>
          </w:p>
          <w:p w14:paraId="27539DFF">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（一）建立健全并落实本单位全员安全生产责任制，加强安全生产标准化建设；</w:t>
            </w:r>
          </w:p>
          <w:p w14:paraId="2BBA9236">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（二）组织制定并实施本单位安全生产规章制度和操作规程。</w:t>
            </w:r>
          </w:p>
          <w:p w14:paraId="1439B3BE">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《安全生产法》第一百零七条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tc>
        <w:tc>
          <w:tcPr>
            <w:tcW w:w="3195" w:type="dxa"/>
            <w:noWrap w:val="0"/>
            <w:vAlign w:val="center"/>
          </w:tcPr>
          <w:p w14:paraId="6F0086E0">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1.查特殊工种的操作规程，抽查其合法合规情况。</w:t>
            </w:r>
          </w:p>
          <w:p w14:paraId="079640CA">
            <w:pPr>
              <w:spacing w:line="300" w:lineRule="exact"/>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rPr>
              <w:t>2.查操作规程的落实情况，查企业安全检查记录，针对性地查违规违章及其处理的记录。</w:t>
            </w:r>
          </w:p>
        </w:tc>
        <w:tc>
          <w:tcPr>
            <w:tcW w:w="1469" w:type="dxa"/>
            <w:noWrap w:val="0"/>
            <w:vAlign w:val="top"/>
          </w:tcPr>
          <w:p w14:paraId="58297A8A">
            <w:pPr>
              <w:spacing w:line="300" w:lineRule="exact"/>
              <w:rPr>
                <w:rFonts w:ascii="Times New Roman" w:hAnsi="Times New Roman" w:eastAsia="方正仿宋_GBK"/>
                <w:sz w:val="22"/>
              </w:rPr>
            </w:pPr>
          </w:p>
        </w:tc>
        <w:tc>
          <w:tcPr>
            <w:tcW w:w="879" w:type="dxa"/>
            <w:noWrap w:val="0"/>
            <w:vAlign w:val="top"/>
          </w:tcPr>
          <w:p w14:paraId="0675E973">
            <w:pPr>
              <w:spacing w:line="300" w:lineRule="exact"/>
              <w:rPr>
                <w:rFonts w:ascii="Times New Roman" w:hAnsi="Times New Roman" w:eastAsia="方正仿宋_GBK"/>
                <w:sz w:val="22"/>
              </w:rPr>
            </w:pPr>
          </w:p>
        </w:tc>
      </w:tr>
    </w:tbl>
    <w:p w14:paraId="2139F4BB">
      <w:pPr>
        <w:rPr>
          <w:rFonts w:ascii="Times New Roman" w:hAnsi="Times New Roman" w:eastAsia="方正仿宋_GBK"/>
          <w:sz w:val="32"/>
          <w:szCs w:val="32"/>
        </w:rPr>
      </w:pPr>
      <w:r>
        <w:rPr>
          <w:rFonts w:ascii="Times New Roman" w:hAnsi="Times New Roman" w:eastAsia="方正仿宋_GBK"/>
          <w:sz w:val="32"/>
          <w:szCs w:val="32"/>
        </w:rPr>
        <w:t>注：如法律法规另有规定的从其规定。</w:t>
      </w:r>
    </w:p>
    <w:p w14:paraId="78494D9E">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7EF739-F77D-41FB-8F74-F4CF843D5283}"/>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60BF5B60-2C39-48C8-A174-E59BA43DD474}"/>
  </w:font>
  <w:font w:name="方正黑体_GBK">
    <w:altName w:val="微软雅黑"/>
    <w:panose1 w:val="03000509000000000000"/>
    <w:charset w:val="86"/>
    <w:family w:val="script"/>
    <w:pitch w:val="default"/>
    <w:sig w:usb0="00000000" w:usb1="00000000" w:usb2="00000010" w:usb3="00000000" w:csb0="00040000" w:csb1="00000000"/>
    <w:embedRegular r:id="rId3" w:fontKey="{68430E5D-9E3E-4E72-8EC0-D471986B93F1}"/>
  </w:font>
  <w:font w:name="方正小标宋_GBK">
    <w:panose1 w:val="02000000000000000000"/>
    <w:charset w:val="86"/>
    <w:family w:val="script"/>
    <w:pitch w:val="default"/>
    <w:sig w:usb0="A00002BF" w:usb1="38CF7CFA" w:usb2="00082016" w:usb3="00000000" w:csb0="00040001" w:csb1="00000000"/>
    <w:embedRegular r:id="rId4" w:fontKey="{F584C27B-0049-45C3-9557-C38C43394585}"/>
  </w:font>
  <w:font w:name="方正楷体_GBK">
    <w:panose1 w:val="02000000000000000000"/>
    <w:charset w:val="86"/>
    <w:family w:val="script"/>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6F8B">
    <w:pPr>
      <w:widowControl w:val="0"/>
      <w:wordWrap w:val="0"/>
      <w:snapToGrid w:val="0"/>
      <w:ind w:firstLine="180" w:firstLineChars="100"/>
      <w:jc w:val="right"/>
      <w:rPr>
        <w:rFonts w:hint="eastAsia"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94032">
                          <w:pPr>
                            <w:widowControl w:val="0"/>
                            <w:wordWrap w:val="0"/>
                            <w:snapToGrid w:val="0"/>
                            <w:ind w:firstLine="280" w:firstLineChars="1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r>
                            <w:rPr>
                              <w:rFonts w:hint="eastAsia" w:ascii="方正仿宋_GBK" w:hAnsi="方正仿宋_GBK" w:eastAsia="方正仿宋_GBK" w:cs="方正仿宋_GBK"/>
                              <w:kern w:val="2"/>
                              <w:sz w:val="28"/>
                              <w:szCs w:val="2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594032">
                    <w:pPr>
                      <w:widowControl w:val="0"/>
                      <w:wordWrap w:val="0"/>
                      <w:snapToGrid w:val="0"/>
                      <w:ind w:firstLine="280" w:firstLineChars="100"/>
                      <w:jc w:val="righ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r>
                      <w:rPr>
                        <w:rFonts w:hint="eastAsia" w:ascii="方正仿宋_GBK" w:hAnsi="方正仿宋_GBK" w:eastAsia="方正仿宋_GBK" w:cs="方正仿宋_GBK"/>
                        <w:kern w:val="2"/>
                        <w:sz w:val="28"/>
                        <w:szCs w:val="28"/>
                        <w:lang w:val="en-US"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013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58C24DDA"/>
    <w:rsid w:val="24844675"/>
    <w:rsid w:val="3E274987"/>
    <w:rsid w:val="58C24DDA"/>
    <w:rsid w:val="6D69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next w:val="3"/>
    <w:unhideWhenUsed/>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2024-08-27T08:27:00Z</dcterms:created>
  <dc:creator>silence</dc:creator>
  <cp:lastModifiedBy>silence</cp:lastModifiedBy>
  <dcterms:modified xsi:type="dcterms:W3CDTF">2024-08-27T08:28:20Z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FE3586A2D7B3493AA80E83CEC163A113_13</vt:lpwstr>
  </property>
</Properties>
</file>