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曾家镇人民政府2024年部门预算情况说明</w:t>
      </w:r>
    </w:p>
    <w:p>
      <w:pPr>
        <w:spacing w:line="600" w:lineRule="exact"/>
        <w:jc w:val="center"/>
        <w:rPr>
          <w:rFonts w:ascii="方正小标宋_GBK" w:hAnsi="华文中宋" w:eastAsia="方正小标宋_GBK" w:cs="华文中宋"/>
          <w:sz w:val="44"/>
          <w:szCs w:val="44"/>
        </w:rPr>
      </w:pPr>
    </w:p>
    <w:p>
      <w:pPr>
        <w:spacing w:line="600" w:lineRule="exact"/>
        <w:ind w:left="640"/>
        <w:rPr>
          <w:rFonts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pPr>
        <w:spacing w:line="600" w:lineRule="exact"/>
        <w:ind w:firstLine="640" w:firstLineChars="200"/>
        <w:rPr>
          <w:rFonts w:ascii="方正仿宋_GBK" w:hAnsi="仿宋_GB2312" w:eastAsia="方正仿宋_GBK" w:cs="仿宋_GB2312"/>
          <w:sz w:val="32"/>
          <w:szCs w:val="20"/>
        </w:rPr>
      </w:pPr>
      <w:r>
        <w:rPr>
          <w:rFonts w:hint="eastAsia" w:ascii="方正楷体_GBK" w:hAnsi="方正楷体_GBK" w:eastAsia="方正楷体_GBK" w:cs="方正楷体_GBK"/>
          <w:sz w:val="32"/>
          <w:szCs w:val="20"/>
        </w:rPr>
        <w:t>（一）职能职责</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1、</w:t>
      </w:r>
      <w:r>
        <w:rPr>
          <w:rFonts w:ascii="Times New Roman" w:hAnsi="Times New Roman" w:eastAsia="方正仿宋_GBK" w:cs="Times New Roman"/>
          <w:sz w:val="32"/>
          <w:szCs w:val="22"/>
        </w:rPr>
        <w:t>贯彻执行党和国家的路线、方针、政策、法律、法规；执行上级党组织的决议、决定，执行镇人民代表大会的各项决议。</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2、</w:t>
      </w:r>
      <w:r>
        <w:rPr>
          <w:rFonts w:ascii="Times New Roman" w:hAnsi="Times New Roman" w:eastAsia="方正仿宋_GBK" w:cs="Times New Roman"/>
          <w:sz w:val="32"/>
          <w:szCs w:val="22"/>
        </w:rPr>
        <w:t>制定并实施镇经济和社会发展规划、年度计划和预算；抓好本辖区内经济和社会发展的各项工作，并向本级人民代表大会报告工作。</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3、</w:t>
      </w:r>
      <w:r>
        <w:rPr>
          <w:rFonts w:ascii="Times New Roman" w:hAnsi="Times New Roman" w:eastAsia="方正仿宋_GBK" w:cs="Times New Roman"/>
          <w:sz w:val="32"/>
          <w:szCs w:val="22"/>
        </w:rPr>
        <w:t>管理本辖区内的经济、教育、科学、文化、体育、规划建设、生态环境、财政、民政、信访、司法、卫生健康、社会治安、安全生产、综合治理、交通安全、社会保障等工作。</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4、</w:t>
      </w:r>
      <w:r>
        <w:rPr>
          <w:rFonts w:ascii="Times New Roman" w:hAnsi="Times New Roman" w:eastAsia="方正仿宋_GBK" w:cs="Times New Roman"/>
          <w:sz w:val="32"/>
          <w:szCs w:val="22"/>
        </w:rPr>
        <w:t>加强镇财政的监督和管理，按计划、预算管理镇财政收入和支出，执行国家财政、财税工作的法律、政策，保证国家财政收入的完成。</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5、</w:t>
      </w:r>
      <w:r>
        <w:rPr>
          <w:rFonts w:ascii="Times New Roman" w:hAnsi="Times New Roman" w:eastAsia="方正仿宋_GBK" w:cs="Times New Roman"/>
          <w:sz w:val="32"/>
          <w:szCs w:val="22"/>
        </w:rPr>
        <w:t>指导、支持村（社区）工作，帮助其进行组织、制度和业务建设，促进村（社区）民主自治。</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6、</w:t>
      </w:r>
      <w:r>
        <w:rPr>
          <w:rFonts w:ascii="Times New Roman" w:hAnsi="Times New Roman" w:eastAsia="方正仿宋_GBK" w:cs="Times New Roman"/>
          <w:sz w:val="32"/>
          <w:szCs w:val="22"/>
        </w:rPr>
        <w:t>承办管委会交办的其他工作。</w:t>
      </w:r>
    </w:p>
    <w:p>
      <w:pPr>
        <w:tabs>
          <w:tab w:val="center" w:pos="4153"/>
          <w:tab w:val="left" w:pos="7275"/>
        </w:tabs>
        <w:spacing w:line="600" w:lineRule="exact"/>
        <w:ind w:left="640"/>
        <w:jc w:val="left"/>
        <w:rPr>
          <w:rFonts w:ascii="方正仿宋_GBK" w:hAnsi="仿宋_GB2312" w:eastAsia="方正仿宋_GBK" w:cs="仿宋_GB2312"/>
          <w:sz w:val="32"/>
          <w:szCs w:val="22"/>
        </w:rPr>
      </w:pPr>
      <w:r>
        <w:rPr>
          <w:rFonts w:hint="eastAsia" w:ascii="方正楷体_GBK" w:hAnsi="方正楷体_GBK" w:eastAsia="方正楷体_GBK" w:cs="方正楷体_GBK"/>
          <w:sz w:val="32"/>
          <w:szCs w:val="20"/>
        </w:rPr>
        <w:t>（二）单位构成</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曾家镇幅员面积36.51平方公里，镇辖6个行政村、6个社区。</w:t>
      </w:r>
      <w:r>
        <w:rPr>
          <w:rFonts w:hint="eastAsia" w:ascii="Times New Roman" w:hAnsi="Times New Roman" w:eastAsia="方正仿宋_GBK" w:cs="Times New Roman"/>
          <w:sz w:val="32"/>
          <w:szCs w:val="20"/>
        </w:rPr>
        <w:t>曾家镇人民政府</w:t>
      </w:r>
      <w:r>
        <w:rPr>
          <w:rFonts w:ascii="Times New Roman" w:hAnsi="Times New Roman" w:eastAsia="方正仿宋_GBK" w:cs="Times New Roman"/>
          <w:sz w:val="32"/>
          <w:szCs w:val="20"/>
        </w:rPr>
        <w:t>统一设置党政内设机构</w:t>
      </w:r>
      <w:r>
        <w:rPr>
          <w:rFonts w:hint="eastAsia" w:ascii="Times New Roman" w:hAnsi="Times New Roman" w:eastAsia="方正仿宋_GBK" w:cs="Times New Roman"/>
          <w:sz w:val="32"/>
          <w:szCs w:val="20"/>
        </w:rPr>
        <w:t>8</w:t>
      </w:r>
      <w:r>
        <w:rPr>
          <w:rFonts w:ascii="Times New Roman" w:hAnsi="Times New Roman" w:eastAsia="方正仿宋_GBK" w:cs="Times New Roman"/>
          <w:sz w:val="32"/>
          <w:szCs w:val="20"/>
        </w:rPr>
        <w:t>个，</w:t>
      </w:r>
      <w:r>
        <w:rPr>
          <w:rFonts w:hint="eastAsia" w:ascii="Times New Roman" w:hAnsi="Times New Roman" w:eastAsia="方正仿宋_GBK" w:cs="Times New Roman"/>
          <w:sz w:val="32"/>
          <w:szCs w:val="20"/>
        </w:rPr>
        <w:t>分别是</w:t>
      </w:r>
      <w:r>
        <w:rPr>
          <w:rFonts w:ascii="Times New Roman" w:hAnsi="Times New Roman" w:eastAsia="方正仿宋_GBK" w:cs="Times New Roman"/>
          <w:sz w:val="32"/>
          <w:szCs w:val="20"/>
        </w:rPr>
        <w:t>党政办公室、党建工作办公室、经济发展办公室</w:t>
      </w:r>
      <w:r>
        <w:rPr>
          <w:rFonts w:hint="eastAsia" w:ascii="Times New Roman" w:hAnsi="Times New Roman" w:eastAsia="方正仿宋_GBK" w:cs="Times New Roman"/>
          <w:sz w:val="32"/>
          <w:szCs w:val="20"/>
        </w:rPr>
        <w:t>（农业服务中心、经济发展办公室）</w:t>
      </w:r>
      <w:r>
        <w:rPr>
          <w:rFonts w:ascii="Times New Roman" w:hAnsi="Times New Roman" w:eastAsia="方正仿宋_GBK" w:cs="Times New Roman"/>
          <w:sz w:val="32"/>
          <w:szCs w:val="20"/>
        </w:rPr>
        <w:t>、财政办公室、规划建设管理环保办公室</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与规划和自然资源所合署办公</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、民政和社会事务办公室（文化服务中心、退役军人服务站与民政和社会事务办公室）、</w:t>
      </w:r>
      <w:r>
        <w:rPr>
          <w:rFonts w:hint="eastAsia" w:ascii="Times New Roman" w:hAnsi="Times New Roman" w:eastAsia="方正仿宋_GBK" w:cs="Times New Roman"/>
          <w:sz w:val="32"/>
          <w:szCs w:val="20"/>
        </w:rPr>
        <w:t>综合执法办公室（平安建设办公室、应急管理办公室、综合行政执法大队与综合行政执法办公室）</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劳动就业和社会保障服务所</w:t>
      </w:r>
      <w:r>
        <w:rPr>
          <w:rFonts w:ascii="Times New Roman" w:hAnsi="Times New Roman" w:eastAsia="方正仿宋_GBK" w:cs="Times New Roman"/>
          <w:sz w:val="32"/>
          <w:szCs w:val="20"/>
        </w:rPr>
        <w:t>。</w:t>
      </w:r>
      <w:r>
        <w:rPr>
          <w:rFonts w:ascii="方正仿宋_GBK" w:hAnsi="仿宋_GB2312" w:eastAsia="方正仿宋_GBK" w:cs="仿宋_GB2312"/>
          <w:sz w:val="32"/>
          <w:szCs w:val="22"/>
        </w:rPr>
        <w:t>下属</w:t>
      </w:r>
      <w:r>
        <w:rPr>
          <w:rFonts w:hint="eastAsia" w:ascii="方正仿宋_GBK" w:hAnsi="仿宋_GB2312" w:eastAsia="方正仿宋_GBK" w:cs="仿宋_GB2312"/>
          <w:sz w:val="32"/>
          <w:szCs w:val="22"/>
        </w:rPr>
        <w:t>6个二级</w:t>
      </w:r>
      <w:r>
        <w:rPr>
          <w:rFonts w:ascii="方正仿宋_GBK" w:hAnsi="仿宋_GB2312" w:eastAsia="方正仿宋_GBK" w:cs="仿宋_GB2312"/>
          <w:sz w:val="32"/>
          <w:szCs w:val="22"/>
        </w:rPr>
        <w:t>预算单位</w:t>
      </w:r>
      <w:r>
        <w:rPr>
          <w:rFonts w:hint="eastAsia" w:ascii="方正仿宋_GBK" w:hAnsi="仿宋_GB2312" w:eastAsia="方正仿宋_GBK" w:cs="仿宋_GB2312"/>
          <w:sz w:val="32"/>
          <w:szCs w:val="22"/>
        </w:rPr>
        <w:t>，分别</w:t>
      </w:r>
      <w:r>
        <w:rPr>
          <w:rFonts w:ascii="方正仿宋_GBK" w:hAnsi="仿宋_GB2312" w:eastAsia="方正仿宋_GBK" w:cs="仿宋_GB2312"/>
          <w:sz w:val="32"/>
          <w:szCs w:val="22"/>
        </w:rPr>
        <w:t>是</w:t>
      </w:r>
      <w:r>
        <w:rPr>
          <w:rFonts w:hint="eastAsia" w:ascii="方正仿宋_GBK" w:hAnsi="仿宋_GB2312" w:eastAsia="方正仿宋_GBK" w:cs="仿宋_GB2312"/>
          <w:sz w:val="32"/>
          <w:szCs w:val="22"/>
        </w:rPr>
        <w:t>曾家镇人民政府（本级）、曾家镇农业服务中心、曾家镇文化服务中心、曾家镇退役军人服务站、曾家镇劳动就业和社会保障服务所、曾家镇综合行政执法办公室。</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派驻机构2个，分别是曾家镇司法所、曾家镇市场监管所。</w:t>
      </w:r>
    </w:p>
    <w:p>
      <w:pPr>
        <w:spacing w:line="600" w:lineRule="exact"/>
        <w:ind w:left="640"/>
        <w:rPr>
          <w:rFonts w:ascii="方正仿宋_GBK" w:hAnsi="黑体" w:eastAsia="方正仿宋_GBK" w:cs="仿宋_GB2312"/>
          <w:sz w:val="32"/>
          <w:szCs w:val="20"/>
        </w:rPr>
      </w:pPr>
      <w:r>
        <w:rPr>
          <w:rFonts w:hint="eastAsia" w:ascii="方正黑体_GBK" w:hAnsi="黑体" w:eastAsia="方正黑体_GBK" w:cs="仿宋_GB2312"/>
          <w:sz w:val="32"/>
          <w:szCs w:val="20"/>
        </w:rPr>
        <w:t>二、部门收支总体情况</w:t>
      </w:r>
    </w:p>
    <w:p>
      <w:pPr>
        <w:spacing w:line="600" w:lineRule="exact"/>
        <w:ind w:firstLine="640" w:firstLineChars="200"/>
        <w:rPr>
          <w:rFonts w:ascii="方正仿宋_GBK" w:hAnsi="仿宋_GB2312" w:eastAsia="方正仿宋_GBK" w:cs="仿宋_GB2312"/>
          <w:sz w:val="32"/>
          <w:szCs w:val="20"/>
        </w:rPr>
      </w:pPr>
      <w:r>
        <w:rPr>
          <w:rFonts w:hint="eastAsia" w:ascii="方正楷体_GBK" w:hAnsi="方正楷体_GBK" w:eastAsia="方正楷体_GBK" w:cs="方正楷体_GBK"/>
          <w:sz w:val="32"/>
          <w:szCs w:val="20"/>
        </w:rPr>
        <w:t>（一）收入预算：</w:t>
      </w:r>
      <w:r>
        <w:rPr>
          <w:rFonts w:hint="eastAsia" w:ascii="方正仿宋_GBK" w:hAnsi="仿宋_GB2312" w:eastAsia="方正仿宋_GBK" w:cs="仿宋_GB2312"/>
          <w:sz w:val="32"/>
          <w:szCs w:val="20"/>
        </w:rPr>
        <w:t>2024年年初预算数7525.21万元，其中：一般公共预算拨款7525.21万元。收入较2023年增加277.74万元，主要是城乡社区支出经费拨款增加180.33万元，农林水支出经费拨款增加583.09万元。</w:t>
      </w:r>
    </w:p>
    <w:p>
      <w:pPr>
        <w:spacing w:line="600" w:lineRule="exact"/>
        <w:ind w:firstLine="640" w:firstLineChars="200"/>
        <w:rPr>
          <w:rFonts w:ascii="方正仿宋_GBK" w:hAnsi="仿宋_GB2312" w:eastAsia="方正仿宋_GBK" w:cs="仿宋_GB2312"/>
          <w:sz w:val="32"/>
          <w:szCs w:val="20"/>
        </w:rPr>
      </w:pPr>
      <w:r>
        <w:rPr>
          <w:rFonts w:hint="eastAsia" w:ascii="方正楷体_GBK" w:hAnsi="方正楷体_GBK" w:eastAsia="方正楷体_GBK" w:cs="方正楷体_GBK"/>
          <w:sz w:val="32"/>
          <w:szCs w:val="20"/>
        </w:rPr>
        <w:t>（二）支出预算：</w:t>
      </w:r>
      <w:r>
        <w:rPr>
          <w:rFonts w:hint="eastAsia" w:ascii="方正仿宋_GBK" w:hAnsi="仿宋_GB2312" w:eastAsia="方正仿宋_GBK" w:cs="仿宋_GB2312"/>
          <w:sz w:val="32"/>
          <w:szCs w:val="20"/>
        </w:rPr>
        <w:t>2024年年初预算数7525.21万元，其中：一般公共服务支出预算2421.99万元，公共安全支出预算100万元，文化旅游体育与传媒支出预算110.63万元，社会保障和就业支出预算2144.44万元，卫生健康支出预算248.07万元，城乡社区支出预算1158.59万元，农林水支出预算1215.87万元，住房保障支出预算125.62万元。支出预算较2023年增加277.74万元，主要是项目支出预算增加338.78万元。</w:t>
      </w:r>
    </w:p>
    <w:p>
      <w:pPr>
        <w:spacing w:line="600" w:lineRule="exact"/>
        <w:ind w:left="640"/>
        <w:rPr>
          <w:rFonts w:ascii="方正黑体_GBK" w:hAnsi="黑体" w:eastAsia="方正黑体_GBK" w:cs="仿宋_GB2312"/>
          <w:sz w:val="32"/>
          <w:szCs w:val="20"/>
        </w:rPr>
      </w:pPr>
      <w:r>
        <w:rPr>
          <w:rFonts w:hint="eastAsia" w:ascii="方正黑体_GBK" w:hAnsi="黑体" w:eastAsia="方正黑体_GBK" w:cs="仿宋_GB2312"/>
          <w:sz w:val="32"/>
          <w:szCs w:val="20"/>
        </w:rPr>
        <w:t>三、部门预算情况说明</w:t>
      </w:r>
    </w:p>
    <w:p>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2024年一般公共预算财政拨款收入7525.21万元，一般公共预算财政拨款支出7525.21万元，比2023年增加277.74万元。其中：基本支出1760.83万元，比2023年减少61.05万元，主要原因是下属事业单位2023年有事业人员退休，主要用于保障在职人员工资福利及社会保险缴费，退休人员补助等，保障部门正常运转的各项商品服务支出；项目支出5764.37万元，比2023年增加338.78万元，主要原因是城乡社区支出和农林水支出增加，主要用于</w:t>
      </w:r>
      <w:r>
        <w:rPr>
          <w:rFonts w:ascii="Times New Roman" w:hAnsi="Times New Roman" w:eastAsia="方正仿宋_GBK" w:cs="Times New Roman"/>
          <w:sz w:val="32"/>
          <w:szCs w:val="20"/>
        </w:rPr>
        <w:t>社区建设、民政、卫生计生、市政环卫、应急</w:t>
      </w:r>
      <w:r>
        <w:rPr>
          <w:rFonts w:hint="eastAsia" w:ascii="方正仿宋_GBK" w:hAnsi="仿宋_GB2312" w:eastAsia="方正仿宋_GBK" w:cs="仿宋_GB2312"/>
          <w:sz w:val="32"/>
          <w:szCs w:val="20"/>
        </w:rPr>
        <w:t>等重点工作。</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曾家镇人民政府202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年无使用政府性基金预算拨款安排的支出。</w:t>
      </w:r>
    </w:p>
    <w:p>
      <w:pPr>
        <w:spacing w:line="600" w:lineRule="exact"/>
        <w:ind w:left="640"/>
        <w:rPr>
          <w:rFonts w:ascii="方正仿宋_GBK" w:hAnsi="黑体" w:eastAsia="方正仿宋_GBK" w:cs="仿宋_GB2312"/>
          <w:sz w:val="32"/>
          <w:szCs w:val="20"/>
        </w:rPr>
      </w:pPr>
      <w:r>
        <w:rPr>
          <w:rFonts w:hint="eastAsia" w:ascii="方正黑体_GBK" w:hAnsi="黑体" w:eastAsia="方正黑体_GBK" w:cs="仿宋_GB2312"/>
          <w:sz w:val="32"/>
          <w:szCs w:val="20"/>
        </w:rPr>
        <w:t>四、“三公”经费情况说明</w:t>
      </w:r>
    </w:p>
    <w:p>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2024年“三公”经费预算22.1万元，与2023年持平。其中：公务接待费2.1万元，与2023年持平；公务用车运行维护费20万元，与2023年持平。</w:t>
      </w:r>
    </w:p>
    <w:p>
      <w:pPr>
        <w:spacing w:line="600" w:lineRule="exact"/>
        <w:ind w:left="64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机关运行经费。2024年一般公共预算财政拨款运行经费359.24万元，比上年减少7.31万元，主要原因为下属事业单位2023年有事业人员退休及人员调进调出。主要用于办公费、印刷费、邮电费、水电费、物管费、差旅费、会议费、培训费及其他商品和服务支出等。</w:t>
      </w:r>
    </w:p>
    <w:p>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2.政府采购情况。本单位2024年无政府采购预算。</w:t>
      </w:r>
    </w:p>
    <w:p>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2024年项目支出均实行了绩效目标管理，涉及一般公共预算当年财政拨款</w:t>
      </w:r>
      <w:r>
        <w:rPr>
          <w:rFonts w:hint="eastAsia" w:ascii="方正仿宋_GBK" w:hAnsi="仿宋_GB2312" w:eastAsia="方正仿宋_GBK" w:cs="仿宋_GB2312"/>
          <w:sz w:val="32"/>
          <w:szCs w:val="20"/>
        </w:rPr>
        <w:t>5764.37</w:t>
      </w:r>
      <w:r>
        <w:rPr>
          <w:rFonts w:hint="eastAsia" w:ascii="方正仿宋_GBK" w:hAnsi="仿宋_GB2312" w:eastAsia="方正仿宋_GBK" w:cs="仿宋_GB2312"/>
          <w:color w:val="000000"/>
          <w:sz w:val="32"/>
          <w:szCs w:val="20"/>
        </w:rPr>
        <w:t>万元。</w:t>
      </w:r>
    </w:p>
    <w:p>
      <w:pPr>
        <w:spacing w:line="600" w:lineRule="exact"/>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 国有资产占有使用情况。截至2023年12月，所属各预算单位共有车辆</w:t>
      </w:r>
      <w:r>
        <w:rPr>
          <w:rFonts w:hint="eastAsia" w:ascii="方正仿宋_GBK" w:hAnsi="仿宋_GB2312" w:eastAsia="方正仿宋_GBK" w:cs="仿宋_GB2312"/>
          <w:color w:val="000000"/>
          <w:sz w:val="32"/>
          <w:szCs w:val="20"/>
          <w:lang w:val="en-US" w:eastAsia="zh-CN"/>
        </w:rPr>
        <w:t>5</w:t>
      </w:r>
      <w:bookmarkStart w:id="0" w:name="_GoBack"/>
      <w:bookmarkEnd w:id="0"/>
      <w:r>
        <w:rPr>
          <w:rFonts w:hint="eastAsia" w:ascii="方正仿宋_GBK" w:hAnsi="仿宋_GB2312" w:eastAsia="方正仿宋_GBK" w:cs="仿宋_GB2312"/>
          <w:color w:val="000000"/>
          <w:sz w:val="32"/>
          <w:szCs w:val="20"/>
        </w:rPr>
        <w:t>辆，其中一般公务用车</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辆、执勤执法用车0辆。202</w:t>
      </w:r>
      <w:r>
        <w:rPr>
          <w:rFonts w:hint="eastAsia" w:ascii="方正仿宋_GBK" w:hAnsi="仿宋_GB2312" w:eastAsia="方正仿宋_GBK" w:cs="仿宋_GB2312"/>
          <w:color w:val="000000"/>
          <w:sz w:val="32"/>
          <w:szCs w:val="20"/>
          <w:lang w:val="en-US" w:eastAsia="zh-CN"/>
        </w:rPr>
        <w:t>4</w:t>
      </w:r>
      <w:r>
        <w:rPr>
          <w:rFonts w:hint="eastAsia" w:ascii="方正仿宋_GBK" w:hAnsi="仿宋_GB2312" w:eastAsia="方正仿宋_GBK" w:cs="仿宋_GB2312"/>
          <w:color w:val="000000"/>
          <w:sz w:val="32"/>
          <w:szCs w:val="20"/>
        </w:rPr>
        <w:t>年一般公共预算安排购置车辆0辆，其中一般公务用车0辆、执勤执法用车0辆。</w:t>
      </w:r>
    </w:p>
    <w:p>
      <w:pPr>
        <w:spacing w:line="600" w:lineRule="exact"/>
        <w:ind w:left="640"/>
        <w:rPr>
          <w:rFonts w:ascii="方正黑体_GBK" w:hAnsi="黑体" w:eastAsia="方正黑体_GBK" w:cs="仿宋_GB2312"/>
          <w:sz w:val="32"/>
          <w:szCs w:val="20"/>
        </w:rPr>
      </w:pPr>
      <w:r>
        <w:rPr>
          <w:rFonts w:hint="eastAsia" w:ascii="方正黑体_GBK" w:hAnsi="黑体" w:eastAsia="方正黑体_GBK" w:cs="仿宋_GB2312"/>
          <w:sz w:val="32"/>
          <w:szCs w:val="20"/>
        </w:rPr>
        <w:t>六、专业性名词解释</w:t>
      </w:r>
    </w:p>
    <w:p>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楷体_GBK" w:hAnsi="方正楷体_GBK" w:eastAsia="方正楷体_GBK" w:cs="方正楷体_GBK"/>
          <w:sz w:val="32"/>
          <w:szCs w:val="20"/>
        </w:rPr>
        <w:t>（一）财政拨款收入：</w:t>
      </w:r>
      <w:r>
        <w:rPr>
          <w:rFonts w:hint="eastAsia" w:ascii="方正仿宋_GBK" w:hAnsi="仿宋"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楷体_GBK" w:hAnsi="方正楷体_GBK" w:eastAsia="方正楷体_GBK" w:cs="方正楷体_GBK"/>
          <w:sz w:val="32"/>
          <w:szCs w:val="20"/>
        </w:rPr>
        <w:t>（二）其他收入：</w:t>
      </w:r>
      <w:r>
        <w:rPr>
          <w:rFonts w:hint="eastAsia" w:ascii="方正仿宋_GBK" w:hAnsi="仿宋" w:eastAsia="方正仿宋_GBK" w:cs="Times New Roman"/>
          <w:sz w:val="32"/>
          <w:szCs w:val="32"/>
        </w:rPr>
        <w:t>指单位取得的除“财政拨款收入”、“事业收入”、“经营收入”等以外的收入。</w:t>
      </w:r>
    </w:p>
    <w:p>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楷体_GBK" w:hAnsi="方正楷体_GBK" w:eastAsia="方正楷体_GBK" w:cs="方正楷体_GBK"/>
          <w:sz w:val="32"/>
          <w:szCs w:val="20"/>
        </w:rPr>
        <w:t>（三）基本支出：</w:t>
      </w:r>
      <w:r>
        <w:rPr>
          <w:rFonts w:hint="eastAsia" w:ascii="方正仿宋_GBK" w:hAnsi="仿宋"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楷体_GBK" w:hAnsi="方正楷体_GBK" w:eastAsia="方正楷体_GBK" w:cs="方正楷体_GBK"/>
          <w:sz w:val="32"/>
          <w:szCs w:val="20"/>
        </w:rPr>
        <w:t>（四）项目支出：</w:t>
      </w:r>
      <w:r>
        <w:rPr>
          <w:rFonts w:hint="eastAsia" w:ascii="方正仿宋_GBK" w:hAnsi="仿宋" w:eastAsia="方正仿宋_GBK" w:cs="Times New Roman"/>
          <w:sz w:val="32"/>
          <w:szCs w:val="32"/>
        </w:rPr>
        <w:t>指在基本支出之外为完成特定行政任务和事业发展目标所发生的支出。</w:t>
      </w:r>
    </w:p>
    <w:p>
      <w:pPr>
        <w:ind w:firstLine="640" w:firstLineChars="200"/>
        <w:rPr>
          <w:rFonts w:ascii="方正仿宋_GBK" w:hAnsi="仿宋_GB2312" w:eastAsia="方正仿宋_GBK" w:cs="仿宋_GB2312"/>
          <w:color w:val="000000"/>
          <w:sz w:val="32"/>
          <w:szCs w:val="20"/>
        </w:rPr>
      </w:pPr>
      <w:r>
        <w:rPr>
          <w:rFonts w:hint="eastAsia" w:ascii="方正楷体_GBK" w:hAnsi="方正楷体_GBK" w:eastAsia="方正楷体_GBK" w:cs="方正楷体_GBK"/>
          <w:sz w:val="32"/>
          <w:szCs w:val="20"/>
        </w:rPr>
        <w:t>（五）“三公”经费：</w:t>
      </w:r>
      <w:r>
        <w:rPr>
          <w:rFonts w:hint="eastAsia" w:ascii="方正仿宋_GBK"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方正仿宋_GBK" w:hAnsi="仿宋_GB2312" w:eastAsia="方正仿宋_GBK" w:cs="仿宋_GB2312"/>
          <w:sz w:val="32"/>
          <w:szCs w:val="20"/>
        </w:rPr>
      </w:pPr>
    </w:p>
    <w:p>
      <w:pPr>
        <w:spacing w:line="600" w:lineRule="exact"/>
        <w:rPr>
          <w:rFonts w:ascii="方正仿宋_GBK" w:eastAsia="方正仿宋_GBK"/>
          <w:sz w:val="32"/>
          <w:szCs w:val="32"/>
        </w:rPr>
      </w:pPr>
      <w:r>
        <w:rPr>
          <w:rFonts w:hint="eastAsia" w:ascii="方正仿宋_GBK" w:hAnsi="仿宋_GB2312" w:eastAsia="方正仿宋_GBK" w:cs="仿宋_GB2312"/>
          <w:sz w:val="32"/>
          <w:szCs w:val="20"/>
        </w:rPr>
        <w:t>（部门预算公开联系人：黄颖炼，联系方式：</w:t>
      </w:r>
      <w:r>
        <w:rPr>
          <w:rFonts w:hint="eastAsia" w:ascii="方正仿宋_GBK" w:hAnsi="Times New Roman" w:eastAsia="方正仿宋_GBK" w:cs="Times New Roman"/>
          <w:sz w:val="32"/>
          <w:szCs w:val="20"/>
        </w:rPr>
        <w:t>023-65060304</w:t>
      </w:r>
      <w:r>
        <w:rPr>
          <w:rFonts w:hint="eastAsia" w:ascii="方正仿宋_GBK" w:hAnsi="仿宋_GB2312" w:eastAsia="方正仿宋_GBK" w:cs="仿宋_GB2312"/>
          <w:sz w:val="32"/>
          <w:szCs w:val="20"/>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MTYzNWIxNTI4MjQ0YWI5OGY5MTFmNGI1MzBlNzIifQ=="/>
    <w:docVar w:name="KSO_WPS_MARK_KEY" w:val="85ca6994-b87b-46ea-89aa-97b9deae83a8"/>
  </w:docVars>
  <w:rsids>
    <w:rsidRoot w:val="45C37F44"/>
    <w:rsid w:val="000F5E21"/>
    <w:rsid w:val="006E3327"/>
    <w:rsid w:val="016A5229"/>
    <w:rsid w:val="0A6A4724"/>
    <w:rsid w:val="1BF9747E"/>
    <w:rsid w:val="20340A84"/>
    <w:rsid w:val="24491954"/>
    <w:rsid w:val="24D73085"/>
    <w:rsid w:val="260D24A3"/>
    <w:rsid w:val="2DDD432C"/>
    <w:rsid w:val="32537490"/>
    <w:rsid w:val="38325D99"/>
    <w:rsid w:val="3B934DC8"/>
    <w:rsid w:val="3F171095"/>
    <w:rsid w:val="41B96BE3"/>
    <w:rsid w:val="45C37F44"/>
    <w:rsid w:val="53AC0356"/>
    <w:rsid w:val="59FA12D5"/>
    <w:rsid w:val="5A1201A8"/>
    <w:rsid w:val="5A933E27"/>
    <w:rsid w:val="5B57504B"/>
    <w:rsid w:val="5E7D126D"/>
    <w:rsid w:val="5F0F1B3E"/>
    <w:rsid w:val="5F3A53B0"/>
    <w:rsid w:val="62600C89"/>
    <w:rsid w:val="715157BA"/>
    <w:rsid w:val="7BDD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323</Words>
  <Characters>1844</Characters>
  <Lines>15</Lines>
  <Paragraphs>4</Paragraphs>
  <TotalTime>10</TotalTime>
  <ScaleCrop>false</ScaleCrop>
  <LinksUpToDate>false</LinksUpToDate>
  <CharactersWithSpaces>2163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2024-03-27T07:12:00Z</dcterms:created>
  <dc:creator>黄小小L</dc:creator>
  <cp:lastModifiedBy>黄小小L</cp:lastModifiedBy>
  <dcterms:modified xsi:type="dcterms:W3CDTF">2024-05-08T08:47:47Z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3C521595F59B431CB708D071CBFF09E5_11</vt:lpwstr>
  </property>
</Properties>
</file>