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F4" w:rsidRDefault="00AD7967">
      <w:pPr>
        <w:spacing w:line="600" w:lineRule="exact"/>
        <w:jc w:val="center"/>
        <w:rPr>
          <w:rFonts w:ascii="Times New Roman" w:eastAsia="方正小标宋_GBK" w:hAnsi="Times New Roman" w:cs="Times New Roman" w:hint="eastAsia"/>
          <w:sz w:val="44"/>
          <w:szCs w:val="44"/>
        </w:rPr>
      </w:pPr>
      <w:r>
        <w:rPr>
          <w:rFonts w:ascii="Times New Roman" w:eastAsia="方正小标宋_GBK" w:hAnsi="Times New Roman" w:cs="Times New Roman"/>
          <w:sz w:val="44"/>
          <w:szCs w:val="44"/>
        </w:rPr>
        <w:t>西永街道</w:t>
      </w:r>
      <w:r>
        <w:rPr>
          <w:rFonts w:ascii="Times New Roman" w:eastAsia="方正小标宋_GBK" w:hAnsi="Times New Roman" w:cs="Times New Roman" w:hint="eastAsia"/>
          <w:sz w:val="44"/>
          <w:szCs w:val="44"/>
        </w:rPr>
        <w:t>城市建设服务</w:t>
      </w:r>
      <w:r>
        <w:rPr>
          <w:rFonts w:ascii="Times New Roman" w:eastAsia="方正小标宋_GBK" w:hAnsi="Times New Roman" w:cs="Times New Roman"/>
          <w:sz w:val="44"/>
          <w:szCs w:val="44"/>
        </w:rPr>
        <w:t>中心</w:t>
      </w:r>
    </w:p>
    <w:p w:rsidR="00970EA7" w:rsidRDefault="00AD7967">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6</w:t>
      </w:r>
      <w:r>
        <w:rPr>
          <w:rFonts w:ascii="Times New Roman" w:eastAsia="方正小标宋_GBK" w:hAnsi="Times New Roman" w:cs="Times New Roman"/>
          <w:sz w:val="44"/>
          <w:szCs w:val="44"/>
        </w:rPr>
        <w:t>年单位预算</w:t>
      </w:r>
      <w:r>
        <w:rPr>
          <w:rFonts w:ascii="Times New Roman" w:eastAsia="方正小标宋_GBK" w:hAnsi="Times New Roman" w:cs="Times New Roman"/>
          <w:sz w:val="44"/>
          <w:szCs w:val="44"/>
        </w:rPr>
        <w:t>情况说明</w:t>
      </w:r>
    </w:p>
    <w:p w:rsidR="00970EA7" w:rsidRDefault="00970EA7">
      <w:pPr>
        <w:spacing w:line="600" w:lineRule="exact"/>
        <w:ind w:firstLineChars="200" w:firstLine="880"/>
        <w:jc w:val="center"/>
        <w:rPr>
          <w:rFonts w:ascii="Times New Roman" w:eastAsia="华文中宋" w:hAnsi="Times New Roman" w:cs="Times New Roman"/>
          <w:sz w:val="44"/>
          <w:szCs w:val="44"/>
        </w:rPr>
      </w:pPr>
    </w:p>
    <w:p w:rsidR="00970EA7" w:rsidRDefault="00AD7967">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一、单位基本情况</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（一）职能职责</w:t>
      </w:r>
    </w:p>
    <w:p w:rsidR="00970EA7" w:rsidRDefault="00AD7967" w:rsidP="005F3CF4">
      <w:pPr>
        <w:pStyle w:val="ab"/>
        <w:tabs>
          <w:tab w:val="center" w:pos="4153"/>
          <w:tab w:val="left" w:pos="7275"/>
        </w:tabs>
        <w:spacing w:line="600" w:lineRule="exact"/>
        <w:ind w:firstLine="640"/>
        <w:jc w:val="left"/>
        <w:rPr>
          <w:rFonts w:ascii="Times New Roman" w:eastAsia="方正仿宋_GBK" w:hAnsi="Times New Roman" w:cs="Times New Roman"/>
          <w:sz w:val="32"/>
        </w:rPr>
      </w:pPr>
      <w:r>
        <w:rPr>
          <w:rFonts w:ascii="Times New Roman" w:eastAsia="方正仿宋_GBK" w:hAnsi="Times New Roman" w:cs="Times New Roman"/>
          <w:sz w:val="32"/>
        </w:rPr>
        <w:t>负责</w:t>
      </w:r>
      <w:r>
        <w:rPr>
          <w:rFonts w:ascii="Times New Roman" w:eastAsia="方正仿宋_GBK" w:hAnsi="Times New Roman" w:cs="Times New Roman" w:hint="eastAsia"/>
          <w:sz w:val="32"/>
        </w:rPr>
        <w:t>辖区</w:t>
      </w:r>
      <w:r>
        <w:rPr>
          <w:rFonts w:ascii="Times New Roman" w:eastAsia="方正仿宋_GBK" w:hAnsi="Times New Roman" w:cs="Times New Roman"/>
          <w:sz w:val="32"/>
        </w:rPr>
        <w:t>规划、建设和实施的具体事务性工作</w:t>
      </w:r>
      <w:r>
        <w:rPr>
          <w:rFonts w:ascii="Times New Roman" w:eastAsia="方正仿宋_GBK" w:hAnsi="Times New Roman" w:cs="Times New Roman" w:hint="eastAsia"/>
          <w:sz w:val="32"/>
        </w:rPr>
        <w:t>，负责</w:t>
      </w:r>
      <w:r>
        <w:rPr>
          <w:rFonts w:ascii="Times New Roman" w:eastAsia="方正仿宋_GBK" w:hAnsi="Times New Roman" w:cs="Times New Roman"/>
          <w:sz w:val="32"/>
        </w:rPr>
        <w:t>生态环</w:t>
      </w:r>
      <w:proofErr w:type="gramStart"/>
      <w:r>
        <w:rPr>
          <w:rFonts w:ascii="Times New Roman" w:eastAsia="方正仿宋_GBK" w:hAnsi="Times New Roman" w:cs="Times New Roman"/>
          <w:sz w:val="32"/>
        </w:rPr>
        <w:t>境宣传</w:t>
      </w:r>
      <w:proofErr w:type="gramEnd"/>
      <w:r>
        <w:rPr>
          <w:rFonts w:ascii="Times New Roman" w:eastAsia="方正仿宋_GBK" w:hAnsi="Times New Roman" w:cs="Times New Roman"/>
          <w:sz w:val="32"/>
        </w:rPr>
        <w:t>教育、污染防治、水资源节约保护、环境整治等相关事务性工作。</w:t>
      </w:r>
    </w:p>
    <w:p w:rsidR="00970EA7" w:rsidRDefault="00AD7967" w:rsidP="005F3CF4">
      <w:pPr>
        <w:pStyle w:val="ab"/>
        <w:tabs>
          <w:tab w:val="center" w:pos="4153"/>
          <w:tab w:val="left" w:pos="7275"/>
        </w:tabs>
        <w:spacing w:line="600" w:lineRule="exact"/>
        <w:ind w:firstLine="640"/>
        <w:jc w:val="left"/>
        <w:rPr>
          <w:rFonts w:ascii="Times New Roman" w:eastAsia="方正仿宋_GBK" w:hAnsi="Times New Roman" w:cs="Times New Roman"/>
          <w:sz w:val="32"/>
        </w:rPr>
      </w:pPr>
      <w:r>
        <w:rPr>
          <w:rFonts w:ascii="Times New Roman" w:eastAsia="方正仿宋_GBK" w:hAnsi="Times New Roman" w:cs="Times New Roman"/>
          <w:sz w:val="32"/>
        </w:rPr>
        <w:t>（二）单位构成</w:t>
      </w:r>
    </w:p>
    <w:p w:rsidR="00970EA7" w:rsidRDefault="00AD7967">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西永街道</w:t>
      </w:r>
      <w:r>
        <w:rPr>
          <w:rFonts w:ascii="Times New Roman" w:eastAsia="方正仿宋_GBK" w:hAnsi="Times New Roman" w:cs="Times New Roman" w:hint="eastAsia"/>
          <w:sz w:val="32"/>
        </w:rPr>
        <w:t>城市建设服务</w:t>
      </w:r>
      <w:r>
        <w:rPr>
          <w:rFonts w:ascii="Times New Roman" w:eastAsia="方正仿宋_GBK" w:hAnsi="Times New Roman" w:cs="Times New Roman"/>
          <w:sz w:val="32"/>
        </w:rPr>
        <w:t>中心系西永街道</w:t>
      </w:r>
      <w:r>
        <w:rPr>
          <w:rFonts w:ascii="Times New Roman" w:eastAsia="方正仿宋_GBK" w:hAnsi="Times New Roman" w:cs="Times New Roman"/>
          <w:sz w:val="32"/>
        </w:rPr>
        <w:t>下设的事业单位。</w:t>
      </w:r>
    </w:p>
    <w:p w:rsidR="00970EA7" w:rsidRDefault="00AD7967">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二、单位收支总体情况</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（一）收入预算：</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万元，政府性基金预算拨款</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万元，国有资本经营预算收入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万元，事业单位经营收入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万元，其他收入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23.83</w:t>
      </w:r>
      <w:r>
        <w:rPr>
          <w:rFonts w:ascii="Times New Roman" w:eastAsia="方正仿宋_GBK" w:hAnsi="Times New Roman" w:cs="Times New Roman"/>
          <w:sz w:val="32"/>
          <w:szCs w:val="20"/>
        </w:rPr>
        <w:t>万元，主要是一般公共预算经费拨款</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23.83</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（二）支出预算：</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万元，其中：社会保障和就业支出预算</w:t>
      </w:r>
      <w:r>
        <w:rPr>
          <w:rFonts w:ascii="Times New Roman" w:eastAsia="方正仿宋_GBK" w:hAnsi="Times New Roman" w:cs="Times New Roman" w:hint="eastAsia"/>
          <w:sz w:val="32"/>
          <w:szCs w:val="20"/>
        </w:rPr>
        <w:t>36.16</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hint="eastAsia"/>
          <w:sz w:val="32"/>
          <w:szCs w:val="20"/>
        </w:rPr>
        <w:t>7.88</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城乡社区支出预算</w:t>
      </w:r>
      <w:r>
        <w:rPr>
          <w:rFonts w:ascii="Times New Roman" w:eastAsia="方正仿宋_GBK" w:hAnsi="Times New Roman" w:cs="Times New Roman" w:hint="eastAsia"/>
          <w:sz w:val="32"/>
          <w:szCs w:val="20"/>
        </w:rPr>
        <w:t>114.18</w:t>
      </w:r>
      <w:r>
        <w:rPr>
          <w:rFonts w:ascii="Times New Roman" w:eastAsia="方正仿宋_GBK" w:hAnsi="Times New Roman" w:cs="Times New Roman" w:hint="eastAsia"/>
          <w:sz w:val="32"/>
          <w:szCs w:val="20"/>
        </w:rPr>
        <w:t>万元，</w:t>
      </w:r>
      <w:r>
        <w:rPr>
          <w:rFonts w:ascii="Times New Roman" w:eastAsia="方正仿宋_GBK" w:hAnsi="Times New Roman" w:cs="Times New Roman"/>
          <w:sz w:val="32"/>
          <w:szCs w:val="20"/>
        </w:rPr>
        <w:t>住房保障支出预算</w:t>
      </w:r>
      <w:r>
        <w:rPr>
          <w:rFonts w:ascii="Times New Roman" w:eastAsia="方正仿宋_GBK" w:hAnsi="Times New Roman" w:cs="Times New Roman" w:hint="eastAsia"/>
          <w:sz w:val="32"/>
          <w:szCs w:val="20"/>
        </w:rPr>
        <w:t>7.22</w:t>
      </w:r>
      <w:r>
        <w:rPr>
          <w:rFonts w:ascii="Times New Roman" w:eastAsia="方正仿宋_GBK" w:hAnsi="Times New Roman" w:cs="Times New Roman"/>
          <w:sz w:val="32"/>
          <w:szCs w:val="20"/>
        </w:rPr>
        <w:t>万元。支出预算较</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23.83</w:t>
      </w:r>
      <w:r>
        <w:rPr>
          <w:rFonts w:ascii="Times New Roman" w:eastAsia="方正仿宋_GBK" w:hAnsi="Times New Roman" w:cs="Times New Roman"/>
          <w:sz w:val="32"/>
          <w:szCs w:val="20"/>
        </w:rPr>
        <w:t>万元，主要是基本支出预算增加</w:t>
      </w:r>
      <w:r>
        <w:rPr>
          <w:rFonts w:ascii="Times New Roman" w:eastAsia="方正仿宋_GBK" w:hAnsi="Times New Roman" w:cs="Times New Roman" w:hint="eastAsia"/>
          <w:sz w:val="32"/>
          <w:szCs w:val="20"/>
        </w:rPr>
        <w:t>23.83</w:t>
      </w:r>
      <w:r>
        <w:rPr>
          <w:rFonts w:ascii="Times New Roman" w:eastAsia="方正仿宋_GBK" w:hAnsi="Times New Roman" w:cs="Times New Roman"/>
          <w:sz w:val="32"/>
          <w:szCs w:val="20"/>
        </w:rPr>
        <w:t>万元。</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lastRenderedPageBreak/>
        <w:t>三、单位预算情况说明</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w:t>
      </w:r>
      <w:r>
        <w:rPr>
          <w:rFonts w:ascii="Times New Roman" w:eastAsia="方正仿宋_GBK" w:hAnsi="Times New Roman" w:cs="Times New Roman" w:hint="eastAsia"/>
          <w:sz w:val="32"/>
          <w:szCs w:val="20"/>
        </w:rPr>
        <w:t>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23.83</w:t>
      </w:r>
      <w:r>
        <w:rPr>
          <w:rFonts w:ascii="Times New Roman" w:eastAsia="方正仿宋_GBK" w:hAnsi="Times New Roman" w:cs="Times New Roman"/>
          <w:sz w:val="32"/>
          <w:szCs w:val="20"/>
        </w:rPr>
        <w:t>万元。其中：基本支出</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23.83</w:t>
      </w:r>
      <w:r>
        <w:rPr>
          <w:rFonts w:ascii="Times New Roman" w:eastAsia="方正仿宋_GBK" w:hAnsi="Times New Roman" w:cs="Times New Roman"/>
          <w:sz w:val="32"/>
          <w:szCs w:val="20"/>
        </w:rPr>
        <w:t>万元，主要原因是</w:t>
      </w:r>
      <w:r>
        <w:rPr>
          <w:rFonts w:ascii="Times New Roman" w:eastAsia="方正仿宋_GBK" w:hAnsi="Times New Roman" w:cs="Times New Roman"/>
          <w:sz w:val="32"/>
          <w:szCs w:val="20"/>
        </w:rPr>
        <w:t>卫生健康支出</w:t>
      </w:r>
      <w:r>
        <w:rPr>
          <w:rFonts w:ascii="Times New Roman" w:eastAsia="方正仿宋_GBK" w:hAnsi="Times New Roman" w:cs="Times New Roman" w:hint="eastAsia"/>
          <w:sz w:val="32"/>
          <w:szCs w:val="20"/>
        </w:rPr>
        <w:t>、城乡社区支出、住房保障支出</w:t>
      </w:r>
      <w:r>
        <w:rPr>
          <w:rFonts w:ascii="Times New Roman" w:eastAsia="方正仿宋_GBK" w:hAnsi="Times New Roman" w:cs="Times New Roman"/>
          <w:sz w:val="32"/>
          <w:szCs w:val="20"/>
        </w:rPr>
        <w:t>等</w:t>
      </w:r>
      <w:r>
        <w:rPr>
          <w:rFonts w:ascii="Times New Roman" w:eastAsia="方正仿宋_GBK" w:hAnsi="Times New Roman" w:cs="Times New Roman"/>
          <w:sz w:val="32"/>
          <w:szCs w:val="20"/>
        </w:rPr>
        <w:t>基本支出预算增加</w:t>
      </w:r>
      <w:r>
        <w:rPr>
          <w:rFonts w:ascii="Times New Roman" w:eastAsia="方正仿宋_GBK" w:hAnsi="Times New Roman" w:cs="Times New Roman"/>
          <w:sz w:val="32"/>
          <w:szCs w:val="20"/>
        </w:rPr>
        <w:t>，主要用于保障</w:t>
      </w:r>
      <w:r>
        <w:rPr>
          <w:rFonts w:ascii="Times New Roman" w:eastAsia="方正仿宋_GBK" w:hAnsi="Times New Roman" w:cs="Times New Roman"/>
          <w:sz w:val="32"/>
          <w:szCs w:val="20"/>
        </w:rPr>
        <w:t>西永街道</w:t>
      </w:r>
      <w:r>
        <w:rPr>
          <w:rFonts w:ascii="Times New Roman" w:eastAsia="方正仿宋_GBK" w:hAnsi="Times New Roman" w:cs="Times New Roman" w:hint="eastAsia"/>
          <w:sz w:val="32"/>
          <w:szCs w:val="20"/>
        </w:rPr>
        <w:t>城市建设</w:t>
      </w:r>
      <w:r>
        <w:rPr>
          <w:rFonts w:ascii="Times New Roman" w:eastAsia="方正仿宋_GBK" w:hAnsi="Times New Roman" w:cs="Times New Roman"/>
          <w:sz w:val="32"/>
          <w:szCs w:val="20"/>
        </w:rPr>
        <w:t>服务中心</w:t>
      </w:r>
      <w:r>
        <w:rPr>
          <w:rFonts w:ascii="Times New Roman" w:eastAsia="方正仿宋_GBK" w:hAnsi="Times New Roman" w:cs="Times New Roman"/>
          <w:sz w:val="32"/>
          <w:szCs w:val="20"/>
        </w:rPr>
        <w:t>在职人员工资福利及社会保险缴费，退休人员补助等，保障单位正常运转的各项商品服务支出；项目支出</w:t>
      </w:r>
      <w:r>
        <w:rPr>
          <w:rFonts w:ascii="Times New Roman" w:eastAsia="方正仿宋_GBK" w:hAnsi="Times New Roman" w:cs="Times New Roman" w:hint="eastAsia"/>
          <w:sz w:val="32"/>
          <w:szCs w:val="20"/>
        </w:rPr>
        <w:t>0</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与</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持平</w:t>
      </w:r>
      <w:r>
        <w:rPr>
          <w:rFonts w:ascii="Times New Roman" w:eastAsia="方正仿宋_GBK" w:hAnsi="Times New Roman" w:cs="Times New Roman"/>
          <w:sz w:val="32"/>
          <w:szCs w:val="20"/>
        </w:rPr>
        <w:t>，主要原因是</w:t>
      </w:r>
      <w:r>
        <w:rPr>
          <w:rFonts w:ascii="Times New Roman" w:eastAsia="方正仿宋_GBK" w:hAnsi="Times New Roman" w:cs="Times New Roman" w:hint="eastAsia"/>
          <w:sz w:val="32"/>
          <w:szCs w:val="20"/>
        </w:rPr>
        <w:t>无项目开支计划</w:t>
      </w:r>
      <w:r>
        <w:rPr>
          <w:rFonts w:ascii="Times New Roman" w:eastAsia="方正仿宋_GBK" w:hAnsi="Times New Roman" w:cs="Times New Roman"/>
          <w:sz w:val="32"/>
          <w:szCs w:val="20"/>
        </w:rPr>
        <w:t>。</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rPr>
        <w:t>西永街道</w:t>
      </w:r>
      <w:r>
        <w:rPr>
          <w:rFonts w:ascii="Times New Roman" w:eastAsia="方正仿宋_GBK" w:hAnsi="Times New Roman" w:cs="Times New Roman" w:hint="eastAsia"/>
          <w:sz w:val="32"/>
        </w:rPr>
        <w:t>城市建设服务</w:t>
      </w:r>
      <w:r>
        <w:rPr>
          <w:rFonts w:ascii="Times New Roman" w:eastAsia="方正仿宋_GBK" w:hAnsi="Times New Roman" w:cs="Times New Roman"/>
          <w:sz w:val="32"/>
        </w:rPr>
        <w:t>中心</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年无使用政府性基金预算拨款安排的支出</w:t>
      </w:r>
      <w:r>
        <w:rPr>
          <w:rFonts w:ascii="Times New Roman" w:eastAsia="方正仿宋_GBK" w:hAnsi="Times New Roman" w:cs="Times New Roman"/>
          <w:sz w:val="32"/>
          <w:szCs w:val="20"/>
        </w:rPr>
        <w:t>。</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四、</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三公</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经费情况说明</w:t>
      </w:r>
    </w:p>
    <w:p w:rsidR="00970EA7" w:rsidRDefault="00AD7967">
      <w:pPr>
        <w:spacing w:line="600" w:lineRule="exact"/>
        <w:ind w:firstLine="600"/>
        <w:rPr>
          <w:rFonts w:ascii="Times New Roman" w:eastAsia="方正仿宋_GBK" w:hAnsi="Times New Roman" w:cs="Times New Roman"/>
          <w:sz w:val="32"/>
          <w:szCs w:val="20"/>
        </w:rPr>
      </w:pP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无</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p>
    <w:p w:rsidR="00970EA7" w:rsidRDefault="00AD7967">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五、其他重要事项的情况说明</w:t>
      </w:r>
    </w:p>
    <w:p w:rsidR="00970EA7" w:rsidRDefault="00AD7967">
      <w:pPr>
        <w:adjustRightInd w:val="0"/>
        <w:snapToGrid w:val="0"/>
        <w:spacing w:line="600" w:lineRule="exact"/>
        <w:ind w:firstLineChars="200" w:firstLine="640"/>
        <w:rPr>
          <w:rFonts w:ascii="Times New Roman" w:hAnsi="Times New Roman" w:cs="Times New Roman"/>
          <w:color w:val="0D0D0D"/>
        </w:rPr>
      </w:pPr>
      <w:r>
        <w:rPr>
          <w:rFonts w:ascii="Times New Roman" w:eastAsia="方正仿宋_GBK" w:hAnsi="Times New Roman" w:cs="Times New Roman" w:hint="eastAsia"/>
          <w:color w:val="0D0D0D"/>
          <w:sz w:val="32"/>
          <w:szCs w:val="32"/>
        </w:rPr>
        <w:t>（一）</w:t>
      </w:r>
      <w:r>
        <w:rPr>
          <w:rFonts w:ascii="Times New Roman" w:eastAsia="方正仿宋_GBK" w:hAnsi="Times New Roman" w:cs="Times New Roman"/>
          <w:sz w:val="32"/>
          <w:szCs w:val="20"/>
        </w:rPr>
        <w:t>我单位不在机关运行经费统计范围之内</w:t>
      </w:r>
      <w:r>
        <w:rPr>
          <w:rFonts w:ascii="Times New Roman" w:hAnsi="Times New Roman" w:cs="Times New Roman"/>
          <w:color w:val="0D0D0D"/>
        </w:rPr>
        <w:t>。</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（二）政府采购情况。</w:t>
      </w:r>
      <w:r>
        <w:rPr>
          <w:rFonts w:ascii="Times New Roman" w:eastAsia="方正仿宋_GBK" w:hAnsi="Times New Roman" w:cs="Times New Roman"/>
          <w:sz w:val="32"/>
          <w:szCs w:val="20"/>
        </w:rPr>
        <w:t>本</w:t>
      </w:r>
      <w:r>
        <w:rPr>
          <w:rFonts w:ascii="Times New Roman" w:eastAsia="方正仿宋_GBK" w:hAnsi="Times New Roman" w:cs="Times New Roman"/>
          <w:sz w:val="32"/>
          <w:szCs w:val="20"/>
        </w:rPr>
        <w:t>单位</w:t>
      </w:r>
      <w:r>
        <w:rPr>
          <w:rFonts w:ascii="Times New Roman" w:eastAsia="方正仿宋_GBK" w:hAnsi="Times New Roman" w:cs="Times New Roman" w:hint="eastAsia"/>
          <w:sz w:val="32"/>
          <w:szCs w:val="20"/>
        </w:rPr>
        <w:t>无</w:t>
      </w:r>
      <w:r>
        <w:rPr>
          <w:rFonts w:ascii="Times New Roman" w:eastAsia="方正仿宋_GBK" w:hAnsi="Times New Roman" w:cs="Times New Roman"/>
          <w:sz w:val="32"/>
          <w:szCs w:val="20"/>
        </w:rPr>
        <w:t>政府采购预算。</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（三）绩效目标设置情况。</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年项目支出均实行了绩效目标管理，涉及一般公共预算当年财政拨款</w:t>
      </w:r>
      <w:r>
        <w:rPr>
          <w:rFonts w:ascii="Times New Roman" w:eastAsia="方正仿宋_GBK" w:hAnsi="Times New Roman" w:cs="Times New Roman" w:hint="eastAsia"/>
          <w:sz w:val="32"/>
          <w:szCs w:val="20"/>
        </w:rPr>
        <w:t>165.44</w:t>
      </w:r>
      <w:r>
        <w:rPr>
          <w:rFonts w:ascii="Times New Roman" w:eastAsia="方正仿宋_GBK" w:hAnsi="Times New Roman" w:cs="Times New Roman"/>
          <w:sz w:val="32"/>
          <w:szCs w:val="20"/>
        </w:rPr>
        <w:t>万元。</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（四）国有资产占有使用情况。截止</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12</w:t>
      </w:r>
      <w:r>
        <w:rPr>
          <w:rFonts w:ascii="Times New Roman" w:eastAsia="方正仿宋_GBK" w:hAnsi="Times New Roman" w:cs="Times New Roman"/>
          <w:sz w:val="32"/>
          <w:szCs w:val="20"/>
        </w:rPr>
        <w:t>月，本单位</w:t>
      </w:r>
      <w:r>
        <w:rPr>
          <w:rFonts w:ascii="Times New Roman" w:eastAsia="方正仿宋_GBK" w:hAnsi="Times New Roman" w:cs="Times New Roman" w:hint="eastAsia"/>
          <w:sz w:val="32"/>
          <w:szCs w:val="20"/>
        </w:rPr>
        <w:t>无单独的公务车</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w:t>
      </w:r>
      <w:r>
        <w:rPr>
          <w:rFonts w:ascii="Times New Roman" w:eastAsia="方正仿宋_GBK" w:hAnsi="Times New Roman" w:cs="Times New Roman" w:hint="eastAsia"/>
          <w:sz w:val="32"/>
          <w:szCs w:val="20"/>
        </w:rPr>
        <w:t>未</w:t>
      </w:r>
      <w:r>
        <w:rPr>
          <w:rFonts w:ascii="Times New Roman" w:eastAsia="方正仿宋_GBK" w:hAnsi="Times New Roman" w:cs="Times New Roman"/>
          <w:sz w:val="32"/>
          <w:szCs w:val="20"/>
        </w:rPr>
        <w:t>安排购置车辆。</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（五）委托业务费情况。</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年委托业务费</w:t>
      </w:r>
      <w:proofErr w:type="gramStart"/>
      <w:r>
        <w:rPr>
          <w:rFonts w:ascii="Times New Roman" w:eastAsia="方正仿宋_GBK" w:hAnsi="Times New Roman" w:cs="Times New Roman"/>
          <w:sz w:val="32"/>
          <w:szCs w:val="20"/>
        </w:rPr>
        <w:t>涉及财拨资金</w:t>
      </w:r>
      <w:proofErr w:type="gramEnd"/>
      <w:r>
        <w:rPr>
          <w:rFonts w:ascii="Times New Roman" w:eastAsia="方正仿宋_GBK" w:hAnsi="Times New Roman" w:cs="Times New Roman" w:hint="eastAsia"/>
          <w:sz w:val="32"/>
          <w:szCs w:val="20"/>
        </w:rPr>
        <w:t>0</w:t>
      </w:r>
      <w:r>
        <w:rPr>
          <w:rFonts w:ascii="Times New Roman" w:eastAsia="方正仿宋_GBK" w:hAnsi="Times New Roman" w:cs="Times New Roman"/>
          <w:sz w:val="32"/>
          <w:szCs w:val="20"/>
        </w:rPr>
        <w:lastRenderedPageBreak/>
        <w:t>万元</w:t>
      </w:r>
      <w:r>
        <w:rPr>
          <w:rFonts w:ascii="Times New Roman" w:eastAsia="方正仿宋_GBK" w:hAnsi="Times New Roman" w:cs="Times New Roman" w:hint="eastAsia"/>
          <w:sz w:val="32"/>
          <w:szCs w:val="20"/>
        </w:rPr>
        <w:t>。</w:t>
      </w:r>
    </w:p>
    <w:p w:rsidR="00970EA7" w:rsidRPr="005F3CF4" w:rsidRDefault="00AD7967">
      <w:pPr>
        <w:spacing w:line="600" w:lineRule="exact"/>
        <w:ind w:firstLineChars="200" w:firstLine="640"/>
        <w:rPr>
          <w:rFonts w:ascii="Times New Roman" w:eastAsia="方正黑体_GBK" w:hAnsi="Times New Roman" w:cs="Times New Roman"/>
          <w:sz w:val="32"/>
          <w:szCs w:val="20"/>
        </w:rPr>
      </w:pPr>
      <w:r w:rsidRPr="005F3CF4">
        <w:rPr>
          <w:rFonts w:ascii="Times New Roman" w:eastAsia="方正黑体_GBK" w:hAnsi="Times New Roman" w:cs="Times New Roman" w:hint="eastAsia"/>
          <w:sz w:val="32"/>
          <w:szCs w:val="20"/>
        </w:rPr>
        <w:t>六、专业</w:t>
      </w:r>
      <w:proofErr w:type="gramStart"/>
      <w:r w:rsidRPr="005F3CF4">
        <w:rPr>
          <w:rFonts w:ascii="Times New Roman" w:eastAsia="方正黑体_GBK" w:hAnsi="Times New Roman" w:cs="Times New Roman" w:hint="eastAsia"/>
          <w:sz w:val="32"/>
          <w:szCs w:val="20"/>
        </w:rPr>
        <w:t>性名</w:t>
      </w:r>
      <w:proofErr w:type="gramEnd"/>
      <w:r w:rsidRPr="005F3CF4">
        <w:rPr>
          <w:rFonts w:ascii="Times New Roman" w:eastAsia="方正黑体_GBK" w:hAnsi="Times New Roman" w:cs="Times New Roman" w:hint="eastAsia"/>
          <w:sz w:val="32"/>
          <w:szCs w:val="20"/>
        </w:rPr>
        <w:t>词解释</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（一）财政拨款收入：指本年度从本级财政部门取得的财政拨款，包括一般公共预算财政拨款和政府性基金预算财政拨款。</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（二）财政专户管理资金收入：指缴入财政专户、实行专项管理的高中以上学费、住宿费、高校委托培养费、函大、电大、夜大及短训班培训费等教育收费。单位根据教育收费标准、学生人数等合理预计。</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（三）事业收入（不含教育收费）：指事业单位开展专业业务活动及其辅助活动取得的收入，不包括教育收费。单位根据本年度事业单位开展专业业务活动及其辅助活动计划，结合上年度收入等情况进行预计。</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（四）上级补助收入：指从主管部门或上级单位取得的财政拨款以外的其他补助收入。单位结合上年度上级补助收入等情况进行预计。</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（五）附属单位上缴收入：</w:t>
      </w:r>
      <w:r>
        <w:rPr>
          <w:rFonts w:ascii="Times New Roman" w:eastAsia="方正仿宋_GBK" w:hAnsi="Times New Roman" w:cs="Times New Roman" w:hint="eastAsia"/>
          <w:sz w:val="32"/>
          <w:szCs w:val="20"/>
        </w:rPr>
        <w:t>指本单位所属下级单位上缴给本单位的全部收入（包括下级事业单位上缴的事业收入、其他收入和下级企业单位上缴的利润等）。单位结合上年度附属单位上缴收入等情况商附属单位进行预计。</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（六）事业单位经营收入：指事业单位在专业业务活动及其辅助活动之外开展非独立核算经营活动取得的收入。单位应当根</w:t>
      </w:r>
      <w:r>
        <w:rPr>
          <w:rFonts w:ascii="Times New Roman" w:eastAsia="方正仿宋_GBK" w:hAnsi="Times New Roman" w:cs="Times New Roman" w:hint="eastAsia"/>
          <w:sz w:val="32"/>
          <w:szCs w:val="20"/>
        </w:rPr>
        <w:lastRenderedPageBreak/>
        <w:t>据本年度事业单位经营活动计划，结合上年度事业单位经营收入规模、经营状况和市场行情等因素进行预计。</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（七）其他收入：指债务收入、投资收益等收入，单位根据情况合理预计，全部编入预算。</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（八）上年结转结余资金：包括财政拨款结转、财政拨款结</w:t>
      </w:r>
      <w:r>
        <w:rPr>
          <w:rFonts w:ascii="Times New Roman" w:eastAsia="方正仿宋_GBK" w:hAnsi="Times New Roman" w:cs="Times New Roman" w:hint="eastAsia"/>
          <w:sz w:val="32"/>
          <w:szCs w:val="20"/>
        </w:rPr>
        <w:t>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（九）基本支出：指为保障机构正常运转、完成日常工作任务而发生的人员经费和公用经费。其中：人员经费指政府收支分类经济科目中的“工资福利支出”和“对个人和家庭的补</w:t>
      </w:r>
      <w:r>
        <w:rPr>
          <w:rFonts w:ascii="Times New Roman" w:eastAsia="方正仿宋_GBK" w:hAnsi="Times New Roman" w:cs="Times New Roman" w:hint="eastAsia"/>
          <w:sz w:val="32"/>
          <w:szCs w:val="20"/>
        </w:rPr>
        <w:t>助”</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公用经费指政府收支分类经济科目中除“工资福利支出”和“对个人和家庭的补助”外的其他支出。</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（十）项目支出：指在基本支出之外为完成特定行政任务和事业发展目标所发生的支出。</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（十一）“三公”经费：指用财政拨款安排的因公出国（境）费、公务用车购置及运行维护费、公务接待费。其中，因公出国</w:t>
      </w:r>
      <w:r>
        <w:rPr>
          <w:rFonts w:ascii="Times New Roman" w:eastAsia="方正仿宋_GBK" w:hAnsi="Times New Roman" w:cs="Times New Roman" w:hint="eastAsia"/>
          <w:sz w:val="32"/>
          <w:szCs w:val="20"/>
        </w:rPr>
        <w:lastRenderedPageBreak/>
        <w:t>（境）</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单位公务出国（境）的国际旅费、国外城市间交通费、住宿费、伙食费、培训费、公杂费等支出；公务用车购置</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单位公务用车购置支出（</w:t>
      </w:r>
      <w:proofErr w:type="gramStart"/>
      <w:r>
        <w:rPr>
          <w:rFonts w:ascii="Times New Roman" w:eastAsia="方正仿宋_GBK" w:hAnsi="Times New Roman" w:cs="Times New Roman" w:hint="eastAsia"/>
          <w:sz w:val="32"/>
          <w:szCs w:val="20"/>
        </w:rPr>
        <w:t>含车辆</w:t>
      </w:r>
      <w:proofErr w:type="gramEnd"/>
      <w:r>
        <w:rPr>
          <w:rFonts w:ascii="Times New Roman" w:eastAsia="方正仿宋_GBK" w:hAnsi="Times New Roman" w:cs="Times New Roman" w:hint="eastAsia"/>
          <w:sz w:val="32"/>
          <w:szCs w:val="20"/>
        </w:rPr>
        <w:t>购置税）</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公务用车运行维护费反映单位按规定保留的公务用车燃料费、维修费、过路过桥费</w:t>
      </w:r>
      <w:r>
        <w:rPr>
          <w:rFonts w:ascii="Times New Roman" w:eastAsia="方正仿宋_GBK" w:hAnsi="Times New Roman" w:cs="Times New Roman" w:hint="eastAsia"/>
          <w:sz w:val="32"/>
          <w:szCs w:val="20"/>
        </w:rPr>
        <w:t>、保险费、安全奖励费用等支出；公务接待</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单位按规定开支的各类公务接待（含外宾接待）支出。</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（十三）工资福利支出（支出经济分类科目类级）：反映单位开支的在职职工和编制</w:t>
      </w:r>
      <w:proofErr w:type="gramStart"/>
      <w:r>
        <w:rPr>
          <w:rFonts w:ascii="Times New Roman" w:eastAsia="方正仿宋_GBK" w:hAnsi="Times New Roman" w:cs="Times New Roman" w:hint="eastAsia"/>
          <w:sz w:val="32"/>
          <w:szCs w:val="20"/>
        </w:rPr>
        <w:t>外长期</w:t>
      </w:r>
      <w:proofErr w:type="gramEnd"/>
      <w:r>
        <w:rPr>
          <w:rFonts w:ascii="Times New Roman" w:eastAsia="方正仿宋_GBK" w:hAnsi="Times New Roman" w:cs="Times New Roman" w:hint="eastAsia"/>
          <w:sz w:val="32"/>
          <w:szCs w:val="20"/>
        </w:rPr>
        <w:t>聘用人员的各类劳动报酬，以及为上述人员缴纳的各项社会保险费等。</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（十四）商品和服务支出（支出经济分类科目类级）：反映单位购买商品和服务的支出（不包括用于购置固定资产的支出、战略性和应急储备支出）。</w:t>
      </w:r>
    </w:p>
    <w:p w:rsidR="00970EA7" w:rsidRDefault="00AD7967">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（十五）对个人和家庭的补助（支出经济分类科目类级）：反映用于对个人和家庭的补助支出。</w:t>
      </w:r>
    </w:p>
    <w:p w:rsidR="00970EA7" w:rsidRDefault="00AD7967">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（十六）其他资本性支出（支出经济分类科目类级）：反映非本级发展与改革部门集中安排的用于购置固定资产、战略性和</w:t>
      </w:r>
      <w:r>
        <w:rPr>
          <w:rFonts w:ascii="Times New Roman" w:eastAsia="方正仿宋_GBK" w:hAnsi="Times New Roman" w:cs="Times New Roman" w:hint="eastAsia"/>
          <w:sz w:val="32"/>
          <w:szCs w:val="20"/>
        </w:rPr>
        <w:lastRenderedPageBreak/>
        <w:t>应急性储备、土地和无形资产，以及构建基础设施、大型修缮和财政支持企业更新改造所发生的支出。</w:t>
      </w:r>
    </w:p>
    <w:p w:rsidR="00970EA7" w:rsidRDefault="00970EA7">
      <w:pPr>
        <w:ind w:firstLineChars="200" w:firstLine="640"/>
        <w:rPr>
          <w:rFonts w:ascii="Times New Roman" w:eastAsia="方正仿宋_GBK" w:hAnsi="Times New Roman" w:cs="Times New Roman"/>
          <w:sz w:val="32"/>
          <w:szCs w:val="20"/>
        </w:rPr>
      </w:pPr>
    </w:p>
    <w:p w:rsidR="00970EA7" w:rsidRDefault="00AD796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部门预算公开联系人：</w:t>
      </w:r>
      <w:r>
        <w:rPr>
          <w:rFonts w:ascii="Times New Roman" w:eastAsia="方正仿宋_GBK" w:hAnsi="Times New Roman" w:cs="Times New Roman"/>
          <w:sz w:val="32"/>
          <w:szCs w:val="20"/>
        </w:rPr>
        <w:t>龚财政</w:t>
      </w:r>
      <w:r w:rsidR="005F3CF4">
        <w:rPr>
          <w:rFonts w:ascii="Times New Roman" w:eastAsia="方正仿宋_GBK" w:hAnsi="Times New Roman" w:cs="Times New Roman" w:hint="eastAsia"/>
          <w:sz w:val="32"/>
          <w:szCs w:val="20"/>
        </w:rPr>
        <w:t>，</w:t>
      </w:r>
      <w:bookmarkStart w:id="0" w:name="_GoBack"/>
      <w:bookmarkEnd w:id="0"/>
      <w:r>
        <w:rPr>
          <w:rFonts w:ascii="Times New Roman" w:eastAsia="方正仿宋_GBK" w:hAnsi="Times New Roman" w:cs="Times New Roman"/>
          <w:sz w:val="32"/>
          <w:szCs w:val="20"/>
        </w:rPr>
        <w:t>联系方式：</w:t>
      </w:r>
      <w:r>
        <w:rPr>
          <w:rFonts w:ascii="Times New Roman" w:eastAsia="方正仿宋_GBK" w:hAnsi="Times New Roman" w:cs="Times New Roman"/>
          <w:sz w:val="32"/>
          <w:szCs w:val="20"/>
        </w:rPr>
        <w:t>023-</w:t>
      </w:r>
      <w:r>
        <w:rPr>
          <w:rFonts w:ascii="Times New Roman" w:eastAsia="方正仿宋_GBK" w:hAnsi="Times New Roman" w:cs="Times New Roman"/>
          <w:sz w:val="32"/>
          <w:szCs w:val="20"/>
        </w:rPr>
        <w:t>65660899</w:t>
      </w:r>
      <w:r>
        <w:rPr>
          <w:rFonts w:ascii="Times New Roman" w:eastAsia="方正仿宋_GBK" w:hAnsi="Times New Roman" w:cs="Times New Roman" w:hint="eastAsia"/>
          <w:sz w:val="32"/>
          <w:szCs w:val="20"/>
        </w:rPr>
        <w:t>）</w:t>
      </w:r>
    </w:p>
    <w:sectPr w:rsidR="00970EA7">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67" w:rsidRDefault="00AD7967">
      <w:r>
        <w:separator/>
      </w:r>
    </w:p>
  </w:endnote>
  <w:endnote w:type="continuationSeparator" w:id="0">
    <w:p w:rsidR="00AD7967" w:rsidRDefault="00AD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970EA7" w:rsidRDefault="00AD7967">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5F3CF4" w:rsidRPr="005F3CF4">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970EA7" w:rsidRDefault="00970EA7">
    <w:pPr>
      <w:pStyle w:val="a6"/>
    </w:pPr>
  </w:p>
  <w:p w:rsidR="00970EA7" w:rsidRDefault="00970E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970EA7" w:rsidRDefault="00AD7967">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5F3CF4" w:rsidRPr="005F3CF4">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970EA7" w:rsidRDefault="00970EA7">
    <w:pPr>
      <w:pStyle w:val="a6"/>
    </w:pPr>
  </w:p>
  <w:p w:rsidR="00970EA7" w:rsidRDefault="00970E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67" w:rsidRDefault="00AD7967">
      <w:r>
        <w:separator/>
      </w:r>
    </w:p>
  </w:footnote>
  <w:footnote w:type="continuationSeparator" w:id="0">
    <w:p w:rsidR="00AD7967" w:rsidRDefault="00AD7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DDEFA33C"/>
    <w:rsid w:val="ECD3B3C2"/>
    <w:rsid w:val="FB6F9806"/>
    <w:rsid w:val="FCEA7C7E"/>
    <w:rsid w:val="FDC7B564"/>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3CF4"/>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70EA7"/>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D7967"/>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22A078B8"/>
    <w:rsid w:val="398558E9"/>
    <w:rsid w:val="3E66072C"/>
    <w:rsid w:val="3ED67D16"/>
    <w:rsid w:val="463E56CC"/>
    <w:rsid w:val="4CDF46F0"/>
    <w:rsid w:val="58E8682F"/>
    <w:rsid w:val="5E2021FE"/>
    <w:rsid w:val="662F3DAB"/>
    <w:rsid w:val="6D786A68"/>
    <w:rsid w:val="7E0E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124</cp:revision>
  <cp:lastPrinted>2024-02-26T22:23:00Z</cp:lastPrinted>
  <dcterms:created xsi:type="dcterms:W3CDTF">2024-02-03T00:58:00Z</dcterms:created>
  <dcterms:modified xsi:type="dcterms:W3CDTF">2026-05-11T09:57:00Z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63DCBA44C31C4B36632FCB6981582A7A_43</vt:lpwstr>
  </property>
</Properties>
</file>