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B613A">
      <w:pPr>
        <w:ind w:firstLine="560"/>
        <w:rPr>
          <w:kern w:val="0"/>
        </w:rPr>
      </w:pPr>
      <w:bookmarkStart w:id="0" w:name="_GoBack"/>
      <w:bookmarkEnd w:id="0"/>
    </w:p>
    <w:p w14:paraId="3D0C66CE">
      <w:pPr>
        <w:widowControl/>
        <w:spacing w:line="594" w:lineRule="exact"/>
        <w:ind w:firstLine="480"/>
        <w:jc w:val="left"/>
        <w:rPr>
          <w:rFonts w:ascii="宋体" w:hAnsi="宋体" w:cs="宋体"/>
          <w:kern w:val="0"/>
          <w:sz w:val="24"/>
          <w:szCs w:val="24"/>
        </w:rPr>
      </w:pPr>
    </w:p>
    <w:p w14:paraId="2BBBF8B2">
      <w:pPr>
        <w:widowControl/>
        <w:spacing w:line="594" w:lineRule="exact"/>
        <w:ind w:firstLine="480"/>
        <w:jc w:val="left"/>
        <w:rPr>
          <w:rFonts w:ascii="宋体" w:hAnsi="宋体" w:cs="宋体"/>
          <w:kern w:val="0"/>
          <w:sz w:val="24"/>
          <w:szCs w:val="24"/>
        </w:rPr>
      </w:pPr>
    </w:p>
    <w:p w14:paraId="63043EC1">
      <w:pPr>
        <w:widowControl/>
        <w:spacing w:line="594" w:lineRule="exact"/>
        <w:ind w:firstLine="480"/>
        <w:jc w:val="left"/>
        <w:rPr>
          <w:rFonts w:ascii="宋体" w:hAnsi="宋体" w:cs="宋体"/>
          <w:kern w:val="0"/>
          <w:sz w:val="24"/>
          <w:szCs w:val="24"/>
        </w:rPr>
      </w:pPr>
    </w:p>
    <w:p w14:paraId="055FA863">
      <w:pPr>
        <w:widowControl/>
        <w:spacing w:line="594" w:lineRule="exact"/>
        <w:ind w:firstLine="480"/>
        <w:jc w:val="left"/>
        <w:rPr>
          <w:rFonts w:ascii="宋体" w:hAnsi="宋体" w:cs="宋体"/>
          <w:kern w:val="0"/>
          <w:sz w:val="24"/>
          <w:szCs w:val="24"/>
        </w:rPr>
      </w:pPr>
    </w:p>
    <w:p w14:paraId="01F3E937">
      <w:pPr>
        <w:widowControl/>
        <w:spacing w:line="594" w:lineRule="exact"/>
        <w:ind w:firstLine="480"/>
        <w:jc w:val="left"/>
        <w:rPr>
          <w:rFonts w:ascii="宋体" w:hAnsi="宋体" w:cs="宋体"/>
          <w:kern w:val="0"/>
          <w:sz w:val="24"/>
          <w:szCs w:val="24"/>
        </w:rPr>
      </w:pPr>
    </w:p>
    <w:p w14:paraId="37FB7742">
      <w:pPr>
        <w:widowControl/>
        <w:spacing w:line="594" w:lineRule="exact"/>
        <w:ind w:firstLine="0" w:firstLineChars="0"/>
        <w:jc w:val="left"/>
        <w:rPr>
          <w:rFonts w:ascii="宋体" w:hAnsi="宋体" w:cs="宋体"/>
          <w:kern w:val="0"/>
          <w:sz w:val="24"/>
          <w:szCs w:val="24"/>
        </w:rPr>
      </w:pPr>
    </w:p>
    <w:p w14:paraId="35ABB2D0">
      <w:pPr>
        <w:pStyle w:val="9"/>
        <w:ind w:firstLine="480"/>
        <w:rPr>
          <w:rFonts w:ascii="宋体" w:hAnsi="宋体" w:cs="宋体"/>
          <w:sz w:val="24"/>
          <w:szCs w:val="24"/>
        </w:rPr>
      </w:pPr>
    </w:p>
    <w:p w14:paraId="39E40DBD">
      <w:pPr>
        <w:widowControl/>
        <w:spacing w:line="594" w:lineRule="exact"/>
        <w:ind w:firstLine="0" w:firstLineChars="0"/>
        <w:jc w:val="left"/>
        <w:rPr>
          <w:rFonts w:ascii="宋体" w:hAnsi="宋体" w:cs="宋体"/>
          <w:kern w:val="0"/>
          <w:sz w:val="24"/>
          <w:szCs w:val="24"/>
        </w:rPr>
      </w:pPr>
    </w:p>
    <w:p w14:paraId="344C2FC9">
      <w:pPr>
        <w:spacing w:line="594" w:lineRule="exact"/>
        <w:ind w:firstLine="2880" w:firstLineChars="900"/>
        <w:rPr>
          <w:rFonts w:eastAsia="方正仿宋_GBK"/>
          <w:sz w:val="32"/>
          <w:szCs w:val="32"/>
        </w:rPr>
      </w:pPr>
      <w:r>
        <w:rPr>
          <w:rFonts w:eastAsia="方正仿宋_GBK"/>
          <w:sz w:val="32"/>
          <w:szCs w:val="32"/>
        </w:rPr>
        <w:t>香街</w:t>
      </w:r>
      <w:r>
        <w:rPr>
          <w:rFonts w:hint="eastAsia" w:eastAsia="方正仿宋_GBK"/>
          <w:sz w:val="32"/>
          <w:szCs w:val="32"/>
        </w:rPr>
        <w:t>发〔2024〕117</w:t>
      </w:r>
      <w:r>
        <w:rPr>
          <w:rFonts w:eastAsia="方正仿宋_GBK"/>
          <w:sz w:val="32"/>
          <w:szCs w:val="32"/>
        </w:rPr>
        <w:t>号</w:t>
      </w:r>
    </w:p>
    <w:p w14:paraId="60D3EA79">
      <w:pPr>
        <w:spacing w:line="594" w:lineRule="exact"/>
        <w:ind w:firstLine="883"/>
        <w:jc w:val="center"/>
        <w:rPr>
          <w:rFonts w:eastAsia="方正小标宋_GBK"/>
          <w:b/>
          <w:sz w:val="44"/>
          <w:szCs w:val="44"/>
        </w:rPr>
      </w:pPr>
    </w:p>
    <w:p w14:paraId="26876A97">
      <w:pPr>
        <w:pStyle w:val="2"/>
        <w:ind w:firstLine="360"/>
      </w:pPr>
    </w:p>
    <w:p w14:paraId="42C7A5BE">
      <w:pPr>
        <w:widowControl/>
        <w:adjustRightInd/>
        <w:snapToGrid/>
        <w:spacing w:line="560" w:lineRule="exact"/>
        <w:ind w:firstLine="0" w:firstLineChars="0"/>
        <w:jc w:val="center"/>
        <w:rPr>
          <w:rFonts w:eastAsia="方正小标宋_GBK"/>
          <w:bCs/>
          <w:sz w:val="44"/>
          <w:szCs w:val="44"/>
        </w:rPr>
      </w:pPr>
      <w:r>
        <w:rPr>
          <w:rFonts w:hint="eastAsia" w:eastAsia="方正小标宋_GBK"/>
          <w:bCs/>
          <w:sz w:val="44"/>
          <w:szCs w:val="44"/>
        </w:rPr>
        <w:t>重庆高新区香炉山街道办事处</w:t>
      </w:r>
    </w:p>
    <w:p w14:paraId="1629EFBA">
      <w:pPr>
        <w:spacing w:line="600" w:lineRule="exact"/>
        <w:ind w:firstLine="0" w:firstLineChars="0"/>
        <w:jc w:val="center"/>
        <w:rPr>
          <w:rFonts w:eastAsia="方正小标宋_GBK"/>
          <w:bCs/>
          <w:sz w:val="44"/>
          <w:szCs w:val="44"/>
        </w:rPr>
      </w:pPr>
      <w:r>
        <w:rPr>
          <w:rFonts w:hint="eastAsia" w:eastAsia="方正小标宋_GBK"/>
          <w:bCs/>
          <w:sz w:val="44"/>
          <w:szCs w:val="44"/>
        </w:rPr>
        <w:t>关于印发《</w:t>
      </w:r>
      <w:r>
        <w:rPr>
          <w:rFonts w:hint="eastAsia" w:eastAsia="方正小标宋_GBK"/>
          <w:bCs/>
          <w:sz w:val="44"/>
          <w:szCs w:val="44"/>
          <w:lang w:val="zh-CN"/>
        </w:rPr>
        <w:t>香炉山街道2024年秋冬季“治气”攻坚方案</w:t>
      </w:r>
      <w:r>
        <w:rPr>
          <w:rFonts w:hint="eastAsia" w:eastAsia="方正小标宋_GBK"/>
          <w:bCs/>
          <w:sz w:val="44"/>
          <w:szCs w:val="44"/>
        </w:rPr>
        <w:t>》的通知</w:t>
      </w:r>
    </w:p>
    <w:p w14:paraId="5EF53432">
      <w:pPr>
        <w:widowControl/>
        <w:adjustRightInd/>
        <w:snapToGrid/>
        <w:spacing w:line="560" w:lineRule="exact"/>
        <w:ind w:firstLine="0" w:firstLineChars="0"/>
        <w:jc w:val="center"/>
        <w:rPr>
          <w:rFonts w:eastAsia="方正小标宋_GBK"/>
          <w:bCs/>
          <w:sz w:val="44"/>
          <w:szCs w:val="44"/>
        </w:rPr>
      </w:pPr>
    </w:p>
    <w:p w14:paraId="17925194">
      <w:pPr>
        <w:adjustRightInd/>
        <w:snapToGrid/>
        <w:spacing w:line="600" w:lineRule="exact"/>
        <w:ind w:firstLine="0" w:firstLineChars="0"/>
        <w:rPr>
          <w:rFonts w:eastAsia="方正仿宋_GBK"/>
          <w:sz w:val="32"/>
          <w:szCs w:val="32"/>
        </w:rPr>
      </w:pPr>
      <w:r>
        <w:rPr>
          <w:rFonts w:hint="eastAsia" w:eastAsia="方正仿宋_GBK"/>
          <w:sz w:val="32"/>
          <w:szCs w:val="32"/>
        </w:rPr>
        <w:t>各岗位、</w:t>
      </w:r>
      <w:r>
        <w:rPr>
          <w:rFonts w:eastAsia="方正仿宋_GBK"/>
          <w:sz w:val="32"/>
          <w:szCs w:val="32"/>
        </w:rPr>
        <w:t>各社区（村）：</w:t>
      </w:r>
    </w:p>
    <w:p w14:paraId="60152765">
      <w:pPr>
        <w:adjustRightInd/>
        <w:snapToGrid/>
        <w:spacing w:line="600" w:lineRule="exact"/>
        <w:ind w:firstLine="640"/>
        <w:rPr>
          <w:rFonts w:eastAsia="方正仿宋_GBK"/>
          <w:kern w:val="0"/>
          <w:sz w:val="32"/>
          <w:szCs w:val="32"/>
          <w:lang w:val="zh-CN"/>
        </w:rPr>
      </w:pPr>
      <w:r>
        <w:rPr>
          <w:rFonts w:eastAsia="方正仿宋_GBK"/>
          <w:kern w:val="0"/>
          <w:sz w:val="32"/>
          <w:szCs w:val="32"/>
          <w:lang w:val="zh-CN"/>
        </w:rPr>
        <w:t>现将《香炉山街道2024年秋冬季“治气”攻坚方案》印发给你们，请</w:t>
      </w:r>
      <w:r>
        <w:rPr>
          <w:rFonts w:eastAsia="方正仿宋_GBK"/>
          <w:kern w:val="0"/>
          <w:sz w:val="32"/>
          <w:szCs w:val="32"/>
        </w:rPr>
        <w:t>参照执行</w:t>
      </w:r>
      <w:r>
        <w:rPr>
          <w:rFonts w:eastAsia="方正仿宋_GBK"/>
          <w:kern w:val="0"/>
          <w:sz w:val="32"/>
          <w:szCs w:val="32"/>
          <w:lang w:val="zh-CN"/>
        </w:rPr>
        <w:t>。</w:t>
      </w:r>
    </w:p>
    <w:p w14:paraId="2631593A">
      <w:pPr>
        <w:pStyle w:val="9"/>
        <w:ind w:firstLine="640"/>
        <w:rPr>
          <w:rFonts w:eastAsia="方正仿宋_GBK"/>
          <w:sz w:val="32"/>
          <w:szCs w:val="32"/>
          <w:lang w:val="zh-CN"/>
        </w:rPr>
      </w:pPr>
    </w:p>
    <w:p w14:paraId="0B10D587">
      <w:pPr>
        <w:pStyle w:val="9"/>
        <w:ind w:firstLine="0" w:firstLineChars="0"/>
      </w:pPr>
    </w:p>
    <w:p w14:paraId="216571DB">
      <w:pPr>
        <w:pStyle w:val="32"/>
      </w:pPr>
    </w:p>
    <w:p w14:paraId="30EA5D83">
      <w:pPr>
        <w:adjustRightInd/>
        <w:snapToGrid/>
        <w:spacing w:line="600" w:lineRule="exact"/>
        <w:ind w:firstLine="0" w:firstLineChars="0"/>
        <w:rPr>
          <w:rFonts w:eastAsia="方正仿宋_GBK"/>
          <w:spacing w:val="-8"/>
          <w:sz w:val="32"/>
          <w:szCs w:val="32"/>
        </w:rPr>
      </w:pPr>
      <w:r>
        <w:rPr>
          <w:rFonts w:hint="eastAsia" w:eastAsia="方正仿宋_GBK"/>
          <w:spacing w:val="-8"/>
          <w:sz w:val="32"/>
          <w:szCs w:val="32"/>
        </w:rPr>
        <w:t>（此页无正文）</w:t>
      </w:r>
    </w:p>
    <w:p w14:paraId="2126E941">
      <w:pPr>
        <w:adjustRightInd/>
        <w:snapToGrid/>
        <w:spacing w:line="600" w:lineRule="exact"/>
        <w:ind w:firstLine="4560" w:firstLineChars="1500"/>
        <w:rPr>
          <w:rFonts w:eastAsia="方正仿宋_GBK"/>
          <w:spacing w:val="-8"/>
          <w:sz w:val="32"/>
          <w:szCs w:val="32"/>
        </w:rPr>
      </w:pPr>
    </w:p>
    <w:p w14:paraId="23A4F3E1">
      <w:pPr>
        <w:adjustRightInd/>
        <w:snapToGrid/>
        <w:spacing w:line="600" w:lineRule="exact"/>
        <w:ind w:firstLine="4560" w:firstLineChars="1500"/>
        <w:rPr>
          <w:rFonts w:eastAsia="方正仿宋_GBK"/>
          <w:spacing w:val="-8"/>
          <w:sz w:val="32"/>
          <w:szCs w:val="32"/>
        </w:rPr>
      </w:pPr>
    </w:p>
    <w:p w14:paraId="3047C53D">
      <w:pPr>
        <w:adjustRightInd/>
        <w:snapToGrid/>
        <w:spacing w:line="600" w:lineRule="exact"/>
        <w:ind w:firstLine="4560" w:firstLineChars="1500"/>
        <w:rPr>
          <w:rFonts w:eastAsia="方正仿宋_GBK"/>
          <w:spacing w:val="-8"/>
          <w:sz w:val="32"/>
          <w:szCs w:val="32"/>
        </w:rPr>
      </w:pPr>
    </w:p>
    <w:p w14:paraId="3D810D0B">
      <w:pPr>
        <w:adjustRightInd/>
        <w:snapToGrid/>
        <w:spacing w:line="600" w:lineRule="exact"/>
        <w:ind w:firstLine="4560" w:firstLineChars="1500"/>
        <w:rPr>
          <w:rFonts w:eastAsia="方正仿宋_GBK"/>
          <w:spacing w:val="-8"/>
          <w:sz w:val="32"/>
          <w:szCs w:val="32"/>
        </w:rPr>
      </w:pPr>
      <w:r>
        <w:rPr>
          <w:rFonts w:eastAsia="方正仿宋_GBK"/>
          <w:spacing w:val="-8"/>
          <w:sz w:val="32"/>
          <w:szCs w:val="32"/>
        </w:rPr>
        <w:t>重庆高新区香炉山街道办事处</w:t>
      </w:r>
    </w:p>
    <w:p w14:paraId="6939FEEB">
      <w:pPr>
        <w:adjustRightInd/>
        <w:snapToGrid/>
        <w:spacing w:line="600" w:lineRule="exact"/>
        <w:ind w:firstLine="5472" w:firstLineChars="1800"/>
        <w:jc w:val="left"/>
        <w:rPr>
          <w:rFonts w:eastAsia="方正仿宋_GBK"/>
          <w:spacing w:val="-8"/>
          <w:sz w:val="32"/>
          <w:szCs w:val="32"/>
        </w:rPr>
      </w:pPr>
      <w:r>
        <w:rPr>
          <w:rFonts w:eastAsia="方正仿宋_GBK"/>
          <w:spacing w:val="-8"/>
          <w:sz w:val="32"/>
          <w:szCs w:val="32"/>
        </w:rPr>
        <w:t>20</w:t>
      </w:r>
      <w:r>
        <w:rPr>
          <w:rFonts w:hint="eastAsia" w:eastAsia="方正仿宋_GBK"/>
          <w:spacing w:val="-8"/>
          <w:sz w:val="32"/>
          <w:szCs w:val="32"/>
        </w:rPr>
        <w:t>24</w:t>
      </w:r>
      <w:r>
        <w:rPr>
          <w:rFonts w:eastAsia="方正仿宋_GBK"/>
          <w:spacing w:val="-8"/>
          <w:sz w:val="32"/>
          <w:szCs w:val="32"/>
        </w:rPr>
        <w:t>年</w:t>
      </w:r>
      <w:r>
        <w:rPr>
          <w:rFonts w:hint="eastAsia" w:eastAsia="方正仿宋_GBK"/>
          <w:spacing w:val="-8"/>
          <w:sz w:val="32"/>
          <w:szCs w:val="32"/>
        </w:rPr>
        <w:t>10</w:t>
      </w:r>
      <w:r>
        <w:rPr>
          <w:rFonts w:eastAsia="方正仿宋_GBK"/>
          <w:spacing w:val="-8"/>
          <w:sz w:val="32"/>
          <w:szCs w:val="32"/>
        </w:rPr>
        <w:t>月</w:t>
      </w:r>
      <w:r>
        <w:rPr>
          <w:rFonts w:hint="eastAsia" w:eastAsia="方正仿宋_GBK"/>
          <w:spacing w:val="-8"/>
          <w:sz w:val="32"/>
          <w:szCs w:val="32"/>
        </w:rPr>
        <w:t>18</w:t>
      </w:r>
      <w:r>
        <w:rPr>
          <w:rFonts w:eastAsia="方正仿宋_GBK"/>
          <w:spacing w:val="-8"/>
          <w:sz w:val="32"/>
          <w:szCs w:val="32"/>
        </w:rPr>
        <w:t>日</w:t>
      </w:r>
    </w:p>
    <w:p w14:paraId="06D4402B">
      <w:pPr>
        <w:widowControl/>
        <w:adjustRightInd/>
        <w:snapToGrid/>
        <w:spacing w:line="560" w:lineRule="exact"/>
        <w:ind w:firstLine="0" w:firstLineChars="0"/>
        <w:jc w:val="center"/>
        <w:rPr>
          <w:rFonts w:eastAsia="方正小标宋_GBK"/>
          <w:bCs/>
          <w:sz w:val="44"/>
          <w:szCs w:val="44"/>
        </w:rPr>
      </w:pPr>
    </w:p>
    <w:p w14:paraId="30560FCF">
      <w:pPr>
        <w:widowControl/>
        <w:adjustRightInd/>
        <w:snapToGrid/>
        <w:spacing w:line="560" w:lineRule="exact"/>
        <w:ind w:firstLine="0" w:firstLineChars="0"/>
        <w:jc w:val="center"/>
        <w:rPr>
          <w:rFonts w:eastAsia="方正小标宋_GBK"/>
          <w:bCs/>
          <w:sz w:val="44"/>
          <w:szCs w:val="44"/>
        </w:rPr>
      </w:pPr>
    </w:p>
    <w:p w14:paraId="2849F50A">
      <w:pPr>
        <w:widowControl/>
        <w:adjustRightInd/>
        <w:snapToGrid/>
        <w:spacing w:line="560" w:lineRule="exact"/>
        <w:ind w:firstLine="0" w:firstLineChars="0"/>
        <w:jc w:val="left"/>
        <w:rPr>
          <w:rFonts w:eastAsia="方正小标宋_GBK"/>
          <w:bCs/>
          <w:sz w:val="44"/>
          <w:szCs w:val="44"/>
        </w:rPr>
      </w:pPr>
      <w:r>
        <w:rPr>
          <w:rFonts w:hint="eastAsia" w:ascii="方正仿宋_GBK" w:eastAsia="方正仿宋_GBK"/>
          <w:color w:val="333333"/>
          <w:sz w:val="32"/>
          <w:szCs w:val="32"/>
          <w:shd w:val="clear" w:color="auto" w:fill="FFFFFF"/>
        </w:rPr>
        <w:t>（此件公开发布）</w:t>
      </w:r>
    </w:p>
    <w:p w14:paraId="49E29B18">
      <w:pPr>
        <w:widowControl/>
        <w:adjustRightInd/>
        <w:snapToGrid/>
        <w:spacing w:line="560" w:lineRule="exact"/>
        <w:ind w:firstLine="0" w:firstLineChars="0"/>
        <w:jc w:val="center"/>
        <w:rPr>
          <w:rFonts w:eastAsia="方正小标宋_GBK"/>
          <w:bCs/>
          <w:sz w:val="44"/>
          <w:szCs w:val="44"/>
        </w:rPr>
      </w:pPr>
    </w:p>
    <w:p w14:paraId="229CC545">
      <w:pPr>
        <w:widowControl/>
        <w:adjustRightInd/>
        <w:snapToGrid/>
        <w:spacing w:line="560" w:lineRule="exact"/>
        <w:ind w:firstLine="0" w:firstLineChars="0"/>
        <w:jc w:val="center"/>
        <w:rPr>
          <w:rFonts w:eastAsia="方正小标宋_GBK"/>
          <w:bCs/>
          <w:sz w:val="44"/>
          <w:szCs w:val="44"/>
        </w:rPr>
      </w:pPr>
    </w:p>
    <w:p w14:paraId="38046A5E">
      <w:pPr>
        <w:widowControl/>
        <w:adjustRightInd/>
        <w:snapToGrid/>
        <w:spacing w:line="560" w:lineRule="exact"/>
        <w:ind w:firstLine="0" w:firstLineChars="0"/>
        <w:jc w:val="center"/>
        <w:rPr>
          <w:rFonts w:eastAsia="方正小标宋_GBK"/>
          <w:bCs/>
          <w:sz w:val="44"/>
          <w:szCs w:val="44"/>
        </w:rPr>
      </w:pPr>
    </w:p>
    <w:p w14:paraId="67616FE9">
      <w:pPr>
        <w:widowControl/>
        <w:adjustRightInd/>
        <w:snapToGrid/>
        <w:spacing w:line="560" w:lineRule="exact"/>
        <w:ind w:firstLine="0" w:firstLineChars="0"/>
        <w:jc w:val="center"/>
        <w:rPr>
          <w:rFonts w:eastAsia="方正小标宋_GBK"/>
          <w:bCs/>
          <w:sz w:val="44"/>
          <w:szCs w:val="44"/>
        </w:rPr>
      </w:pPr>
    </w:p>
    <w:p w14:paraId="68808D2B">
      <w:pPr>
        <w:widowControl/>
        <w:adjustRightInd/>
        <w:snapToGrid/>
        <w:spacing w:line="560" w:lineRule="exact"/>
        <w:ind w:firstLine="0" w:firstLineChars="0"/>
        <w:jc w:val="center"/>
        <w:rPr>
          <w:rFonts w:eastAsia="方正小标宋_GBK"/>
          <w:bCs/>
          <w:sz w:val="44"/>
          <w:szCs w:val="44"/>
        </w:rPr>
      </w:pPr>
    </w:p>
    <w:p w14:paraId="227BB6ED">
      <w:pPr>
        <w:widowControl/>
        <w:adjustRightInd/>
        <w:snapToGrid/>
        <w:spacing w:line="560" w:lineRule="exact"/>
        <w:ind w:firstLine="0" w:firstLineChars="0"/>
        <w:jc w:val="center"/>
        <w:rPr>
          <w:rFonts w:eastAsia="方正小标宋_GBK"/>
          <w:bCs/>
          <w:sz w:val="44"/>
          <w:szCs w:val="44"/>
        </w:rPr>
      </w:pPr>
    </w:p>
    <w:p w14:paraId="7F71223D">
      <w:pPr>
        <w:widowControl/>
        <w:adjustRightInd/>
        <w:snapToGrid/>
        <w:spacing w:line="560" w:lineRule="exact"/>
        <w:ind w:firstLine="0" w:firstLineChars="0"/>
        <w:jc w:val="center"/>
        <w:rPr>
          <w:rFonts w:eastAsia="方正小标宋_GBK"/>
          <w:bCs/>
          <w:sz w:val="44"/>
          <w:szCs w:val="44"/>
        </w:rPr>
      </w:pPr>
    </w:p>
    <w:p w14:paraId="3A3B723E">
      <w:pPr>
        <w:widowControl/>
        <w:adjustRightInd/>
        <w:snapToGrid/>
        <w:spacing w:line="560" w:lineRule="exact"/>
        <w:ind w:firstLine="0" w:firstLineChars="0"/>
        <w:jc w:val="center"/>
        <w:rPr>
          <w:rFonts w:eastAsia="方正小标宋_GBK"/>
          <w:bCs/>
          <w:sz w:val="44"/>
          <w:szCs w:val="44"/>
        </w:rPr>
      </w:pPr>
    </w:p>
    <w:p w14:paraId="248E70C0">
      <w:pPr>
        <w:widowControl/>
        <w:adjustRightInd/>
        <w:snapToGrid/>
        <w:spacing w:line="560" w:lineRule="exact"/>
        <w:ind w:firstLine="0" w:firstLineChars="0"/>
        <w:jc w:val="center"/>
        <w:rPr>
          <w:rFonts w:eastAsia="方正小标宋_GBK"/>
          <w:bCs/>
          <w:sz w:val="44"/>
          <w:szCs w:val="44"/>
        </w:rPr>
      </w:pPr>
    </w:p>
    <w:p w14:paraId="2674B307">
      <w:pPr>
        <w:widowControl/>
        <w:adjustRightInd/>
        <w:snapToGrid/>
        <w:spacing w:line="560" w:lineRule="exact"/>
        <w:ind w:firstLine="0" w:firstLineChars="0"/>
        <w:jc w:val="center"/>
        <w:rPr>
          <w:rFonts w:eastAsia="方正小标宋_GBK"/>
          <w:bCs/>
          <w:sz w:val="44"/>
          <w:szCs w:val="44"/>
        </w:rPr>
      </w:pPr>
    </w:p>
    <w:p w14:paraId="54C8F1C4">
      <w:pPr>
        <w:widowControl/>
        <w:adjustRightInd/>
        <w:snapToGrid/>
        <w:spacing w:line="560" w:lineRule="exact"/>
        <w:ind w:firstLine="0" w:firstLineChars="0"/>
        <w:rPr>
          <w:rFonts w:eastAsia="方正小标宋_GBK"/>
          <w:bCs/>
          <w:sz w:val="44"/>
          <w:szCs w:val="44"/>
        </w:rPr>
      </w:pPr>
    </w:p>
    <w:p w14:paraId="6EC364D1">
      <w:pPr>
        <w:pStyle w:val="9"/>
        <w:ind w:firstLine="560"/>
      </w:pPr>
    </w:p>
    <w:p w14:paraId="32467248">
      <w:pPr>
        <w:adjustRightInd/>
        <w:snapToGrid/>
        <w:spacing w:line="240" w:lineRule="auto"/>
        <w:ind w:firstLine="0" w:firstLineChars="0"/>
        <w:rPr>
          <w:rFonts w:eastAsia="仿宋_GB2312"/>
          <w:sz w:val="32"/>
          <w:szCs w:val="24"/>
        </w:rPr>
      </w:pPr>
    </w:p>
    <w:p w14:paraId="53220517">
      <w:pPr>
        <w:adjustRightInd/>
        <w:spacing w:line="600" w:lineRule="exact"/>
        <w:ind w:firstLine="0" w:firstLineChars="0"/>
        <w:jc w:val="center"/>
        <w:rPr>
          <w:rFonts w:eastAsia="方正小标宋_GBK"/>
          <w:sz w:val="44"/>
        </w:rPr>
      </w:pPr>
      <w:r>
        <w:rPr>
          <w:rFonts w:hint="eastAsia" w:eastAsia="方正小标宋_GBK"/>
          <w:sz w:val="44"/>
        </w:rPr>
        <w:t>香炉山</w:t>
      </w:r>
      <w:r>
        <w:rPr>
          <w:rFonts w:hint="eastAsia" w:ascii="方正小标宋_GBK" w:hAnsi="方正小标宋_GBK" w:eastAsia="方正小标宋_GBK" w:cs="方正小标宋_GBK"/>
          <w:sz w:val="44"/>
        </w:rPr>
        <w:t>街道2024年秋冬季“治气”</w:t>
      </w:r>
      <w:r>
        <w:rPr>
          <w:rFonts w:hint="eastAsia" w:eastAsia="方正小标宋_GBK"/>
          <w:sz w:val="44"/>
        </w:rPr>
        <w:t>攻坚方案</w:t>
      </w:r>
    </w:p>
    <w:p w14:paraId="250D239F">
      <w:pPr>
        <w:adjustRightInd/>
        <w:snapToGrid/>
        <w:spacing w:line="600" w:lineRule="exact"/>
        <w:ind w:firstLine="0" w:firstLineChars="0"/>
        <w:rPr>
          <w:sz w:val="32"/>
          <w:szCs w:val="32"/>
        </w:rPr>
      </w:pPr>
    </w:p>
    <w:p w14:paraId="0489AF08">
      <w:pPr>
        <w:adjustRightInd/>
        <w:spacing w:line="600" w:lineRule="exact"/>
        <w:ind w:firstLine="640"/>
        <w:rPr>
          <w:rFonts w:eastAsia="方正黑体_GBK"/>
          <w:sz w:val="32"/>
          <w:szCs w:val="32"/>
        </w:rPr>
      </w:pPr>
      <w:r>
        <w:rPr>
          <w:rFonts w:hint="eastAsia" w:eastAsia="方正黑体_GBK"/>
          <w:sz w:val="32"/>
          <w:szCs w:val="32"/>
        </w:rPr>
        <w:t>一、治气攻坚目标</w:t>
      </w:r>
    </w:p>
    <w:p w14:paraId="3CA7C41B">
      <w:pPr>
        <w:adjustRightInd/>
        <w:snapToGrid/>
        <w:spacing w:line="600" w:lineRule="exact"/>
        <w:ind w:firstLine="640"/>
        <w:rPr>
          <w:rFonts w:eastAsia="方正仿宋_GBK"/>
          <w:sz w:val="32"/>
          <w:szCs w:val="32"/>
        </w:rPr>
      </w:pPr>
      <w:r>
        <w:rPr>
          <w:rFonts w:eastAsia="方正仿宋_GBK"/>
          <w:sz w:val="32"/>
          <w:szCs w:val="32"/>
        </w:rPr>
        <w:t>根据《重庆高新区2024年秋冬季“治气”攻坚重点区域强化方案》以及《重庆高新区2024年镇街生态环境保护实绩考核实施细则》要求，确保香炉山街道全年细颗粒物（PM</w:t>
      </w:r>
      <w:r>
        <w:rPr>
          <w:rFonts w:eastAsia="方正仿宋_GBK"/>
          <w:sz w:val="32"/>
          <w:szCs w:val="32"/>
          <w:vertAlign w:val="subscript"/>
        </w:rPr>
        <w:t>2.5</w:t>
      </w:r>
      <w:r>
        <w:rPr>
          <w:rFonts w:eastAsia="方正仿宋_GBK"/>
          <w:sz w:val="32"/>
          <w:szCs w:val="32"/>
        </w:rPr>
        <w:t>）平均浓度控制在39.5 μg/m</w:t>
      </w:r>
      <w:r>
        <w:rPr>
          <w:rFonts w:eastAsia="方正仿宋_GBK"/>
          <w:sz w:val="32"/>
          <w:szCs w:val="32"/>
          <w:vertAlign w:val="superscript"/>
        </w:rPr>
        <w:t>3</w:t>
      </w:r>
      <w:r>
        <w:rPr>
          <w:rFonts w:eastAsia="方正仿宋_GBK"/>
          <w:sz w:val="32"/>
          <w:szCs w:val="32"/>
        </w:rPr>
        <w:t>以内，高新区全年PM</w:t>
      </w:r>
      <w:r>
        <w:rPr>
          <w:rFonts w:eastAsia="方正仿宋_GBK"/>
          <w:sz w:val="32"/>
          <w:szCs w:val="32"/>
          <w:vertAlign w:val="subscript"/>
        </w:rPr>
        <w:t>2.5</w:t>
      </w:r>
      <w:r>
        <w:rPr>
          <w:rFonts w:eastAsia="方正仿宋_GBK"/>
          <w:sz w:val="32"/>
          <w:szCs w:val="32"/>
        </w:rPr>
        <w:t>浓度目标控制在33.7 μg/m</w:t>
      </w:r>
      <w:r>
        <w:rPr>
          <w:rFonts w:eastAsia="方正仿宋_GBK"/>
          <w:sz w:val="32"/>
          <w:szCs w:val="32"/>
          <w:vertAlign w:val="superscript"/>
        </w:rPr>
        <w:t>3</w:t>
      </w:r>
      <w:r>
        <w:rPr>
          <w:rFonts w:eastAsia="方正仿宋_GBK"/>
          <w:sz w:val="32"/>
          <w:szCs w:val="32"/>
        </w:rPr>
        <w:t>以内。为达到全年目标，香炉山9至12月各月份拆解目标如表1。</w:t>
      </w:r>
    </w:p>
    <w:p w14:paraId="004BB5E8">
      <w:pPr>
        <w:adjustRightInd/>
        <w:snapToGrid/>
        <w:spacing w:line="600" w:lineRule="exact"/>
        <w:ind w:firstLine="560"/>
        <w:jc w:val="center"/>
        <w:rPr>
          <w:rFonts w:eastAsia="方正仿宋_GBK"/>
          <w:szCs w:val="28"/>
        </w:rPr>
      </w:pPr>
      <w:r>
        <w:rPr>
          <w:rFonts w:eastAsia="方正仿宋_GBK"/>
          <w:szCs w:val="28"/>
        </w:rPr>
        <w:t>表1.高新区2024年秋冬季</w:t>
      </w:r>
      <w:r>
        <w:rPr>
          <w:rFonts w:eastAsia="方正仿宋_GBK"/>
          <w:sz w:val="32"/>
          <w:szCs w:val="32"/>
        </w:rPr>
        <w:t>“</w:t>
      </w:r>
      <w:r>
        <w:rPr>
          <w:rFonts w:eastAsia="方正仿宋_GBK"/>
          <w:szCs w:val="28"/>
        </w:rPr>
        <w:t>治气</w:t>
      </w:r>
      <w:r>
        <w:rPr>
          <w:rFonts w:eastAsia="方正仿宋_GBK"/>
          <w:sz w:val="32"/>
          <w:szCs w:val="32"/>
        </w:rPr>
        <w:t>”</w:t>
      </w:r>
      <w:r>
        <w:rPr>
          <w:rFonts w:eastAsia="方正仿宋_GBK"/>
          <w:szCs w:val="28"/>
        </w:rPr>
        <w:t>攻坚香炉山空气质量目标分解</w:t>
      </w:r>
    </w:p>
    <w:tbl>
      <w:tblPr>
        <w:tblStyle w:val="26"/>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339"/>
        <w:gridCol w:w="1339"/>
        <w:gridCol w:w="1339"/>
        <w:gridCol w:w="1340"/>
        <w:gridCol w:w="1344"/>
      </w:tblGrid>
      <w:tr w14:paraId="17CD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8" w:type="dxa"/>
            <w:vMerge w:val="restart"/>
            <w:vAlign w:val="center"/>
          </w:tcPr>
          <w:p w14:paraId="6461DFD2">
            <w:pPr>
              <w:adjustRightInd/>
              <w:snapToGrid/>
              <w:spacing w:line="600" w:lineRule="exact"/>
              <w:ind w:firstLine="560"/>
              <w:jc w:val="center"/>
              <w:rPr>
                <w:rFonts w:eastAsia="方正仿宋_GBK"/>
                <w:szCs w:val="28"/>
              </w:rPr>
            </w:pPr>
            <w:r>
              <w:rPr>
                <w:rFonts w:eastAsia="方正仿宋_GBK"/>
                <w:szCs w:val="28"/>
              </w:rPr>
              <w:t>镇街</w:t>
            </w:r>
          </w:p>
        </w:tc>
        <w:tc>
          <w:tcPr>
            <w:tcW w:w="6701" w:type="dxa"/>
            <w:gridSpan w:val="5"/>
            <w:vAlign w:val="center"/>
          </w:tcPr>
          <w:p w14:paraId="057990FF">
            <w:pPr>
              <w:adjustRightInd/>
              <w:snapToGrid/>
              <w:spacing w:line="600" w:lineRule="exact"/>
              <w:ind w:firstLine="560"/>
              <w:jc w:val="center"/>
              <w:rPr>
                <w:rFonts w:eastAsia="方正仿宋_GBK"/>
                <w:szCs w:val="28"/>
              </w:rPr>
            </w:pPr>
            <w:r>
              <w:rPr>
                <w:rFonts w:eastAsia="方正仿宋_GBK"/>
                <w:szCs w:val="28"/>
              </w:rPr>
              <w:t>PM</w:t>
            </w:r>
            <w:r>
              <w:rPr>
                <w:rFonts w:eastAsia="方正仿宋_GBK"/>
                <w:szCs w:val="28"/>
                <w:vertAlign w:val="subscript"/>
              </w:rPr>
              <w:t>2.5</w:t>
            </w:r>
            <w:r>
              <w:rPr>
                <w:rFonts w:eastAsia="方正仿宋_GBK"/>
                <w:szCs w:val="28"/>
              </w:rPr>
              <w:t>浓度目标（μg/m</w:t>
            </w:r>
            <w:r>
              <w:rPr>
                <w:rFonts w:eastAsia="方正仿宋_GBK"/>
                <w:szCs w:val="28"/>
                <w:vertAlign w:val="superscript"/>
              </w:rPr>
              <w:t>3</w:t>
            </w:r>
            <w:r>
              <w:rPr>
                <w:rFonts w:eastAsia="方正仿宋_GBK"/>
                <w:szCs w:val="28"/>
              </w:rPr>
              <w:t>）</w:t>
            </w:r>
          </w:p>
        </w:tc>
      </w:tr>
      <w:tr w14:paraId="4575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8" w:type="dxa"/>
            <w:vMerge w:val="continue"/>
            <w:vAlign w:val="center"/>
          </w:tcPr>
          <w:p w14:paraId="6C5C9498">
            <w:pPr>
              <w:adjustRightInd/>
              <w:snapToGrid/>
              <w:spacing w:line="600" w:lineRule="exact"/>
              <w:ind w:firstLine="560"/>
              <w:jc w:val="center"/>
              <w:rPr>
                <w:rFonts w:eastAsia="方正仿宋_GBK"/>
                <w:szCs w:val="28"/>
              </w:rPr>
            </w:pPr>
          </w:p>
        </w:tc>
        <w:tc>
          <w:tcPr>
            <w:tcW w:w="1339" w:type="dxa"/>
            <w:vAlign w:val="center"/>
          </w:tcPr>
          <w:p w14:paraId="268E92EA">
            <w:pPr>
              <w:adjustRightInd/>
              <w:snapToGrid/>
              <w:spacing w:line="600" w:lineRule="exact"/>
              <w:ind w:firstLine="560"/>
              <w:jc w:val="center"/>
              <w:rPr>
                <w:rFonts w:eastAsia="方正仿宋_GBK"/>
                <w:szCs w:val="28"/>
              </w:rPr>
            </w:pPr>
            <w:r>
              <w:rPr>
                <w:rFonts w:eastAsia="方正仿宋_GBK"/>
                <w:szCs w:val="28"/>
              </w:rPr>
              <w:t>9月</w:t>
            </w:r>
          </w:p>
        </w:tc>
        <w:tc>
          <w:tcPr>
            <w:tcW w:w="1339" w:type="dxa"/>
            <w:vAlign w:val="center"/>
          </w:tcPr>
          <w:p w14:paraId="04EEDC46">
            <w:pPr>
              <w:adjustRightInd/>
              <w:snapToGrid/>
              <w:spacing w:line="600" w:lineRule="exact"/>
              <w:ind w:firstLine="560"/>
              <w:jc w:val="center"/>
              <w:rPr>
                <w:rFonts w:eastAsia="方正仿宋_GBK"/>
                <w:szCs w:val="28"/>
              </w:rPr>
            </w:pPr>
            <w:r>
              <w:rPr>
                <w:rFonts w:eastAsia="方正仿宋_GBK"/>
                <w:szCs w:val="28"/>
              </w:rPr>
              <w:t>10月</w:t>
            </w:r>
          </w:p>
        </w:tc>
        <w:tc>
          <w:tcPr>
            <w:tcW w:w="1339" w:type="dxa"/>
            <w:vAlign w:val="center"/>
          </w:tcPr>
          <w:p w14:paraId="7FBF998E">
            <w:pPr>
              <w:adjustRightInd/>
              <w:snapToGrid/>
              <w:spacing w:line="600" w:lineRule="exact"/>
              <w:ind w:firstLine="560"/>
              <w:jc w:val="center"/>
              <w:rPr>
                <w:rFonts w:eastAsia="方正仿宋_GBK"/>
                <w:szCs w:val="28"/>
              </w:rPr>
            </w:pPr>
            <w:r>
              <w:rPr>
                <w:rFonts w:eastAsia="方正仿宋_GBK"/>
                <w:szCs w:val="28"/>
              </w:rPr>
              <w:t>11月</w:t>
            </w:r>
          </w:p>
        </w:tc>
        <w:tc>
          <w:tcPr>
            <w:tcW w:w="1340" w:type="dxa"/>
            <w:vAlign w:val="center"/>
          </w:tcPr>
          <w:p w14:paraId="3414C985">
            <w:pPr>
              <w:adjustRightInd/>
              <w:snapToGrid/>
              <w:spacing w:line="600" w:lineRule="exact"/>
              <w:ind w:firstLine="560"/>
              <w:jc w:val="center"/>
              <w:rPr>
                <w:rFonts w:eastAsia="方正仿宋_GBK"/>
                <w:szCs w:val="28"/>
              </w:rPr>
            </w:pPr>
            <w:r>
              <w:rPr>
                <w:rFonts w:eastAsia="方正仿宋_GBK"/>
                <w:szCs w:val="28"/>
              </w:rPr>
              <w:t>12月</w:t>
            </w:r>
          </w:p>
        </w:tc>
        <w:tc>
          <w:tcPr>
            <w:tcW w:w="1344" w:type="dxa"/>
            <w:vAlign w:val="center"/>
          </w:tcPr>
          <w:p w14:paraId="7088EA15">
            <w:pPr>
              <w:adjustRightInd/>
              <w:snapToGrid/>
              <w:spacing w:line="600" w:lineRule="exact"/>
              <w:ind w:firstLine="560"/>
              <w:jc w:val="center"/>
              <w:rPr>
                <w:rFonts w:eastAsia="方正仿宋_GBK"/>
                <w:szCs w:val="28"/>
              </w:rPr>
            </w:pPr>
            <w:r>
              <w:rPr>
                <w:rFonts w:eastAsia="方正仿宋_GBK"/>
                <w:szCs w:val="28"/>
              </w:rPr>
              <w:t>全年</w:t>
            </w:r>
          </w:p>
        </w:tc>
      </w:tr>
      <w:tr w14:paraId="0B2E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8" w:type="dxa"/>
            <w:vAlign w:val="center"/>
          </w:tcPr>
          <w:p w14:paraId="7A647651">
            <w:pPr>
              <w:widowControl/>
              <w:adjustRightInd/>
              <w:snapToGrid/>
              <w:spacing w:line="600" w:lineRule="exact"/>
              <w:ind w:firstLine="0" w:firstLineChars="0"/>
              <w:jc w:val="center"/>
              <w:textAlignment w:val="center"/>
              <w:rPr>
                <w:rFonts w:eastAsia="方正仿宋_GBK"/>
                <w:szCs w:val="28"/>
              </w:rPr>
            </w:pPr>
            <w:r>
              <w:rPr>
                <w:rFonts w:eastAsia="方正仿宋_GBK"/>
                <w:kern w:val="0"/>
                <w:szCs w:val="28"/>
                <w:lang w:bidi="ar"/>
              </w:rPr>
              <w:t>香炉山街道</w:t>
            </w:r>
          </w:p>
        </w:tc>
        <w:tc>
          <w:tcPr>
            <w:tcW w:w="1339" w:type="dxa"/>
            <w:vAlign w:val="center"/>
          </w:tcPr>
          <w:p w14:paraId="7CE3240C">
            <w:pPr>
              <w:widowControl/>
              <w:adjustRightInd/>
              <w:snapToGrid/>
              <w:spacing w:line="600" w:lineRule="exact"/>
              <w:ind w:firstLine="0" w:firstLineChars="0"/>
              <w:jc w:val="center"/>
              <w:textAlignment w:val="center"/>
              <w:rPr>
                <w:rFonts w:eastAsia="方正仿宋_GBK"/>
                <w:szCs w:val="28"/>
              </w:rPr>
            </w:pPr>
            <w:r>
              <w:rPr>
                <w:rFonts w:eastAsia="方正仿宋_GBK"/>
                <w:szCs w:val="28"/>
              </w:rPr>
              <w:t>26.2</w:t>
            </w:r>
          </w:p>
        </w:tc>
        <w:tc>
          <w:tcPr>
            <w:tcW w:w="1339" w:type="dxa"/>
            <w:vAlign w:val="center"/>
          </w:tcPr>
          <w:p w14:paraId="1E863FC7">
            <w:pPr>
              <w:widowControl/>
              <w:adjustRightInd/>
              <w:snapToGrid/>
              <w:spacing w:line="600" w:lineRule="exact"/>
              <w:ind w:firstLine="0" w:firstLineChars="0"/>
              <w:jc w:val="center"/>
              <w:textAlignment w:val="center"/>
              <w:rPr>
                <w:rFonts w:eastAsia="方正仿宋_GBK"/>
                <w:szCs w:val="28"/>
              </w:rPr>
            </w:pPr>
            <w:r>
              <w:rPr>
                <w:rFonts w:eastAsia="方正仿宋_GBK"/>
                <w:szCs w:val="28"/>
              </w:rPr>
              <w:t>35.4</w:t>
            </w:r>
          </w:p>
        </w:tc>
        <w:tc>
          <w:tcPr>
            <w:tcW w:w="1339" w:type="dxa"/>
            <w:vAlign w:val="center"/>
          </w:tcPr>
          <w:p w14:paraId="11B9AB2D">
            <w:pPr>
              <w:widowControl/>
              <w:adjustRightInd/>
              <w:snapToGrid/>
              <w:spacing w:line="600" w:lineRule="exact"/>
              <w:ind w:firstLine="0" w:firstLineChars="0"/>
              <w:jc w:val="center"/>
              <w:textAlignment w:val="center"/>
              <w:rPr>
                <w:rFonts w:eastAsia="方正仿宋_GBK"/>
                <w:szCs w:val="28"/>
              </w:rPr>
            </w:pPr>
            <w:r>
              <w:rPr>
                <w:rFonts w:eastAsia="方正仿宋_GBK"/>
                <w:szCs w:val="28"/>
              </w:rPr>
              <w:t>58.8</w:t>
            </w:r>
          </w:p>
        </w:tc>
        <w:tc>
          <w:tcPr>
            <w:tcW w:w="1340" w:type="dxa"/>
            <w:vAlign w:val="center"/>
          </w:tcPr>
          <w:p w14:paraId="50BCF992">
            <w:pPr>
              <w:widowControl/>
              <w:adjustRightInd/>
              <w:snapToGrid/>
              <w:spacing w:line="600" w:lineRule="exact"/>
              <w:ind w:firstLine="0" w:firstLineChars="0"/>
              <w:jc w:val="center"/>
              <w:textAlignment w:val="center"/>
              <w:rPr>
                <w:rFonts w:eastAsia="方正仿宋_GBK"/>
                <w:szCs w:val="28"/>
              </w:rPr>
            </w:pPr>
            <w:r>
              <w:rPr>
                <w:rFonts w:eastAsia="方正仿宋_GBK"/>
                <w:szCs w:val="28"/>
              </w:rPr>
              <w:t>77.9</w:t>
            </w:r>
          </w:p>
        </w:tc>
        <w:tc>
          <w:tcPr>
            <w:tcW w:w="1344" w:type="dxa"/>
            <w:vAlign w:val="center"/>
          </w:tcPr>
          <w:p w14:paraId="3C699677">
            <w:pPr>
              <w:widowControl/>
              <w:adjustRightInd/>
              <w:snapToGrid/>
              <w:spacing w:line="600" w:lineRule="exact"/>
              <w:ind w:firstLine="0" w:firstLineChars="0"/>
              <w:jc w:val="center"/>
              <w:textAlignment w:val="center"/>
              <w:rPr>
                <w:rFonts w:eastAsia="方正仿宋_GBK"/>
                <w:szCs w:val="28"/>
              </w:rPr>
            </w:pPr>
            <w:r>
              <w:rPr>
                <w:rFonts w:eastAsia="方正仿宋_GBK"/>
                <w:szCs w:val="28"/>
              </w:rPr>
              <w:t>39.5</w:t>
            </w:r>
          </w:p>
        </w:tc>
      </w:tr>
    </w:tbl>
    <w:p w14:paraId="5296BAD8">
      <w:pPr>
        <w:adjustRightInd/>
        <w:snapToGrid/>
        <w:spacing w:line="600" w:lineRule="exact"/>
        <w:ind w:firstLine="640"/>
        <w:rPr>
          <w:rFonts w:eastAsia="方正仿宋_GBK"/>
          <w:sz w:val="32"/>
          <w:szCs w:val="32"/>
        </w:rPr>
      </w:pPr>
      <w:r>
        <w:rPr>
          <w:rFonts w:eastAsia="方正仿宋_GBK"/>
          <w:sz w:val="32"/>
          <w:szCs w:val="32"/>
        </w:rPr>
        <w:t>香炉山街道2023年与2024年1至</w:t>
      </w:r>
      <w:r>
        <w:rPr>
          <w:rFonts w:hint="eastAsia" w:eastAsia="方正仿宋_GBK"/>
          <w:sz w:val="32"/>
          <w:szCs w:val="32"/>
        </w:rPr>
        <w:t>9</w:t>
      </w:r>
      <w:r>
        <w:rPr>
          <w:rFonts w:eastAsia="方正仿宋_GBK"/>
          <w:sz w:val="32"/>
          <w:szCs w:val="32"/>
        </w:rPr>
        <w:t>月的各月PM</w:t>
      </w:r>
      <w:r>
        <w:rPr>
          <w:rFonts w:eastAsia="方正仿宋_GBK"/>
          <w:sz w:val="32"/>
          <w:szCs w:val="32"/>
          <w:vertAlign w:val="subscript"/>
        </w:rPr>
        <w:t>2.5</w:t>
      </w:r>
      <w:r>
        <w:rPr>
          <w:rFonts w:eastAsia="方正仿宋_GBK"/>
          <w:sz w:val="32"/>
          <w:szCs w:val="32"/>
        </w:rPr>
        <w:t>平均浓度如表2。2024年1至</w:t>
      </w:r>
      <w:r>
        <w:rPr>
          <w:rFonts w:hint="eastAsia" w:eastAsia="方正仿宋_GBK"/>
          <w:sz w:val="32"/>
          <w:szCs w:val="32"/>
        </w:rPr>
        <w:t>9</w:t>
      </w:r>
      <w:r>
        <w:rPr>
          <w:rFonts w:eastAsia="方正仿宋_GBK"/>
          <w:sz w:val="32"/>
          <w:szCs w:val="32"/>
        </w:rPr>
        <w:t>月已有的平均PM</w:t>
      </w:r>
      <w:r>
        <w:rPr>
          <w:rFonts w:eastAsia="方正仿宋_GBK"/>
          <w:sz w:val="32"/>
          <w:szCs w:val="32"/>
          <w:vertAlign w:val="subscript"/>
        </w:rPr>
        <w:t>2.5</w:t>
      </w:r>
      <w:r>
        <w:rPr>
          <w:rFonts w:eastAsia="方正仿宋_GBK"/>
          <w:sz w:val="32"/>
          <w:szCs w:val="32"/>
        </w:rPr>
        <w:t>浓度为3</w:t>
      </w:r>
      <w:r>
        <w:rPr>
          <w:rFonts w:hint="eastAsia" w:eastAsia="方正仿宋_GBK"/>
          <w:sz w:val="32"/>
          <w:szCs w:val="32"/>
        </w:rPr>
        <w:t>0.7</w:t>
      </w:r>
      <w:r>
        <w:rPr>
          <w:rFonts w:eastAsia="方正仿宋_GBK"/>
          <w:szCs w:val="28"/>
        </w:rPr>
        <w:t>μg/m</w:t>
      </w:r>
      <w:r>
        <w:rPr>
          <w:rFonts w:eastAsia="方正仿宋_GBK"/>
          <w:szCs w:val="28"/>
          <w:vertAlign w:val="superscript"/>
        </w:rPr>
        <w:t>3</w:t>
      </w:r>
      <w:r>
        <w:rPr>
          <w:rFonts w:eastAsia="方正仿宋_GBK"/>
          <w:sz w:val="32"/>
          <w:szCs w:val="32"/>
        </w:rPr>
        <w:t>。将其与2024年</w:t>
      </w:r>
      <w:r>
        <w:rPr>
          <w:rFonts w:hint="eastAsia" w:eastAsia="方正仿宋_GBK"/>
          <w:sz w:val="32"/>
          <w:szCs w:val="32"/>
        </w:rPr>
        <w:t>10</w:t>
      </w:r>
      <w:r>
        <w:rPr>
          <w:rFonts w:eastAsia="方正仿宋_GBK"/>
          <w:sz w:val="32"/>
          <w:szCs w:val="32"/>
        </w:rPr>
        <w:t>至12月目标浓度进行平均计算，结果为37.</w:t>
      </w:r>
      <w:r>
        <w:rPr>
          <w:rFonts w:hint="eastAsia" w:eastAsia="方正仿宋_GBK"/>
          <w:sz w:val="32"/>
          <w:szCs w:val="32"/>
        </w:rPr>
        <w:t>4</w:t>
      </w:r>
      <w:r>
        <w:rPr>
          <w:rFonts w:eastAsia="方正仿宋_GBK"/>
          <w:szCs w:val="28"/>
        </w:rPr>
        <w:t>μg/m</w:t>
      </w:r>
      <w:r>
        <w:rPr>
          <w:rFonts w:eastAsia="方正仿宋_GBK"/>
          <w:szCs w:val="28"/>
          <w:vertAlign w:val="superscript"/>
        </w:rPr>
        <w:t>3</w:t>
      </w:r>
      <w:r>
        <w:rPr>
          <w:rFonts w:eastAsia="方正仿宋_GBK"/>
          <w:sz w:val="32"/>
          <w:szCs w:val="32"/>
        </w:rPr>
        <w:t>，满足2024年的PM</w:t>
      </w:r>
      <w:r>
        <w:rPr>
          <w:rFonts w:eastAsia="方正仿宋_GBK"/>
          <w:sz w:val="32"/>
          <w:szCs w:val="32"/>
          <w:vertAlign w:val="subscript"/>
        </w:rPr>
        <w:t>2.5</w:t>
      </w:r>
      <w:r>
        <w:rPr>
          <w:rFonts w:eastAsia="方正仿宋_GBK"/>
          <w:sz w:val="32"/>
          <w:szCs w:val="32"/>
        </w:rPr>
        <w:t>的考核目标值39.5</w:t>
      </w:r>
      <w:r>
        <w:rPr>
          <w:rFonts w:eastAsia="方正仿宋_GBK"/>
          <w:szCs w:val="28"/>
        </w:rPr>
        <w:t>μg/m</w:t>
      </w:r>
      <w:r>
        <w:rPr>
          <w:rFonts w:eastAsia="方正仿宋_GBK"/>
          <w:szCs w:val="28"/>
          <w:vertAlign w:val="superscript"/>
        </w:rPr>
        <w:t>3</w:t>
      </w:r>
      <w:r>
        <w:rPr>
          <w:rFonts w:eastAsia="方正仿宋_GBK"/>
          <w:sz w:val="32"/>
          <w:szCs w:val="32"/>
        </w:rPr>
        <w:t>。</w:t>
      </w:r>
    </w:p>
    <w:p w14:paraId="2F5D886E">
      <w:pPr>
        <w:adjustRightInd/>
        <w:snapToGrid/>
        <w:spacing w:line="600" w:lineRule="exact"/>
        <w:ind w:firstLine="640"/>
        <w:rPr>
          <w:rFonts w:eastAsia="方正仿宋_GBK"/>
          <w:szCs w:val="28"/>
        </w:rPr>
      </w:pPr>
      <w:r>
        <w:rPr>
          <w:rFonts w:eastAsia="方正仿宋_GBK"/>
          <w:sz w:val="32"/>
          <w:szCs w:val="32"/>
        </w:rPr>
        <w:t>将2023年与2024年的PM</w:t>
      </w:r>
      <w:r>
        <w:rPr>
          <w:rFonts w:eastAsia="方正仿宋_GBK"/>
          <w:sz w:val="32"/>
          <w:szCs w:val="32"/>
          <w:vertAlign w:val="subscript"/>
        </w:rPr>
        <w:t>2.5</w:t>
      </w:r>
      <w:r>
        <w:rPr>
          <w:rFonts w:eastAsia="方正仿宋_GBK"/>
          <w:sz w:val="32"/>
          <w:szCs w:val="32"/>
        </w:rPr>
        <w:t>数据进行同期对比发现，2024年1至</w:t>
      </w:r>
      <w:r>
        <w:rPr>
          <w:rFonts w:hint="eastAsia" w:eastAsia="方正仿宋_GBK"/>
          <w:sz w:val="32"/>
          <w:szCs w:val="32"/>
        </w:rPr>
        <w:t>9</w:t>
      </w:r>
      <w:r>
        <w:rPr>
          <w:rFonts w:eastAsia="方正仿宋_GBK"/>
          <w:sz w:val="32"/>
          <w:szCs w:val="32"/>
        </w:rPr>
        <w:t>月的PM</w:t>
      </w:r>
      <w:r>
        <w:rPr>
          <w:rFonts w:eastAsia="方正仿宋_GBK"/>
          <w:sz w:val="32"/>
          <w:szCs w:val="32"/>
          <w:vertAlign w:val="subscript"/>
        </w:rPr>
        <w:t>2.5</w:t>
      </w:r>
      <w:r>
        <w:rPr>
          <w:rFonts w:eastAsia="方正仿宋_GBK"/>
          <w:sz w:val="32"/>
          <w:szCs w:val="32"/>
        </w:rPr>
        <w:t>平均浓度均低于2023年1至</w:t>
      </w:r>
      <w:r>
        <w:rPr>
          <w:rFonts w:hint="eastAsia" w:eastAsia="方正仿宋_GBK"/>
          <w:sz w:val="32"/>
          <w:szCs w:val="32"/>
        </w:rPr>
        <w:t>9</w:t>
      </w:r>
      <w:r>
        <w:rPr>
          <w:rFonts w:eastAsia="方正仿宋_GBK"/>
          <w:sz w:val="32"/>
          <w:szCs w:val="32"/>
        </w:rPr>
        <w:t>月各月的PM</w:t>
      </w:r>
      <w:r>
        <w:rPr>
          <w:rFonts w:eastAsia="方正仿宋_GBK"/>
          <w:sz w:val="32"/>
          <w:szCs w:val="32"/>
          <w:vertAlign w:val="subscript"/>
        </w:rPr>
        <w:t>2.5</w:t>
      </w:r>
      <w:r>
        <w:rPr>
          <w:rFonts w:eastAsia="方正仿宋_GBK"/>
          <w:sz w:val="32"/>
          <w:szCs w:val="32"/>
        </w:rPr>
        <w:t>平均浓度值。且2023年</w:t>
      </w:r>
      <w:r>
        <w:rPr>
          <w:rFonts w:hint="eastAsia" w:eastAsia="方正仿宋_GBK"/>
          <w:sz w:val="32"/>
          <w:szCs w:val="32"/>
        </w:rPr>
        <w:t>10</w:t>
      </w:r>
      <w:r>
        <w:rPr>
          <w:rFonts w:eastAsia="方正仿宋_GBK"/>
          <w:sz w:val="32"/>
          <w:szCs w:val="32"/>
        </w:rPr>
        <w:t>至12月PM</w:t>
      </w:r>
      <w:r>
        <w:rPr>
          <w:rFonts w:eastAsia="方正仿宋_GBK"/>
          <w:sz w:val="32"/>
          <w:szCs w:val="32"/>
          <w:vertAlign w:val="subscript"/>
        </w:rPr>
        <w:t>2.5</w:t>
      </w:r>
      <w:r>
        <w:rPr>
          <w:rFonts w:eastAsia="方正仿宋_GBK"/>
          <w:sz w:val="32"/>
          <w:szCs w:val="32"/>
        </w:rPr>
        <w:t>平均浓度均低于2024年</w:t>
      </w:r>
      <w:r>
        <w:rPr>
          <w:rFonts w:hint="eastAsia" w:eastAsia="方正仿宋_GBK"/>
          <w:sz w:val="32"/>
          <w:szCs w:val="32"/>
        </w:rPr>
        <w:t>10</w:t>
      </w:r>
      <w:r>
        <w:rPr>
          <w:rFonts w:eastAsia="方正仿宋_GBK"/>
          <w:sz w:val="32"/>
          <w:szCs w:val="32"/>
        </w:rPr>
        <w:t>至12月各月PM</w:t>
      </w:r>
      <w:r>
        <w:rPr>
          <w:rFonts w:eastAsia="方正仿宋_GBK"/>
          <w:sz w:val="32"/>
          <w:szCs w:val="32"/>
          <w:vertAlign w:val="subscript"/>
        </w:rPr>
        <w:t>2.5</w:t>
      </w:r>
      <w:r>
        <w:rPr>
          <w:rFonts w:eastAsia="方正仿宋_GBK"/>
          <w:sz w:val="32"/>
          <w:szCs w:val="32"/>
        </w:rPr>
        <w:t>目标浓度。若2024年</w:t>
      </w:r>
      <w:r>
        <w:rPr>
          <w:rFonts w:hint="eastAsia" w:eastAsia="方正仿宋_GBK"/>
          <w:sz w:val="32"/>
          <w:szCs w:val="32"/>
        </w:rPr>
        <w:t>10</w:t>
      </w:r>
      <w:r>
        <w:rPr>
          <w:rFonts w:eastAsia="方正仿宋_GBK"/>
          <w:sz w:val="32"/>
          <w:szCs w:val="32"/>
        </w:rPr>
        <w:t>至12月变化趋势无较大波动，预计可以达到2024年PM</w:t>
      </w:r>
      <w:r>
        <w:rPr>
          <w:rFonts w:eastAsia="方正仿宋_GBK"/>
          <w:sz w:val="32"/>
          <w:szCs w:val="32"/>
          <w:vertAlign w:val="subscript"/>
        </w:rPr>
        <w:t>2.5</w:t>
      </w:r>
      <w:r>
        <w:rPr>
          <w:rFonts w:eastAsia="方正仿宋_GBK"/>
          <w:sz w:val="32"/>
          <w:szCs w:val="32"/>
        </w:rPr>
        <w:t>浓度目标以下。</w:t>
      </w:r>
    </w:p>
    <w:p w14:paraId="6CA87206">
      <w:pPr>
        <w:adjustRightInd/>
        <w:snapToGrid/>
        <w:spacing w:line="600" w:lineRule="exact"/>
        <w:ind w:firstLine="560"/>
        <w:jc w:val="center"/>
        <w:rPr>
          <w:rFonts w:eastAsia="方正仿宋_GBK"/>
          <w:szCs w:val="28"/>
        </w:rPr>
      </w:pPr>
      <w:r>
        <w:rPr>
          <w:rFonts w:eastAsia="方正仿宋_GBK"/>
          <w:szCs w:val="28"/>
        </w:rPr>
        <w:t>表2.香炉山2023至2024年各月PM</w:t>
      </w:r>
      <w:r>
        <w:rPr>
          <w:rFonts w:eastAsia="方正仿宋_GBK"/>
          <w:szCs w:val="28"/>
          <w:vertAlign w:val="subscript"/>
        </w:rPr>
        <w:t>2.5</w:t>
      </w:r>
      <w:r>
        <w:rPr>
          <w:rFonts w:eastAsia="方正仿宋_GBK"/>
          <w:szCs w:val="28"/>
        </w:rPr>
        <w:t>平均浓度</w:t>
      </w:r>
    </w:p>
    <w:tbl>
      <w:tblPr>
        <w:tblStyle w:val="2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720"/>
        <w:gridCol w:w="720"/>
        <w:gridCol w:w="720"/>
        <w:gridCol w:w="720"/>
        <w:gridCol w:w="720"/>
        <w:gridCol w:w="720"/>
        <w:gridCol w:w="720"/>
        <w:gridCol w:w="720"/>
        <w:gridCol w:w="652"/>
        <w:gridCol w:w="788"/>
        <w:gridCol w:w="720"/>
        <w:gridCol w:w="748"/>
      </w:tblGrid>
      <w:tr w14:paraId="7233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14" w:type="dxa"/>
            <w:vMerge w:val="restart"/>
            <w:vAlign w:val="center"/>
          </w:tcPr>
          <w:p w14:paraId="7CC48D89">
            <w:pPr>
              <w:adjustRightInd/>
              <w:snapToGrid/>
              <w:spacing w:line="600" w:lineRule="exact"/>
              <w:ind w:firstLine="0" w:firstLineChars="0"/>
              <w:jc w:val="center"/>
              <w:rPr>
                <w:rFonts w:eastAsia="方正仿宋_GBK"/>
                <w:szCs w:val="28"/>
              </w:rPr>
            </w:pPr>
            <w:r>
              <w:rPr>
                <w:rFonts w:eastAsia="方正仿宋_GBK"/>
                <w:szCs w:val="28"/>
              </w:rPr>
              <w:t>年份</w:t>
            </w:r>
          </w:p>
        </w:tc>
        <w:tc>
          <w:tcPr>
            <w:tcW w:w="8668" w:type="dxa"/>
            <w:gridSpan w:val="12"/>
            <w:vAlign w:val="center"/>
          </w:tcPr>
          <w:p w14:paraId="0EA0D7AE">
            <w:pPr>
              <w:adjustRightInd/>
              <w:snapToGrid/>
              <w:spacing w:line="600" w:lineRule="exact"/>
              <w:ind w:firstLine="0" w:firstLineChars="0"/>
              <w:jc w:val="center"/>
              <w:rPr>
                <w:rFonts w:eastAsia="方正仿宋_GBK"/>
                <w:szCs w:val="28"/>
              </w:rPr>
            </w:pPr>
            <w:r>
              <w:rPr>
                <w:rFonts w:eastAsia="方正仿宋_GBK"/>
                <w:szCs w:val="28"/>
              </w:rPr>
              <w:t>PM</w:t>
            </w:r>
            <w:r>
              <w:rPr>
                <w:rFonts w:eastAsia="方正仿宋_GBK"/>
                <w:szCs w:val="28"/>
                <w:vertAlign w:val="subscript"/>
              </w:rPr>
              <w:t>2.5</w:t>
            </w:r>
            <w:r>
              <w:rPr>
                <w:rFonts w:eastAsia="方正仿宋_GBK"/>
                <w:szCs w:val="28"/>
              </w:rPr>
              <w:t>平均浓度（μg/m</w:t>
            </w:r>
            <w:r>
              <w:rPr>
                <w:rFonts w:eastAsia="方正仿宋_GBK"/>
                <w:szCs w:val="28"/>
                <w:vertAlign w:val="superscript"/>
              </w:rPr>
              <w:t>3</w:t>
            </w:r>
            <w:r>
              <w:rPr>
                <w:rFonts w:eastAsia="方正仿宋_GBK"/>
                <w:szCs w:val="28"/>
              </w:rPr>
              <w:t>）</w:t>
            </w:r>
          </w:p>
        </w:tc>
      </w:tr>
      <w:tr w14:paraId="6DD4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14" w:type="dxa"/>
            <w:vMerge w:val="continue"/>
            <w:vAlign w:val="center"/>
          </w:tcPr>
          <w:p w14:paraId="266F25E1">
            <w:pPr>
              <w:adjustRightInd/>
              <w:snapToGrid/>
              <w:spacing w:line="600" w:lineRule="exact"/>
              <w:ind w:firstLine="0" w:firstLineChars="0"/>
              <w:jc w:val="center"/>
              <w:rPr>
                <w:rFonts w:eastAsia="方正仿宋_GBK"/>
                <w:szCs w:val="28"/>
              </w:rPr>
            </w:pPr>
          </w:p>
        </w:tc>
        <w:tc>
          <w:tcPr>
            <w:tcW w:w="720" w:type="dxa"/>
            <w:vAlign w:val="center"/>
          </w:tcPr>
          <w:p w14:paraId="152A7060">
            <w:pPr>
              <w:adjustRightInd/>
              <w:snapToGrid/>
              <w:spacing w:line="600" w:lineRule="exact"/>
              <w:ind w:firstLine="0" w:firstLineChars="0"/>
              <w:jc w:val="center"/>
              <w:rPr>
                <w:rFonts w:eastAsia="方正仿宋_GBK"/>
                <w:sz w:val="24"/>
                <w:szCs w:val="24"/>
              </w:rPr>
            </w:pPr>
            <w:r>
              <w:rPr>
                <w:rFonts w:eastAsia="方正仿宋_GBK"/>
                <w:sz w:val="24"/>
                <w:szCs w:val="24"/>
              </w:rPr>
              <w:t>1月</w:t>
            </w:r>
          </w:p>
        </w:tc>
        <w:tc>
          <w:tcPr>
            <w:tcW w:w="720" w:type="dxa"/>
            <w:vAlign w:val="center"/>
          </w:tcPr>
          <w:p w14:paraId="77543ADC">
            <w:pPr>
              <w:adjustRightInd/>
              <w:snapToGrid/>
              <w:spacing w:line="600" w:lineRule="exact"/>
              <w:ind w:firstLine="0" w:firstLineChars="0"/>
              <w:jc w:val="center"/>
              <w:rPr>
                <w:rFonts w:eastAsia="方正仿宋_GBK"/>
                <w:sz w:val="24"/>
                <w:szCs w:val="24"/>
              </w:rPr>
            </w:pPr>
            <w:r>
              <w:rPr>
                <w:rFonts w:eastAsia="方正仿宋_GBK"/>
                <w:sz w:val="24"/>
                <w:szCs w:val="24"/>
              </w:rPr>
              <w:t>2月</w:t>
            </w:r>
          </w:p>
        </w:tc>
        <w:tc>
          <w:tcPr>
            <w:tcW w:w="720" w:type="dxa"/>
            <w:vAlign w:val="center"/>
          </w:tcPr>
          <w:p w14:paraId="7FAAE1F9">
            <w:pPr>
              <w:adjustRightInd/>
              <w:snapToGrid/>
              <w:spacing w:line="600" w:lineRule="exact"/>
              <w:ind w:firstLine="0" w:firstLineChars="0"/>
              <w:jc w:val="center"/>
              <w:rPr>
                <w:rFonts w:eastAsia="方正仿宋_GBK"/>
                <w:sz w:val="24"/>
                <w:szCs w:val="24"/>
              </w:rPr>
            </w:pPr>
            <w:r>
              <w:rPr>
                <w:rFonts w:eastAsia="方正仿宋_GBK"/>
                <w:sz w:val="24"/>
                <w:szCs w:val="24"/>
              </w:rPr>
              <w:t>3月</w:t>
            </w:r>
          </w:p>
        </w:tc>
        <w:tc>
          <w:tcPr>
            <w:tcW w:w="720" w:type="dxa"/>
            <w:vAlign w:val="center"/>
          </w:tcPr>
          <w:p w14:paraId="433F9328">
            <w:pPr>
              <w:adjustRightInd/>
              <w:snapToGrid/>
              <w:spacing w:line="600" w:lineRule="exact"/>
              <w:ind w:firstLine="0" w:firstLineChars="0"/>
              <w:jc w:val="center"/>
              <w:rPr>
                <w:rFonts w:eastAsia="方正仿宋_GBK"/>
                <w:sz w:val="24"/>
                <w:szCs w:val="24"/>
              </w:rPr>
            </w:pPr>
            <w:r>
              <w:rPr>
                <w:rFonts w:eastAsia="方正仿宋_GBK"/>
                <w:sz w:val="24"/>
                <w:szCs w:val="24"/>
              </w:rPr>
              <w:t>4月</w:t>
            </w:r>
          </w:p>
        </w:tc>
        <w:tc>
          <w:tcPr>
            <w:tcW w:w="720" w:type="dxa"/>
            <w:vAlign w:val="center"/>
          </w:tcPr>
          <w:p w14:paraId="1502A231">
            <w:pPr>
              <w:adjustRightInd/>
              <w:snapToGrid/>
              <w:spacing w:line="600" w:lineRule="exact"/>
              <w:ind w:firstLine="0" w:firstLineChars="0"/>
              <w:jc w:val="center"/>
              <w:rPr>
                <w:rFonts w:eastAsia="方正仿宋_GBK"/>
                <w:sz w:val="24"/>
                <w:szCs w:val="24"/>
              </w:rPr>
            </w:pPr>
            <w:r>
              <w:rPr>
                <w:rFonts w:eastAsia="方正仿宋_GBK"/>
                <w:sz w:val="24"/>
                <w:szCs w:val="24"/>
              </w:rPr>
              <w:t>5月</w:t>
            </w:r>
          </w:p>
        </w:tc>
        <w:tc>
          <w:tcPr>
            <w:tcW w:w="720" w:type="dxa"/>
            <w:vAlign w:val="center"/>
          </w:tcPr>
          <w:p w14:paraId="4DDF769D">
            <w:pPr>
              <w:adjustRightInd/>
              <w:snapToGrid/>
              <w:spacing w:line="600" w:lineRule="exact"/>
              <w:ind w:firstLine="0" w:firstLineChars="0"/>
              <w:jc w:val="center"/>
              <w:rPr>
                <w:rFonts w:eastAsia="方正仿宋_GBK"/>
                <w:sz w:val="24"/>
                <w:szCs w:val="24"/>
              </w:rPr>
            </w:pPr>
            <w:r>
              <w:rPr>
                <w:rFonts w:eastAsia="方正仿宋_GBK"/>
                <w:sz w:val="24"/>
                <w:szCs w:val="24"/>
              </w:rPr>
              <w:t>6月</w:t>
            </w:r>
          </w:p>
        </w:tc>
        <w:tc>
          <w:tcPr>
            <w:tcW w:w="720" w:type="dxa"/>
            <w:vAlign w:val="center"/>
          </w:tcPr>
          <w:p w14:paraId="2B35EFB5">
            <w:pPr>
              <w:adjustRightInd/>
              <w:snapToGrid/>
              <w:spacing w:line="600" w:lineRule="exact"/>
              <w:ind w:firstLine="0" w:firstLineChars="0"/>
              <w:jc w:val="center"/>
              <w:rPr>
                <w:rFonts w:eastAsia="方正仿宋_GBK"/>
                <w:sz w:val="24"/>
                <w:szCs w:val="24"/>
              </w:rPr>
            </w:pPr>
            <w:r>
              <w:rPr>
                <w:rFonts w:eastAsia="方正仿宋_GBK"/>
                <w:sz w:val="24"/>
                <w:szCs w:val="24"/>
              </w:rPr>
              <w:t>7月</w:t>
            </w:r>
          </w:p>
        </w:tc>
        <w:tc>
          <w:tcPr>
            <w:tcW w:w="720" w:type="dxa"/>
            <w:vAlign w:val="center"/>
          </w:tcPr>
          <w:p w14:paraId="4D70EA76">
            <w:pPr>
              <w:adjustRightInd/>
              <w:snapToGrid/>
              <w:spacing w:line="600" w:lineRule="exact"/>
              <w:ind w:firstLine="0" w:firstLineChars="0"/>
              <w:jc w:val="center"/>
              <w:rPr>
                <w:rFonts w:eastAsia="方正仿宋_GBK"/>
                <w:sz w:val="24"/>
                <w:szCs w:val="24"/>
              </w:rPr>
            </w:pPr>
            <w:r>
              <w:rPr>
                <w:rFonts w:eastAsia="方正仿宋_GBK"/>
                <w:sz w:val="24"/>
                <w:szCs w:val="24"/>
              </w:rPr>
              <w:t>8月</w:t>
            </w:r>
          </w:p>
        </w:tc>
        <w:tc>
          <w:tcPr>
            <w:tcW w:w="652" w:type="dxa"/>
            <w:vAlign w:val="center"/>
          </w:tcPr>
          <w:p w14:paraId="57DBE863">
            <w:pPr>
              <w:adjustRightInd/>
              <w:snapToGrid/>
              <w:spacing w:line="600" w:lineRule="exact"/>
              <w:ind w:firstLine="0" w:firstLineChars="0"/>
              <w:jc w:val="center"/>
              <w:rPr>
                <w:rFonts w:eastAsia="方正仿宋_GBK"/>
                <w:sz w:val="24"/>
                <w:szCs w:val="24"/>
              </w:rPr>
            </w:pPr>
            <w:r>
              <w:rPr>
                <w:rFonts w:eastAsia="方正仿宋_GBK"/>
                <w:sz w:val="24"/>
                <w:szCs w:val="24"/>
              </w:rPr>
              <w:t>9月</w:t>
            </w:r>
          </w:p>
        </w:tc>
        <w:tc>
          <w:tcPr>
            <w:tcW w:w="788" w:type="dxa"/>
            <w:vAlign w:val="center"/>
          </w:tcPr>
          <w:p w14:paraId="7BAF9550">
            <w:pPr>
              <w:adjustRightInd/>
              <w:snapToGrid/>
              <w:spacing w:line="600" w:lineRule="exact"/>
              <w:ind w:firstLine="0" w:firstLineChars="0"/>
              <w:jc w:val="center"/>
              <w:rPr>
                <w:rFonts w:eastAsia="方正仿宋_GBK"/>
                <w:sz w:val="24"/>
                <w:szCs w:val="24"/>
              </w:rPr>
            </w:pPr>
            <w:r>
              <w:rPr>
                <w:rFonts w:eastAsia="方正仿宋_GBK"/>
                <w:sz w:val="24"/>
                <w:szCs w:val="24"/>
              </w:rPr>
              <w:t>10月</w:t>
            </w:r>
          </w:p>
        </w:tc>
        <w:tc>
          <w:tcPr>
            <w:tcW w:w="720" w:type="dxa"/>
            <w:vAlign w:val="center"/>
          </w:tcPr>
          <w:p w14:paraId="24174FCD">
            <w:pPr>
              <w:adjustRightInd/>
              <w:snapToGrid/>
              <w:spacing w:line="600" w:lineRule="exact"/>
              <w:ind w:firstLine="0" w:firstLineChars="0"/>
              <w:jc w:val="center"/>
              <w:rPr>
                <w:rFonts w:eastAsia="方正仿宋_GBK"/>
                <w:sz w:val="24"/>
                <w:szCs w:val="24"/>
              </w:rPr>
            </w:pPr>
            <w:r>
              <w:rPr>
                <w:rFonts w:eastAsia="方正仿宋_GBK"/>
                <w:sz w:val="24"/>
                <w:szCs w:val="24"/>
              </w:rPr>
              <w:t>11月</w:t>
            </w:r>
          </w:p>
        </w:tc>
        <w:tc>
          <w:tcPr>
            <w:tcW w:w="748" w:type="dxa"/>
            <w:vAlign w:val="center"/>
          </w:tcPr>
          <w:p w14:paraId="0CE9EE20">
            <w:pPr>
              <w:adjustRightInd/>
              <w:snapToGrid/>
              <w:spacing w:line="600" w:lineRule="exact"/>
              <w:ind w:firstLine="0" w:firstLineChars="0"/>
              <w:jc w:val="center"/>
              <w:rPr>
                <w:rFonts w:eastAsia="方正仿宋_GBK"/>
                <w:sz w:val="24"/>
                <w:szCs w:val="24"/>
              </w:rPr>
            </w:pPr>
            <w:r>
              <w:rPr>
                <w:rFonts w:eastAsia="方正仿宋_GBK"/>
                <w:sz w:val="24"/>
                <w:szCs w:val="24"/>
              </w:rPr>
              <w:t>12月</w:t>
            </w:r>
          </w:p>
        </w:tc>
      </w:tr>
      <w:tr w14:paraId="2185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14" w:type="dxa"/>
            <w:vAlign w:val="center"/>
          </w:tcPr>
          <w:p w14:paraId="0396DEEC">
            <w:pPr>
              <w:adjustRightInd/>
              <w:snapToGrid/>
              <w:spacing w:line="600" w:lineRule="exact"/>
              <w:ind w:firstLine="0" w:firstLineChars="0"/>
              <w:jc w:val="center"/>
              <w:rPr>
                <w:rFonts w:eastAsia="方正仿宋_GBK"/>
                <w:szCs w:val="28"/>
              </w:rPr>
            </w:pPr>
            <w:r>
              <w:rPr>
                <w:rFonts w:eastAsia="方正仿宋_GBK"/>
                <w:szCs w:val="28"/>
              </w:rPr>
              <w:t>2023</w:t>
            </w:r>
          </w:p>
        </w:tc>
        <w:tc>
          <w:tcPr>
            <w:tcW w:w="720" w:type="dxa"/>
            <w:vAlign w:val="center"/>
          </w:tcPr>
          <w:p w14:paraId="38517189">
            <w:pPr>
              <w:adjustRightInd/>
              <w:snapToGrid/>
              <w:spacing w:line="600" w:lineRule="exact"/>
              <w:ind w:firstLine="0" w:firstLineChars="0"/>
              <w:jc w:val="center"/>
              <w:rPr>
                <w:rFonts w:eastAsia="方正仿宋_GBK"/>
                <w:sz w:val="24"/>
                <w:szCs w:val="24"/>
              </w:rPr>
            </w:pPr>
            <w:r>
              <w:rPr>
                <w:rFonts w:eastAsia="方正仿宋_GBK"/>
                <w:sz w:val="24"/>
                <w:szCs w:val="24"/>
              </w:rPr>
              <w:t>89.9</w:t>
            </w:r>
          </w:p>
        </w:tc>
        <w:tc>
          <w:tcPr>
            <w:tcW w:w="720" w:type="dxa"/>
            <w:vAlign w:val="center"/>
          </w:tcPr>
          <w:p w14:paraId="7525195A">
            <w:pPr>
              <w:adjustRightInd/>
              <w:snapToGrid/>
              <w:spacing w:line="600" w:lineRule="exact"/>
              <w:ind w:firstLine="0" w:firstLineChars="0"/>
              <w:jc w:val="center"/>
              <w:rPr>
                <w:rFonts w:eastAsia="方正仿宋_GBK"/>
                <w:sz w:val="24"/>
                <w:szCs w:val="24"/>
              </w:rPr>
            </w:pPr>
            <w:r>
              <w:rPr>
                <w:rFonts w:eastAsia="方正仿宋_GBK"/>
                <w:sz w:val="24"/>
                <w:szCs w:val="24"/>
              </w:rPr>
              <w:t>75.5</w:t>
            </w:r>
          </w:p>
        </w:tc>
        <w:tc>
          <w:tcPr>
            <w:tcW w:w="720" w:type="dxa"/>
            <w:vAlign w:val="center"/>
          </w:tcPr>
          <w:p w14:paraId="7E3A10D3">
            <w:pPr>
              <w:adjustRightInd/>
              <w:snapToGrid/>
              <w:spacing w:line="600" w:lineRule="exact"/>
              <w:ind w:firstLine="0" w:firstLineChars="0"/>
              <w:jc w:val="center"/>
              <w:rPr>
                <w:rFonts w:eastAsia="方正仿宋_GBK"/>
                <w:sz w:val="24"/>
                <w:szCs w:val="24"/>
              </w:rPr>
            </w:pPr>
            <w:r>
              <w:rPr>
                <w:rFonts w:eastAsia="方正仿宋_GBK"/>
                <w:sz w:val="24"/>
                <w:szCs w:val="24"/>
              </w:rPr>
              <w:t>44.7</w:t>
            </w:r>
          </w:p>
        </w:tc>
        <w:tc>
          <w:tcPr>
            <w:tcW w:w="720" w:type="dxa"/>
            <w:vAlign w:val="center"/>
          </w:tcPr>
          <w:p w14:paraId="31A82585">
            <w:pPr>
              <w:adjustRightInd/>
              <w:snapToGrid/>
              <w:spacing w:line="600" w:lineRule="exact"/>
              <w:ind w:firstLine="0" w:firstLineChars="0"/>
              <w:jc w:val="center"/>
              <w:rPr>
                <w:rFonts w:eastAsia="方正仿宋_GBK"/>
                <w:sz w:val="24"/>
                <w:szCs w:val="24"/>
              </w:rPr>
            </w:pPr>
            <w:r>
              <w:rPr>
                <w:rFonts w:eastAsia="方正仿宋_GBK"/>
                <w:sz w:val="24"/>
                <w:szCs w:val="24"/>
              </w:rPr>
              <w:t>31.5</w:t>
            </w:r>
          </w:p>
        </w:tc>
        <w:tc>
          <w:tcPr>
            <w:tcW w:w="720" w:type="dxa"/>
            <w:vAlign w:val="center"/>
          </w:tcPr>
          <w:p w14:paraId="4B9AF3CF">
            <w:pPr>
              <w:adjustRightInd/>
              <w:snapToGrid/>
              <w:spacing w:line="600" w:lineRule="exact"/>
              <w:ind w:firstLine="0" w:firstLineChars="0"/>
              <w:jc w:val="center"/>
              <w:rPr>
                <w:rFonts w:eastAsia="方正仿宋_GBK"/>
                <w:sz w:val="24"/>
                <w:szCs w:val="24"/>
              </w:rPr>
            </w:pPr>
            <w:r>
              <w:rPr>
                <w:rFonts w:eastAsia="方正仿宋_GBK"/>
                <w:sz w:val="24"/>
                <w:szCs w:val="24"/>
              </w:rPr>
              <w:t>36.7</w:t>
            </w:r>
          </w:p>
        </w:tc>
        <w:tc>
          <w:tcPr>
            <w:tcW w:w="720" w:type="dxa"/>
            <w:vAlign w:val="center"/>
          </w:tcPr>
          <w:p w14:paraId="715B8278">
            <w:pPr>
              <w:adjustRightInd/>
              <w:snapToGrid/>
              <w:spacing w:line="600" w:lineRule="exact"/>
              <w:ind w:firstLine="0" w:firstLineChars="0"/>
              <w:jc w:val="center"/>
              <w:rPr>
                <w:rFonts w:eastAsia="方正仿宋_GBK"/>
                <w:sz w:val="24"/>
                <w:szCs w:val="24"/>
              </w:rPr>
            </w:pPr>
            <w:r>
              <w:rPr>
                <w:rFonts w:eastAsia="方正仿宋_GBK"/>
                <w:sz w:val="24"/>
                <w:szCs w:val="24"/>
              </w:rPr>
              <w:t>28.9</w:t>
            </w:r>
          </w:p>
        </w:tc>
        <w:tc>
          <w:tcPr>
            <w:tcW w:w="720" w:type="dxa"/>
            <w:vAlign w:val="center"/>
          </w:tcPr>
          <w:p w14:paraId="3584221A">
            <w:pPr>
              <w:adjustRightInd/>
              <w:snapToGrid/>
              <w:spacing w:line="600" w:lineRule="exact"/>
              <w:ind w:firstLine="0" w:firstLineChars="0"/>
              <w:jc w:val="center"/>
              <w:rPr>
                <w:rFonts w:eastAsia="方正仿宋_GBK"/>
                <w:sz w:val="24"/>
                <w:szCs w:val="24"/>
              </w:rPr>
            </w:pPr>
            <w:r>
              <w:rPr>
                <w:rFonts w:eastAsia="方正仿宋_GBK"/>
                <w:sz w:val="24"/>
                <w:szCs w:val="24"/>
              </w:rPr>
              <w:t>25.1</w:t>
            </w:r>
          </w:p>
        </w:tc>
        <w:tc>
          <w:tcPr>
            <w:tcW w:w="720" w:type="dxa"/>
            <w:vAlign w:val="center"/>
          </w:tcPr>
          <w:p w14:paraId="077B6346">
            <w:pPr>
              <w:adjustRightInd/>
              <w:snapToGrid/>
              <w:spacing w:line="600" w:lineRule="exact"/>
              <w:ind w:firstLine="0" w:firstLineChars="0"/>
              <w:jc w:val="center"/>
              <w:rPr>
                <w:rFonts w:eastAsia="方正仿宋_GBK"/>
                <w:sz w:val="24"/>
                <w:szCs w:val="24"/>
              </w:rPr>
            </w:pPr>
            <w:r>
              <w:rPr>
                <w:rFonts w:eastAsia="方正仿宋_GBK"/>
                <w:sz w:val="24"/>
                <w:szCs w:val="24"/>
              </w:rPr>
              <w:t>24.1</w:t>
            </w:r>
          </w:p>
        </w:tc>
        <w:tc>
          <w:tcPr>
            <w:tcW w:w="652" w:type="dxa"/>
            <w:vAlign w:val="center"/>
          </w:tcPr>
          <w:p w14:paraId="0AE60461">
            <w:pPr>
              <w:adjustRightInd/>
              <w:snapToGrid/>
              <w:spacing w:line="600" w:lineRule="exact"/>
              <w:ind w:firstLine="0" w:firstLineChars="0"/>
              <w:jc w:val="center"/>
              <w:rPr>
                <w:rFonts w:eastAsia="方正仿宋_GBK"/>
                <w:sz w:val="24"/>
                <w:szCs w:val="24"/>
              </w:rPr>
            </w:pPr>
            <w:r>
              <w:rPr>
                <w:rFonts w:eastAsia="方正仿宋_GBK"/>
                <w:sz w:val="24"/>
                <w:szCs w:val="24"/>
              </w:rPr>
              <w:t>24.3</w:t>
            </w:r>
          </w:p>
        </w:tc>
        <w:tc>
          <w:tcPr>
            <w:tcW w:w="788" w:type="dxa"/>
            <w:vAlign w:val="center"/>
          </w:tcPr>
          <w:p w14:paraId="393CA747">
            <w:pPr>
              <w:adjustRightInd/>
              <w:snapToGrid/>
              <w:spacing w:line="600" w:lineRule="exact"/>
              <w:ind w:firstLine="0" w:firstLineChars="0"/>
              <w:jc w:val="center"/>
              <w:rPr>
                <w:rFonts w:eastAsia="方正仿宋_GBK"/>
                <w:sz w:val="24"/>
                <w:szCs w:val="24"/>
              </w:rPr>
            </w:pPr>
            <w:r>
              <w:rPr>
                <w:rFonts w:eastAsia="方正仿宋_GBK"/>
                <w:sz w:val="24"/>
                <w:szCs w:val="24"/>
              </w:rPr>
              <w:t>28.7</w:t>
            </w:r>
          </w:p>
        </w:tc>
        <w:tc>
          <w:tcPr>
            <w:tcW w:w="720" w:type="dxa"/>
            <w:vAlign w:val="center"/>
          </w:tcPr>
          <w:p w14:paraId="64F3DB14">
            <w:pPr>
              <w:adjustRightInd/>
              <w:snapToGrid/>
              <w:spacing w:line="600" w:lineRule="exact"/>
              <w:ind w:firstLine="0" w:firstLineChars="0"/>
              <w:jc w:val="center"/>
              <w:rPr>
                <w:rFonts w:eastAsia="方正仿宋_GBK"/>
                <w:sz w:val="24"/>
                <w:szCs w:val="24"/>
              </w:rPr>
            </w:pPr>
            <w:r>
              <w:rPr>
                <w:rFonts w:eastAsia="方正仿宋_GBK"/>
                <w:sz w:val="24"/>
                <w:szCs w:val="24"/>
              </w:rPr>
              <w:t>45.9</w:t>
            </w:r>
          </w:p>
        </w:tc>
        <w:tc>
          <w:tcPr>
            <w:tcW w:w="748" w:type="dxa"/>
            <w:vAlign w:val="center"/>
          </w:tcPr>
          <w:p w14:paraId="1ED5D060">
            <w:pPr>
              <w:adjustRightInd/>
              <w:snapToGrid/>
              <w:spacing w:line="600" w:lineRule="exact"/>
              <w:ind w:firstLine="0" w:firstLineChars="0"/>
              <w:jc w:val="center"/>
              <w:rPr>
                <w:rFonts w:eastAsia="方正仿宋_GBK"/>
                <w:sz w:val="24"/>
                <w:szCs w:val="24"/>
              </w:rPr>
            </w:pPr>
            <w:r>
              <w:rPr>
                <w:rFonts w:eastAsia="方正仿宋_GBK"/>
                <w:sz w:val="24"/>
                <w:szCs w:val="24"/>
              </w:rPr>
              <w:t>68.9</w:t>
            </w:r>
          </w:p>
        </w:tc>
      </w:tr>
      <w:tr w14:paraId="3781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4" w:type="dxa"/>
            <w:vAlign w:val="center"/>
          </w:tcPr>
          <w:p w14:paraId="57443B55">
            <w:pPr>
              <w:adjustRightInd/>
              <w:snapToGrid/>
              <w:spacing w:line="600" w:lineRule="exact"/>
              <w:ind w:firstLine="0" w:firstLineChars="0"/>
              <w:jc w:val="center"/>
              <w:rPr>
                <w:rFonts w:eastAsia="方正仿宋_GBK"/>
                <w:szCs w:val="28"/>
              </w:rPr>
            </w:pPr>
            <w:r>
              <w:rPr>
                <w:rFonts w:eastAsia="方正仿宋_GBK"/>
                <w:szCs w:val="28"/>
              </w:rPr>
              <w:t>2024</w:t>
            </w:r>
          </w:p>
        </w:tc>
        <w:tc>
          <w:tcPr>
            <w:tcW w:w="720" w:type="dxa"/>
            <w:vAlign w:val="center"/>
          </w:tcPr>
          <w:p w14:paraId="100C07B4">
            <w:pPr>
              <w:adjustRightInd/>
              <w:snapToGrid/>
              <w:spacing w:line="600" w:lineRule="exact"/>
              <w:ind w:firstLine="0" w:firstLineChars="0"/>
              <w:jc w:val="center"/>
              <w:rPr>
                <w:rFonts w:eastAsia="方正仿宋_GBK"/>
                <w:sz w:val="24"/>
                <w:szCs w:val="24"/>
              </w:rPr>
            </w:pPr>
            <w:r>
              <w:rPr>
                <w:rFonts w:eastAsia="方正仿宋_GBK"/>
                <w:sz w:val="24"/>
                <w:szCs w:val="24"/>
              </w:rPr>
              <w:t>65.2</w:t>
            </w:r>
          </w:p>
        </w:tc>
        <w:tc>
          <w:tcPr>
            <w:tcW w:w="720" w:type="dxa"/>
            <w:vAlign w:val="center"/>
          </w:tcPr>
          <w:p w14:paraId="712340CE">
            <w:pPr>
              <w:adjustRightInd/>
              <w:snapToGrid/>
              <w:spacing w:line="600" w:lineRule="exact"/>
              <w:ind w:firstLine="0" w:firstLineChars="0"/>
              <w:jc w:val="center"/>
              <w:rPr>
                <w:rFonts w:eastAsia="方正仿宋_GBK"/>
                <w:sz w:val="24"/>
                <w:szCs w:val="24"/>
              </w:rPr>
            </w:pPr>
            <w:r>
              <w:rPr>
                <w:rFonts w:eastAsia="方正仿宋_GBK"/>
                <w:sz w:val="24"/>
                <w:szCs w:val="24"/>
              </w:rPr>
              <w:t>42.8</w:t>
            </w:r>
          </w:p>
        </w:tc>
        <w:tc>
          <w:tcPr>
            <w:tcW w:w="720" w:type="dxa"/>
            <w:vAlign w:val="center"/>
          </w:tcPr>
          <w:p w14:paraId="4EE7C1E6">
            <w:pPr>
              <w:adjustRightInd/>
              <w:snapToGrid/>
              <w:spacing w:line="600" w:lineRule="exact"/>
              <w:ind w:firstLine="0" w:firstLineChars="0"/>
              <w:jc w:val="center"/>
              <w:rPr>
                <w:rFonts w:eastAsia="方正仿宋_GBK"/>
                <w:sz w:val="24"/>
                <w:szCs w:val="24"/>
              </w:rPr>
            </w:pPr>
            <w:r>
              <w:rPr>
                <w:rFonts w:eastAsia="方正仿宋_GBK"/>
                <w:sz w:val="24"/>
                <w:szCs w:val="24"/>
              </w:rPr>
              <w:t>40.8</w:t>
            </w:r>
          </w:p>
        </w:tc>
        <w:tc>
          <w:tcPr>
            <w:tcW w:w="720" w:type="dxa"/>
            <w:vAlign w:val="center"/>
          </w:tcPr>
          <w:p w14:paraId="0433F6B5">
            <w:pPr>
              <w:adjustRightInd/>
              <w:snapToGrid/>
              <w:spacing w:line="600" w:lineRule="exact"/>
              <w:ind w:firstLine="0" w:firstLineChars="0"/>
              <w:jc w:val="center"/>
              <w:rPr>
                <w:rFonts w:eastAsia="方正仿宋_GBK"/>
                <w:sz w:val="24"/>
                <w:szCs w:val="24"/>
              </w:rPr>
            </w:pPr>
            <w:r>
              <w:rPr>
                <w:rFonts w:eastAsia="方正仿宋_GBK"/>
                <w:sz w:val="24"/>
                <w:szCs w:val="24"/>
              </w:rPr>
              <w:t>23.3</w:t>
            </w:r>
          </w:p>
        </w:tc>
        <w:tc>
          <w:tcPr>
            <w:tcW w:w="720" w:type="dxa"/>
            <w:vAlign w:val="center"/>
          </w:tcPr>
          <w:p w14:paraId="6518492B">
            <w:pPr>
              <w:adjustRightInd/>
              <w:snapToGrid/>
              <w:spacing w:line="600" w:lineRule="exact"/>
              <w:ind w:firstLine="0" w:firstLineChars="0"/>
              <w:jc w:val="center"/>
              <w:rPr>
                <w:rFonts w:eastAsia="方正仿宋_GBK"/>
                <w:sz w:val="24"/>
                <w:szCs w:val="24"/>
              </w:rPr>
            </w:pPr>
            <w:r>
              <w:rPr>
                <w:rFonts w:eastAsia="方正仿宋_GBK"/>
                <w:sz w:val="24"/>
                <w:szCs w:val="24"/>
              </w:rPr>
              <w:t>24.3</w:t>
            </w:r>
          </w:p>
        </w:tc>
        <w:tc>
          <w:tcPr>
            <w:tcW w:w="720" w:type="dxa"/>
            <w:vAlign w:val="center"/>
          </w:tcPr>
          <w:p w14:paraId="331D8562">
            <w:pPr>
              <w:adjustRightInd/>
              <w:snapToGrid/>
              <w:spacing w:line="600" w:lineRule="exact"/>
              <w:ind w:firstLine="0" w:firstLineChars="0"/>
              <w:jc w:val="center"/>
              <w:rPr>
                <w:rFonts w:eastAsia="方正仿宋_GBK"/>
                <w:sz w:val="24"/>
                <w:szCs w:val="24"/>
              </w:rPr>
            </w:pPr>
            <w:r>
              <w:rPr>
                <w:rFonts w:eastAsia="方正仿宋_GBK"/>
                <w:sz w:val="24"/>
                <w:szCs w:val="24"/>
              </w:rPr>
              <w:t>22.0</w:t>
            </w:r>
          </w:p>
        </w:tc>
        <w:tc>
          <w:tcPr>
            <w:tcW w:w="720" w:type="dxa"/>
            <w:vAlign w:val="center"/>
          </w:tcPr>
          <w:p w14:paraId="3BE964BC">
            <w:pPr>
              <w:adjustRightInd/>
              <w:snapToGrid/>
              <w:spacing w:line="600" w:lineRule="exact"/>
              <w:ind w:firstLine="0" w:firstLineChars="0"/>
              <w:jc w:val="center"/>
              <w:rPr>
                <w:rFonts w:eastAsia="方正仿宋_GBK"/>
                <w:sz w:val="24"/>
                <w:szCs w:val="24"/>
              </w:rPr>
            </w:pPr>
            <w:r>
              <w:rPr>
                <w:rFonts w:eastAsia="方正仿宋_GBK"/>
                <w:sz w:val="24"/>
                <w:szCs w:val="24"/>
              </w:rPr>
              <w:t>17.6</w:t>
            </w:r>
          </w:p>
        </w:tc>
        <w:tc>
          <w:tcPr>
            <w:tcW w:w="720" w:type="dxa"/>
            <w:vAlign w:val="center"/>
          </w:tcPr>
          <w:p w14:paraId="2A77DFDC">
            <w:pPr>
              <w:adjustRightInd/>
              <w:snapToGrid/>
              <w:spacing w:line="600" w:lineRule="exact"/>
              <w:ind w:firstLine="0" w:firstLineChars="0"/>
              <w:jc w:val="center"/>
              <w:rPr>
                <w:rFonts w:eastAsia="方正仿宋_GBK"/>
                <w:sz w:val="24"/>
                <w:szCs w:val="24"/>
              </w:rPr>
            </w:pPr>
            <w:r>
              <w:rPr>
                <w:rFonts w:eastAsia="方正仿宋_GBK"/>
                <w:sz w:val="24"/>
                <w:szCs w:val="24"/>
              </w:rPr>
              <w:t>18.9</w:t>
            </w:r>
          </w:p>
        </w:tc>
        <w:tc>
          <w:tcPr>
            <w:tcW w:w="652" w:type="dxa"/>
            <w:vAlign w:val="center"/>
          </w:tcPr>
          <w:p w14:paraId="11B085E5">
            <w:pPr>
              <w:adjustRightInd/>
              <w:snapToGrid/>
              <w:spacing w:line="600" w:lineRule="exact"/>
              <w:ind w:firstLine="0" w:firstLineChars="0"/>
              <w:jc w:val="center"/>
              <w:rPr>
                <w:rFonts w:eastAsia="方正仿宋_GBK"/>
                <w:sz w:val="24"/>
                <w:szCs w:val="24"/>
              </w:rPr>
            </w:pPr>
            <w:r>
              <w:rPr>
                <w:rFonts w:hint="eastAsia" w:eastAsia="方正仿宋_GBK"/>
                <w:sz w:val="24"/>
                <w:szCs w:val="24"/>
              </w:rPr>
              <w:t>21.7</w:t>
            </w:r>
          </w:p>
        </w:tc>
        <w:tc>
          <w:tcPr>
            <w:tcW w:w="788" w:type="dxa"/>
            <w:vAlign w:val="center"/>
          </w:tcPr>
          <w:p w14:paraId="4AF65484">
            <w:pPr>
              <w:adjustRightInd/>
              <w:snapToGrid/>
              <w:spacing w:line="600" w:lineRule="exact"/>
              <w:ind w:firstLine="0" w:firstLineChars="0"/>
              <w:jc w:val="center"/>
              <w:rPr>
                <w:rFonts w:eastAsia="方正仿宋_GBK"/>
                <w:sz w:val="24"/>
                <w:szCs w:val="24"/>
              </w:rPr>
            </w:pPr>
          </w:p>
        </w:tc>
        <w:tc>
          <w:tcPr>
            <w:tcW w:w="720" w:type="dxa"/>
            <w:vAlign w:val="center"/>
          </w:tcPr>
          <w:p w14:paraId="6D4B304A">
            <w:pPr>
              <w:adjustRightInd/>
              <w:snapToGrid/>
              <w:spacing w:line="600" w:lineRule="exact"/>
              <w:ind w:firstLine="0" w:firstLineChars="0"/>
              <w:jc w:val="center"/>
              <w:rPr>
                <w:rFonts w:eastAsia="方正仿宋_GBK"/>
                <w:sz w:val="24"/>
                <w:szCs w:val="24"/>
              </w:rPr>
            </w:pPr>
          </w:p>
        </w:tc>
        <w:tc>
          <w:tcPr>
            <w:tcW w:w="748" w:type="dxa"/>
            <w:vAlign w:val="center"/>
          </w:tcPr>
          <w:p w14:paraId="5B801348">
            <w:pPr>
              <w:adjustRightInd/>
              <w:snapToGrid/>
              <w:spacing w:line="600" w:lineRule="exact"/>
              <w:ind w:firstLine="0" w:firstLineChars="0"/>
              <w:jc w:val="center"/>
              <w:rPr>
                <w:rFonts w:eastAsia="方正仿宋_GBK"/>
                <w:sz w:val="24"/>
                <w:szCs w:val="24"/>
              </w:rPr>
            </w:pPr>
          </w:p>
        </w:tc>
      </w:tr>
    </w:tbl>
    <w:p w14:paraId="47EB781F">
      <w:pPr>
        <w:adjustRightInd/>
        <w:snapToGrid/>
        <w:spacing w:line="600" w:lineRule="exact"/>
        <w:ind w:firstLine="640"/>
        <w:rPr>
          <w:rFonts w:eastAsia="方正仿宋_GBK"/>
          <w:sz w:val="32"/>
          <w:szCs w:val="32"/>
        </w:rPr>
      </w:pPr>
      <w:r>
        <w:rPr>
          <w:rFonts w:eastAsia="方正仿宋_GBK"/>
          <w:sz w:val="32"/>
          <w:szCs w:val="32"/>
        </w:rPr>
        <w:t>为确保街道每月PM</w:t>
      </w:r>
      <w:r>
        <w:rPr>
          <w:rFonts w:eastAsia="方正仿宋_GBK"/>
          <w:sz w:val="32"/>
          <w:szCs w:val="32"/>
          <w:vertAlign w:val="subscript"/>
        </w:rPr>
        <w:t>2.5</w:t>
      </w:r>
      <w:r>
        <w:rPr>
          <w:rFonts w:eastAsia="方正仿宋_GBK"/>
          <w:sz w:val="32"/>
          <w:szCs w:val="32"/>
        </w:rPr>
        <w:t>平均浓度控制在目标以内，设置各月PM</w:t>
      </w:r>
      <w:r>
        <w:rPr>
          <w:rFonts w:eastAsia="方正仿宋_GBK"/>
          <w:sz w:val="32"/>
          <w:szCs w:val="32"/>
          <w:vertAlign w:val="subscript"/>
        </w:rPr>
        <w:t>2.5</w:t>
      </w:r>
      <w:r>
        <w:rPr>
          <w:rFonts w:eastAsia="方正仿宋_GBK"/>
          <w:sz w:val="32"/>
          <w:szCs w:val="32"/>
        </w:rPr>
        <w:t>目标浓度为当月各周PM</w:t>
      </w:r>
      <w:r>
        <w:rPr>
          <w:rFonts w:eastAsia="方正仿宋_GBK"/>
          <w:sz w:val="32"/>
          <w:szCs w:val="32"/>
          <w:vertAlign w:val="subscript"/>
        </w:rPr>
        <w:t>2.5</w:t>
      </w:r>
      <w:r>
        <w:rPr>
          <w:rFonts w:eastAsia="方正仿宋_GBK"/>
          <w:sz w:val="32"/>
          <w:szCs w:val="32"/>
        </w:rPr>
        <w:t>预警浓度值，并确保每周的平均PM</w:t>
      </w:r>
      <w:r>
        <w:rPr>
          <w:rFonts w:eastAsia="方正仿宋_GBK"/>
          <w:sz w:val="32"/>
          <w:szCs w:val="32"/>
          <w:vertAlign w:val="subscript"/>
        </w:rPr>
        <w:t>2.5</w:t>
      </w:r>
      <w:r>
        <w:rPr>
          <w:rFonts w:eastAsia="方正仿宋_GBK"/>
          <w:sz w:val="32"/>
          <w:szCs w:val="32"/>
        </w:rPr>
        <w:t>浓度都在预警浓度值以下。若当周PM</w:t>
      </w:r>
      <w:r>
        <w:rPr>
          <w:rFonts w:eastAsia="方正仿宋_GBK"/>
          <w:sz w:val="32"/>
          <w:szCs w:val="32"/>
          <w:vertAlign w:val="subscript"/>
        </w:rPr>
        <w:t>2.5</w:t>
      </w:r>
      <w:r>
        <w:rPr>
          <w:rFonts w:eastAsia="方正仿宋_GBK"/>
          <w:sz w:val="32"/>
          <w:szCs w:val="32"/>
        </w:rPr>
        <w:t>平均浓度超过预警浓度，下周直接进入预警期，采取各项控尘措施，直至当月累计平均PM</w:t>
      </w:r>
      <w:r>
        <w:rPr>
          <w:rFonts w:eastAsia="方正仿宋_GBK"/>
          <w:sz w:val="32"/>
          <w:szCs w:val="32"/>
          <w:vertAlign w:val="subscript"/>
        </w:rPr>
        <w:t>2.5</w:t>
      </w:r>
      <w:r>
        <w:rPr>
          <w:rFonts w:eastAsia="方正仿宋_GBK"/>
          <w:sz w:val="32"/>
          <w:szCs w:val="32"/>
        </w:rPr>
        <w:t>浓度低于预警浓度。</w:t>
      </w:r>
    </w:p>
    <w:p w14:paraId="70C0B799">
      <w:pPr>
        <w:adjustRightInd/>
        <w:snapToGrid/>
        <w:spacing w:line="600" w:lineRule="exact"/>
        <w:ind w:firstLine="640"/>
        <w:rPr>
          <w:rFonts w:eastAsia="方正仿宋_GBK"/>
          <w:sz w:val="32"/>
          <w:szCs w:val="32"/>
        </w:rPr>
      </w:pPr>
      <w:r>
        <w:rPr>
          <w:rFonts w:eastAsia="方正仿宋_GBK"/>
          <w:sz w:val="32"/>
          <w:szCs w:val="32"/>
        </w:rPr>
        <w:t>各月强化管控与应急应对相结合。非预警期间，做好降尘措施的预备部署，强化各类污染源监督管控，持续降低PM</w:t>
      </w:r>
      <w:r>
        <w:rPr>
          <w:rFonts w:eastAsia="方正仿宋_GBK"/>
          <w:sz w:val="32"/>
          <w:szCs w:val="32"/>
          <w:vertAlign w:val="subscript"/>
        </w:rPr>
        <w:t>2.5</w:t>
      </w:r>
      <w:r>
        <w:rPr>
          <w:rFonts w:eastAsia="方正仿宋_GBK"/>
          <w:sz w:val="32"/>
          <w:szCs w:val="32"/>
        </w:rPr>
        <w:t>累积浓度。当各周PM</w:t>
      </w:r>
      <w:r>
        <w:rPr>
          <w:rFonts w:eastAsia="方正仿宋_GBK"/>
          <w:sz w:val="32"/>
          <w:szCs w:val="32"/>
          <w:vertAlign w:val="subscript"/>
        </w:rPr>
        <w:t>2.5</w:t>
      </w:r>
      <w:r>
        <w:rPr>
          <w:rFonts w:eastAsia="方正仿宋_GBK"/>
          <w:sz w:val="32"/>
          <w:szCs w:val="32"/>
        </w:rPr>
        <w:t>达到预警浓度值时，立即采取如加强空气质量监测点周边洒水频率、加强餐饮工地等巡查、加强渣车上路管控等措施。通过各岗位努力，共同实现短期内PM</w:t>
      </w:r>
      <w:r>
        <w:rPr>
          <w:rFonts w:eastAsia="方正仿宋_GBK"/>
          <w:sz w:val="32"/>
          <w:szCs w:val="32"/>
          <w:vertAlign w:val="subscript"/>
        </w:rPr>
        <w:t>10</w:t>
      </w:r>
      <w:r>
        <w:rPr>
          <w:rFonts w:eastAsia="方正仿宋_GBK"/>
          <w:sz w:val="32"/>
          <w:szCs w:val="32"/>
        </w:rPr>
        <w:t>、PM</w:t>
      </w:r>
      <w:r>
        <w:rPr>
          <w:rFonts w:eastAsia="方正仿宋_GBK"/>
          <w:sz w:val="32"/>
          <w:szCs w:val="32"/>
          <w:vertAlign w:val="subscript"/>
        </w:rPr>
        <w:t>2.5</w:t>
      </w:r>
      <w:r>
        <w:rPr>
          <w:rFonts w:eastAsia="方正仿宋_GBK"/>
          <w:sz w:val="32"/>
          <w:szCs w:val="32"/>
        </w:rPr>
        <w:t>等颗粒物浓度明显下降，长期内建立健全街道扬尘防控长效机制，提升街镇管理水平，打造宜居宜业的生态环境。</w:t>
      </w:r>
    </w:p>
    <w:p w14:paraId="692A28AA">
      <w:pPr>
        <w:adjustRightInd/>
        <w:snapToGrid/>
        <w:spacing w:line="60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二、治气攻坚主要应对措施</w:t>
      </w:r>
    </w:p>
    <w:p w14:paraId="72A68A19">
      <w:pPr>
        <w:adjustRightInd/>
        <w:spacing w:line="600" w:lineRule="exact"/>
        <w:ind w:firstLine="640"/>
        <w:jc w:val="left"/>
        <w:rPr>
          <w:rFonts w:eastAsia="方正楷体_GBK"/>
          <w:sz w:val="32"/>
          <w:szCs w:val="32"/>
        </w:rPr>
      </w:pPr>
      <w:r>
        <w:rPr>
          <w:rFonts w:hint="eastAsia" w:eastAsia="方正楷体_GBK"/>
          <w:sz w:val="32"/>
          <w:szCs w:val="32"/>
        </w:rPr>
        <w:t>（一）强化道路的洒水降尘</w:t>
      </w:r>
    </w:p>
    <w:p w14:paraId="34F75038">
      <w:pPr>
        <w:adjustRightInd/>
        <w:snapToGrid/>
        <w:spacing w:line="600" w:lineRule="exact"/>
        <w:ind w:firstLine="64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洒水降尘范围</w:t>
      </w:r>
    </w:p>
    <w:p w14:paraId="58FFC9AD">
      <w:pPr>
        <w:adjustRightInd/>
        <w:snapToGrid/>
        <w:spacing w:line="600" w:lineRule="exact"/>
        <w:ind w:firstLine="640"/>
        <w:rPr>
          <w:rFonts w:eastAsia="方正仿宋_GBK"/>
          <w:sz w:val="32"/>
          <w:szCs w:val="32"/>
        </w:rPr>
      </w:pPr>
      <w:r>
        <w:rPr>
          <w:rFonts w:eastAsia="方正仿宋_GBK"/>
          <w:sz w:val="32"/>
          <w:szCs w:val="32"/>
        </w:rPr>
        <w:t>加强香炉山空气质量监测站附近五条主干路、四条支路的洒水频率，洒水范围全覆盖空气质量检测站四周。</w:t>
      </w:r>
    </w:p>
    <w:p w14:paraId="762664B8">
      <w:pPr>
        <w:adjustRightInd/>
        <w:snapToGrid/>
        <w:spacing w:line="600" w:lineRule="exact"/>
        <w:ind w:firstLine="64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高新区洒水降尘要求</w:t>
      </w:r>
    </w:p>
    <w:p w14:paraId="3F360EA3">
      <w:pPr>
        <w:adjustRightInd/>
        <w:snapToGrid/>
        <w:spacing w:line="600" w:lineRule="exact"/>
        <w:ind w:firstLine="640"/>
        <w:rPr>
          <w:rFonts w:eastAsia="方正仿宋_GBK"/>
          <w:sz w:val="32"/>
          <w:szCs w:val="32"/>
        </w:rPr>
      </w:pPr>
      <w:r>
        <w:rPr>
          <w:rFonts w:eastAsia="方正仿宋_GBK"/>
          <w:sz w:val="32"/>
          <w:szCs w:val="32"/>
        </w:rPr>
        <w:t>高新区区环保局文件要求：非预警响应期间，每天至少进行4次洒水、1次机械化清扫，保持路面无积尘积泥；预警应急期间每天至少进行6次洒水、2次机械化清扫，夜间延长作业时长，保持道路清洁、湿润状态。</w:t>
      </w:r>
    </w:p>
    <w:p w14:paraId="7057B442">
      <w:pPr>
        <w:adjustRightInd/>
        <w:snapToGrid/>
        <w:spacing w:line="600" w:lineRule="exact"/>
        <w:ind w:firstLine="640"/>
        <w:rPr>
          <w:rFonts w:eastAsia="方正仿宋_GBK"/>
          <w:sz w:val="32"/>
          <w:szCs w:val="32"/>
        </w:rPr>
      </w:pPr>
      <w:r>
        <w:rPr>
          <w:rFonts w:eastAsia="方正仿宋_GBK"/>
          <w:sz w:val="32"/>
          <w:szCs w:val="32"/>
        </w:rPr>
        <w:t>3.街道当前洒水降尘情况</w:t>
      </w:r>
    </w:p>
    <w:p w14:paraId="211FCB56">
      <w:pPr>
        <w:adjustRightInd/>
        <w:snapToGrid/>
        <w:spacing w:line="600" w:lineRule="exact"/>
        <w:ind w:firstLine="640"/>
        <w:rPr>
          <w:rFonts w:eastAsia="方正仿宋_GBK"/>
          <w:sz w:val="32"/>
          <w:szCs w:val="32"/>
          <w:highlight w:val="yellow"/>
        </w:rPr>
      </w:pPr>
      <w:r>
        <w:rPr>
          <w:rFonts w:eastAsia="方正仿宋_GBK"/>
          <w:sz w:val="32"/>
          <w:szCs w:val="32"/>
        </w:rPr>
        <w:t>目前街道空气质量检测站附近的洒水频次为上午9点至10点一次，</w:t>
      </w:r>
      <w:r>
        <w:rPr>
          <w:rFonts w:hint="eastAsia" w:eastAsia="方正仿宋_GBK"/>
          <w:sz w:val="32"/>
          <w:szCs w:val="32"/>
          <w:lang w:eastAsia="zh-CN"/>
        </w:rPr>
        <w:t>15点</w:t>
      </w:r>
      <w:r>
        <w:rPr>
          <w:rFonts w:eastAsia="方正仿宋_GBK"/>
          <w:sz w:val="32"/>
          <w:szCs w:val="32"/>
        </w:rPr>
        <w:t>至16点一次。洒水路线没有覆盖香炉山空气质量检测站四周全部路段。当前街道洒水降尘的频次与覆盖范围都存在不足。</w:t>
      </w:r>
    </w:p>
    <w:p w14:paraId="3E855597">
      <w:pPr>
        <w:adjustRightInd/>
        <w:snapToGrid/>
        <w:spacing w:line="600" w:lineRule="exact"/>
        <w:ind w:firstLine="640"/>
        <w:rPr>
          <w:rFonts w:eastAsia="方正仿宋_GBK"/>
          <w:sz w:val="32"/>
          <w:szCs w:val="32"/>
        </w:rPr>
      </w:pPr>
      <w:r>
        <w:rPr>
          <w:rFonts w:eastAsia="方正仿宋_GBK"/>
          <w:sz w:val="32"/>
          <w:szCs w:val="32"/>
        </w:rPr>
        <w:t>4.秋冬季街道洒水降尘建议</w:t>
      </w:r>
    </w:p>
    <w:p w14:paraId="1ABAD7F8">
      <w:pPr>
        <w:adjustRightInd/>
        <w:snapToGrid/>
        <w:spacing w:line="600" w:lineRule="exact"/>
        <w:ind w:firstLine="640"/>
        <w:rPr>
          <w:rFonts w:eastAsia="方正仿宋_GBK"/>
          <w:sz w:val="32"/>
          <w:szCs w:val="32"/>
        </w:rPr>
      </w:pPr>
      <w:r>
        <w:rPr>
          <w:rFonts w:eastAsia="方正仿宋_GBK"/>
          <w:sz w:val="32"/>
          <w:szCs w:val="32"/>
        </w:rPr>
        <w:t>根据PM</w:t>
      </w:r>
      <w:r>
        <w:rPr>
          <w:rFonts w:eastAsia="方正仿宋_GBK"/>
          <w:sz w:val="32"/>
          <w:szCs w:val="32"/>
          <w:vertAlign w:val="subscript"/>
        </w:rPr>
        <w:t>2.5</w:t>
      </w:r>
      <w:r>
        <w:rPr>
          <w:rFonts w:eastAsia="方正仿宋_GBK"/>
          <w:sz w:val="32"/>
          <w:szCs w:val="32"/>
        </w:rPr>
        <w:t>历史全天监测数据的峰值，建议非预警期间与预警期间增设的洒水频次与时间段如表3。并且确保洒水范围覆盖空气质量监测站四周紧邻的全部路段。</w:t>
      </w:r>
    </w:p>
    <w:p w14:paraId="4D972738">
      <w:pPr>
        <w:adjustRightInd/>
        <w:snapToGrid/>
        <w:spacing w:line="600" w:lineRule="exact"/>
        <w:ind w:firstLine="640"/>
        <w:rPr>
          <w:rFonts w:eastAsia="方正仿宋_GBK"/>
          <w:sz w:val="32"/>
          <w:szCs w:val="32"/>
        </w:rPr>
      </w:pPr>
    </w:p>
    <w:p w14:paraId="1C7FED8E">
      <w:pPr>
        <w:adjustRightInd/>
        <w:snapToGrid/>
        <w:spacing w:line="600" w:lineRule="exact"/>
        <w:ind w:firstLine="0" w:firstLineChars="0"/>
        <w:jc w:val="center"/>
        <w:rPr>
          <w:rFonts w:eastAsia="方正仿宋_GBK"/>
          <w:sz w:val="32"/>
          <w:szCs w:val="32"/>
        </w:rPr>
      </w:pPr>
      <w:r>
        <w:rPr>
          <w:rFonts w:eastAsia="方正仿宋_GBK"/>
          <w:szCs w:val="28"/>
        </w:rPr>
        <w:t>表3.建议增设街道洒水频次与时间段</w:t>
      </w:r>
    </w:p>
    <w:tbl>
      <w:tblPr>
        <w:tblStyle w:val="26"/>
        <w:tblW w:w="10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642"/>
        <w:gridCol w:w="1640"/>
        <w:gridCol w:w="1640"/>
        <w:gridCol w:w="1640"/>
        <w:gridCol w:w="1640"/>
        <w:gridCol w:w="966"/>
      </w:tblGrid>
      <w:tr w14:paraId="3222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31" w:type="dxa"/>
            <w:vMerge w:val="restart"/>
            <w:vAlign w:val="center"/>
          </w:tcPr>
          <w:p w14:paraId="6AA01518">
            <w:pPr>
              <w:adjustRightInd/>
              <w:snapToGrid/>
              <w:spacing w:line="600" w:lineRule="exact"/>
              <w:ind w:firstLine="0" w:firstLineChars="0"/>
              <w:jc w:val="center"/>
              <w:rPr>
                <w:rFonts w:eastAsia="方正仿宋_GBK"/>
                <w:szCs w:val="28"/>
              </w:rPr>
            </w:pPr>
          </w:p>
        </w:tc>
        <w:tc>
          <w:tcPr>
            <w:tcW w:w="9168" w:type="dxa"/>
            <w:gridSpan w:val="6"/>
            <w:vAlign w:val="center"/>
          </w:tcPr>
          <w:p w14:paraId="21B4414F">
            <w:pPr>
              <w:adjustRightInd/>
              <w:snapToGrid/>
              <w:spacing w:line="600" w:lineRule="exact"/>
              <w:ind w:firstLine="0" w:firstLineChars="0"/>
              <w:jc w:val="center"/>
              <w:rPr>
                <w:rFonts w:eastAsia="方正仿宋_GBK"/>
                <w:szCs w:val="28"/>
              </w:rPr>
            </w:pPr>
            <w:r>
              <w:rPr>
                <w:rFonts w:eastAsia="方正仿宋_GBK"/>
                <w:szCs w:val="28"/>
              </w:rPr>
              <w:t>增设次数（次）</w:t>
            </w:r>
          </w:p>
        </w:tc>
      </w:tr>
      <w:tr w14:paraId="77E5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31" w:type="dxa"/>
            <w:vMerge w:val="continue"/>
            <w:vAlign w:val="center"/>
          </w:tcPr>
          <w:p w14:paraId="30C45EF7">
            <w:pPr>
              <w:adjustRightInd/>
              <w:snapToGrid/>
              <w:spacing w:line="600" w:lineRule="exact"/>
              <w:ind w:firstLine="0" w:firstLineChars="0"/>
              <w:jc w:val="center"/>
              <w:rPr>
                <w:rFonts w:eastAsia="方正仿宋_GBK"/>
                <w:szCs w:val="28"/>
              </w:rPr>
            </w:pPr>
          </w:p>
        </w:tc>
        <w:tc>
          <w:tcPr>
            <w:tcW w:w="1642" w:type="dxa"/>
            <w:vAlign w:val="center"/>
          </w:tcPr>
          <w:p w14:paraId="62A13959">
            <w:pPr>
              <w:adjustRightInd/>
              <w:snapToGrid/>
              <w:spacing w:line="600" w:lineRule="exact"/>
              <w:ind w:firstLine="0" w:firstLineChars="0"/>
              <w:jc w:val="center"/>
              <w:rPr>
                <w:rFonts w:eastAsia="方正仿宋_GBK"/>
                <w:szCs w:val="28"/>
              </w:rPr>
            </w:pPr>
            <w:r>
              <w:rPr>
                <w:rFonts w:eastAsia="方正仿宋_GBK"/>
                <w:szCs w:val="28"/>
              </w:rPr>
              <w:t>11点-12点</w:t>
            </w:r>
          </w:p>
        </w:tc>
        <w:tc>
          <w:tcPr>
            <w:tcW w:w="1640" w:type="dxa"/>
            <w:vAlign w:val="center"/>
          </w:tcPr>
          <w:p w14:paraId="1C61CEEC">
            <w:pPr>
              <w:adjustRightInd/>
              <w:snapToGrid/>
              <w:spacing w:line="600" w:lineRule="exact"/>
              <w:ind w:firstLine="0" w:firstLineChars="0"/>
              <w:jc w:val="center"/>
              <w:rPr>
                <w:rFonts w:eastAsia="方正仿宋_GBK"/>
                <w:szCs w:val="28"/>
              </w:rPr>
            </w:pPr>
            <w:r>
              <w:rPr>
                <w:rFonts w:eastAsia="方正仿宋_GBK"/>
                <w:szCs w:val="28"/>
              </w:rPr>
              <w:t>12点-13点</w:t>
            </w:r>
          </w:p>
        </w:tc>
        <w:tc>
          <w:tcPr>
            <w:tcW w:w="1640" w:type="dxa"/>
            <w:vAlign w:val="center"/>
          </w:tcPr>
          <w:p w14:paraId="67357624">
            <w:pPr>
              <w:adjustRightInd/>
              <w:snapToGrid/>
              <w:spacing w:line="600" w:lineRule="exact"/>
              <w:ind w:firstLine="0" w:firstLineChars="0"/>
              <w:jc w:val="center"/>
              <w:rPr>
                <w:rFonts w:eastAsia="方正仿宋_GBK"/>
                <w:szCs w:val="28"/>
              </w:rPr>
            </w:pPr>
            <w:r>
              <w:rPr>
                <w:rFonts w:eastAsia="方正仿宋_GBK"/>
                <w:szCs w:val="28"/>
              </w:rPr>
              <w:t>13点-14点</w:t>
            </w:r>
          </w:p>
        </w:tc>
        <w:tc>
          <w:tcPr>
            <w:tcW w:w="1640" w:type="dxa"/>
            <w:vAlign w:val="center"/>
          </w:tcPr>
          <w:p w14:paraId="245FEA0C">
            <w:pPr>
              <w:adjustRightInd/>
              <w:snapToGrid/>
              <w:spacing w:line="600" w:lineRule="exact"/>
              <w:ind w:firstLine="0" w:firstLineChars="0"/>
              <w:jc w:val="center"/>
              <w:rPr>
                <w:rFonts w:eastAsia="方正仿宋_GBK"/>
                <w:szCs w:val="28"/>
              </w:rPr>
            </w:pPr>
            <w:r>
              <w:rPr>
                <w:rFonts w:eastAsia="方正仿宋_GBK"/>
                <w:szCs w:val="28"/>
              </w:rPr>
              <w:t>21点-22点</w:t>
            </w:r>
          </w:p>
        </w:tc>
        <w:tc>
          <w:tcPr>
            <w:tcW w:w="1640" w:type="dxa"/>
            <w:vAlign w:val="center"/>
          </w:tcPr>
          <w:p w14:paraId="002E3153">
            <w:pPr>
              <w:adjustRightInd/>
              <w:snapToGrid/>
              <w:spacing w:line="600" w:lineRule="exact"/>
              <w:ind w:firstLine="0" w:firstLineChars="0"/>
              <w:jc w:val="center"/>
              <w:rPr>
                <w:rFonts w:eastAsia="方正仿宋_GBK"/>
                <w:szCs w:val="28"/>
              </w:rPr>
            </w:pPr>
            <w:r>
              <w:rPr>
                <w:rFonts w:eastAsia="方正仿宋_GBK"/>
                <w:szCs w:val="28"/>
              </w:rPr>
              <w:t>23点-24点</w:t>
            </w:r>
          </w:p>
        </w:tc>
        <w:tc>
          <w:tcPr>
            <w:tcW w:w="966" w:type="dxa"/>
            <w:vAlign w:val="center"/>
          </w:tcPr>
          <w:p w14:paraId="2EC0EF2D">
            <w:pPr>
              <w:adjustRightInd/>
              <w:snapToGrid/>
              <w:spacing w:line="600" w:lineRule="exact"/>
              <w:ind w:firstLine="0" w:firstLineChars="0"/>
              <w:jc w:val="center"/>
              <w:rPr>
                <w:rFonts w:eastAsia="方正仿宋_GBK"/>
                <w:szCs w:val="28"/>
              </w:rPr>
            </w:pPr>
            <w:r>
              <w:rPr>
                <w:rFonts w:eastAsia="方正仿宋_GBK"/>
                <w:szCs w:val="28"/>
              </w:rPr>
              <w:t>总计</w:t>
            </w:r>
          </w:p>
        </w:tc>
      </w:tr>
      <w:tr w14:paraId="4883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31" w:type="dxa"/>
            <w:vAlign w:val="center"/>
          </w:tcPr>
          <w:p w14:paraId="759A84EA">
            <w:pPr>
              <w:adjustRightInd/>
              <w:snapToGrid/>
              <w:spacing w:line="600" w:lineRule="exact"/>
              <w:ind w:firstLine="0" w:firstLineChars="0"/>
              <w:jc w:val="center"/>
              <w:rPr>
                <w:rFonts w:eastAsia="方正仿宋_GBK"/>
                <w:szCs w:val="28"/>
              </w:rPr>
            </w:pPr>
            <w:r>
              <w:rPr>
                <w:rFonts w:eastAsia="方正仿宋_GBK"/>
                <w:szCs w:val="28"/>
              </w:rPr>
              <w:t>非预警期间</w:t>
            </w:r>
          </w:p>
        </w:tc>
        <w:tc>
          <w:tcPr>
            <w:tcW w:w="1642" w:type="dxa"/>
            <w:vAlign w:val="center"/>
          </w:tcPr>
          <w:p w14:paraId="29659B81">
            <w:pPr>
              <w:adjustRightInd/>
              <w:snapToGrid/>
              <w:spacing w:line="600" w:lineRule="exact"/>
              <w:ind w:firstLine="0" w:firstLineChars="0"/>
              <w:jc w:val="center"/>
              <w:rPr>
                <w:rFonts w:eastAsia="方正仿宋_GBK"/>
                <w:szCs w:val="28"/>
              </w:rPr>
            </w:pPr>
          </w:p>
        </w:tc>
        <w:tc>
          <w:tcPr>
            <w:tcW w:w="1640" w:type="dxa"/>
            <w:vAlign w:val="center"/>
          </w:tcPr>
          <w:p w14:paraId="5EDA8867">
            <w:pPr>
              <w:adjustRightInd/>
              <w:snapToGrid/>
              <w:spacing w:line="600" w:lineRule="exact"/>
              <w:ind w:firstLine="0" w:firstLineChars="0"/>
              <w:jc w:val="center"/>
              <w:rPr>
                <w:rFonts w:eastAsia="方正仿宋_GBK"/>
                <w:szCs w:val="28"/>
              </w:rPr>
            </w:pPr>
            <w:r>
              <w:rPr>
                <w:rFonts w:eastAsia="方正仿宋_GBK"/>
                <w:szCs w:val="28"/>
              </w:rPr>
              <w:t>1</w:t>
            </w:r>
          </w:p>
        </w:tc>
        <w:tc>
          <w:tcPr>
            <w:tcW w:w="1640" w:type="dxa"/>
            <w:vAlign w:val="center"/>
          </w:tcPr>
          <w:p w14:paraId="2D18AA7B">
            <w:pPr>
              <w:adjustRightInd/>
              <w:snapToGrid/>
              <w:spacing w:line="600" w:lineRule="exact"/>
              <w:ind w:firstLine="0" w:firstLineChars="0"/>
              <w:jc w:val="center"/>
              <w:rPr>
                <w:rFonts w:eastAsia="方正仿宋_GBK"/>
                <w:szCs w:val="28"/>
              </w:rPr>
            </w:pPr>
          </w:p>
        </w:tc>
        <w:tc>
          <w:tcPr>
            <w:tcW w:w="1640" w:type="dxa"/>
            <w:vAlign w:val="center"/>
          </w:tcPr>
          <w:p w14:paraId="1B90F183">
            <w:pPr>
              <w:adjustRightInd/>
              <w:snapToGrid/>
              <w:spacing w:line="600" w:lineRule="exact"/>
              <w:ind w:firstLine="0" w:firstLineChars="0"/>
              <w:jc w:val="center"/>
              <w:rPr>
                <w:rFonts w:eastAsia="方正仿宋_GBK"/>
                <w:szCs w:val="28"/>
              </w:rPr>
            </w:pPr>
            <w:r>
              <w:rPr>
                <w:rFonts w:eastAsia="方正仿宋_GBK"/>
                <w:szCs w:val="28"/>
              </w:rPr>
              <w:t>1</w:t>
            </w:r>
          </w:p>
        </w:tc>
        <w:tc>
          <w:tcPr>
            <w:tcW w:w="1640" w:type="dxa"/>
            <w:vAlign w:val="center"/>
          </w:tcPr>
          <w:p w14:paraId="143C905E">
            <w:pPr>
              <w:adjustRightInd/>
              <w:snapToGrid/>
              <w:spacing w:line="600" w:lineRule="exact"/>
              <w:ind w:firstLine="0" w:firstLineChars="0"/>
              <w:jc w:val="center"/>
              <w:rPr>
                <w:rFonts w:eastAsia="方正仿宋_GBK"/>
                <w:szCs w:val="28"/>
              </w:rPr>
            </w:pPr>
          </w:p>
        </w:tc>
        <w:tc>
          <w:tcPr>
            <w:tcW w:w="966" w:type="dxa"/>
            <w:vAlign w:val="center"/>
          </w:tcPr>
          <w:p w14:paraId="72BF8CEA">
            <w:pPr>
              <w:adjustRightInd/>
              <w:snapToGrid/>
              <w:spacing w:line="600" w:lineRule="exact"/>
              <w:ind w:firstLine="0" w:firstLineChars="0"/>
              <w:jc w:val="center"/>
              <w:rPr>
                <w:rFonts w:eastAsia="方正仿宋_GBK"/>
                <w:szCs w:val="28"/>
              </w:rPr>
            </w:pPr>
            <w:r>
              <w:rPr>
                <w:rFonts w:eastAsia="方正仿宋_GBK"/>
                <w:szCs w:val="28"/>
              </w:rPr>
              <w:t>2</w:t>
            </w:r>
          </w:p>
        </w:tc>
      </w:tr>
      <w:tr w14:paraId="0B16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231" w:type="dxa"/>
            <w:vAlign w:val="center"/>
          </w:tcPr>
          <w:p w14:paraId="0DEFBCF1">
            <w:pPr>
              <w:adjustRightInd/>
              <w:snapToGrid/>
              <w:spacing w:line="600" w:lineRule="exact"/>
              <w:ind w:firstLine="0" w:firstLineChars="0"/>
              <w:jc w:val="center"/>
              <w:rPr>
                <w:rFonts w:eastAsia="方正仿宋_GBK"/>
                <w:szCs w:val="28"/>
              </w:rPr>
            </w:pPr>
            <w:r>
              <w:rPr>
                <w:rFonts w:eastAsia="方正仿宋_GBK"/>
                <w:szCs w:val="28"/>
              </w:rPr>
              <w:t>预警</w:t>
            </w:r>
          </w:p>
          <w:p w14:paraId="26B44963">
            <w:pPr>
              <w:adjustRightInd/>
              <w:snapToGrid/>
              <w:spacing w:line="600" w:lineRule="exact"/>
              <w:ind w:firstLine="0" w:firstLineChars="0"/>
              <w:jc w:val="center"/>
              <w:rPr>
                <w:rFonts w:eastAsia="方正仿宋_GBK"/>
                <w:szCs w:val="28"/>
              </w:rPr>
            </w:pPr>
            <w:r>
              <w:rPr>
                <w:rFonts w:eastAsia="方正仿宋_GBK"/>
                <w:szCs w:val="28"/>
              </w:rPr>
              <w:t>期间</w:t>
            </w:r>
          </w:p>
        </w:tc>
        <w:tc>
          <w:tcPr>
            <w:tcW w:w="1642" w:type="dxa"/>
            <w:vAlign w:val="center"/>
          </w:tcPr>
          <w:p w14:paraId="680FEAD9">
            <w:pPr>
              <w:adjustRightInd/>
              <w:snapToGrid/>
              <w:spacing w:line="600" w:lineRule="exact"/>
              <w:ind w:firstLine="0" w:firstLineChars="0"/>
              <w:jc w:val="center"/>
              <w:rPr>
                <w:rFonts w:eastAsia="方正仿宋_GBK"/>
                <w:szCs w:val="28"/>
              </w:rPr>
            </w:pPr>
            <w:r>
              <w:rPr>
                <w:rFonts w:eastAsia="方正仿宋_GBK"/>
                <w:szCs w:val="28"/>
              </w:rPr>
              <w:t>1</w:t>
            </w:r>
          </w:p>
        </w:tc>
        <w:tc>
          <w:tcPr>
            <w:tcW w:w="1640" w:type="dxa"/>
            <w:vAlign w:val="center"/>
          </w:tcPr>
          <w:p w14:paraId="6062945A">
            <w:pPr>
              <w:adjustRightInd/>
              <w:snapToGrid/>
              <w:spacing w:line="600" w:lineRule="exact"/>
              <w:ind w:firstLine="0" w:firstLineChars="0"/>
              <w:jc w:val="center"/>
              <w:rPr>
                <w:rFonts w:eastAsia="方正仿宋_GBK"/>
                <w:szCs w:val="28"/>
              </w:rPr>
            </w:pPr>
          </w:p>
        </w:tc>
        <w:tc>
          <w:tcPr>
            <w:tcW w:w="1640" w:type="dxa"/>
            <w:vAlign w:val="center"/>
          </w:tcPr>
          <w:p w14:paraId="71314614">
            <w:pPr>
              <w:adjustRightInd/>
              <w:snapToGrid/>
              <w:spacing w:line="600" w:lineRule="exact"/>
              <w:ind w:firstLine="0" w:firstLineChars="0"/>
              <w:jc w:val="center"/>
              <w:rPr>
                <w:rFonts w:eastAsia="方正仿宋_GBK"/>
                <w:szCs w:val="28"/>
              </w:rPr>
            </w:pPr>
            <w:r>
              <w:rPr>
                <w:rFonts w:eastAsia="方正仿宋_GBK"/>
                <w:szCs w:val="28"/>
              </w:rPr>
              <w:t>1</w:t>
            </w:r>
          </w:p>
        </w:tc>
        <w:tc>
          <w:tcPr>
            <w:tcW w:w="1640" w:type="dxa"/>
            <w:vAlign w:val="center"/>
          </w:tcPr>
          <w:p w14:paraId="3872796F">
            <w:pPr>
              <w:adjustRightInd/>
              <w:snapToGrid/>
              <w:spacing w:line="600" w:lineRule="exact"/>
              <w:ind w:firstLine="0" w:firstLineChars="0"/>
              <w:jc w:val="center"/>
              <w:rPr>
                <w:rFonts w:eastAsia="方正仿宋_GBK"/>
                <w:szCs w:val="28"/>
              </w:rPr>
            </w:pPr>
            <w:r>
              <w:rPr>
                <w:rFonts w:eastAsia="方正仿宋_GBK"/>
                <w:szCs w:val="28"/>
              </w:rPr>
              <w:t>1</w:t>
            </w:r>
          </w:p>
        </w:tc>
        <w:tc>
          <w:tcPr>
            <w:tcW w:w="1640" w:type="dxa"/>
            <w:vAlign w:val="center"/>
          </w:tcPr>
          <w:p w14:paraId="79704BD3">
            <w:pPr>
              <w:adjustRightInd/>
              <w:snapToGrid/>
              <w:spacing w:line="600" w:lineRule="exact"/>
              <w:ind w:firstLine="0" w:firstLineChars="0"/>
              <w:jc w:val="center"/>
              <w:rPr>
                <w:rFonts w:eastAsia="方正仿宋_GBK"/>
                <w:szCs w:val="28"/>
              </w:rPr>
            </w:pPr>
            <w:r>
              <w:rPr>
                <w:rFonts w:eastAsia="方正仿宋_GBK"/>
                <w:szCs w:val="28"/>
              </w:rPr>
              <w:t>1</w:t>
            </w:r>
          </w:p>
        </w:tc>
        <w:tc>
          <w:tcPr>
            <w:tcW w:w="966" w:type="dxa"/>
            <w:vAlign w:val="center"/>
          </w:tcPr>
          <w:p w14:paraId="3240CF78">
            <w:pPr>
              <w:adjustRightInd/>
              <w:snapToGrid/>
              <w:spacing w:line="600" w:lineRule="exact"/>
              <w:ind w:firstLine="0" w:firstLineChars="0"/>
              <w:jc w:val="center"/>
              <w:rPr>
                <w:rFonts w:eastAsia="方正仿宋_GBK"/>
                <w:szCs w:val="28"/>
              </w:rPr>
            </w:pPr>
            <w:r>
              <w:rPr>
                <w:rFonts w:eastAsia="方正仿宋_GBK"/>
                <w:szCs w:val="28"/>
              </w:rPr>
              <w:t>4</w:t>
            </w:r>
          </w:p>
        </w:tc>
      </w:tr>
    </w:tbl>
    <w:p w14:paraId="2BE81AAC">
      <w:pPr>
        <w:adjustRightInd/>
        <w:snapToGrid/>
        <w:spacing w:line="600" w:lineRule="exact"/>
        <w:ind w:firstLine="640"/>
        <w:rPr>
          <w:rFonts w:eastAsia="方正仿宋_GBK"/>
          <w:sz w:val="32"/>
          <w:szCs w:val="32"/>
        </w:rPr>
      </w:pPr>
      <w:r>
        <w:rPr>
          <w:rFonts w:eastAsia="方正仿宋_GBK"/>
          <w:sz w:val="32"/>
          <w:szCs w:val="32"/>
        </w:rPr>
        <w:t>可在2024年10月至2025年2月总5个月内增设洒水</w:t>
      </w:r>
      <w:r>
        <w:rPr>
          <w:rFonts w:hint="eastAsia" w:eastAsia="方正仿宋_GBK"/>
          <w:sz w:val="32"/>
          <w:szCs w:val="32"/>
        </w:rPr>
        <w:t>频率。通过加购洒水降尘服务，</w:t>
      </w:r>
      <w:r>
        <w:rPr>
          <w:rFonts w:eastAsia="方正仿宋_GBK"/>
          <w:sz w:val="32"/>
          <w:szCs w:val="32"/>
        </w:rPr>
        <w:t>加强香炉山空气质量检测站周围主、支路的洒水降尘。</w:t>
      </w:r>
    </w:p>
    <w:p w14:paraId="754547D1">
      <w:pPr>
        <w:adjustRightInd/>
        <w:snapToGrid/>
        <w:spacing w:line="600" w:lineRule="exact"/>
        <w:ind w:firstLine="640"/>
        <w:rPr>
          <w:rFonts w:eastAsia="方正仿宋_GBK"/>
          <w:sz w:val="32"/>
          <w:szCs w:val="32"/>
        </w:rPr>
      </w:pPr>
      <w:r>
        <w:rPr>
          <w:rFonts w:eastAsia="方正仿宋_GBK"/>
          <w:sz w:val="32"/>
          <w:szCs w:val="32"/>
        </w:rPr>
        <w:t>（责任岗位：城市管理岗）</w:t>
      </w:r>
    </w:p>
    <w:p w14:paraId="20505C52">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（二）强化施工扬尘的管控</w:t>
      </w:r>
    </w:p>
    <w:p w14:paraId="202E2075">
      <w:pPr>
        <w:adjustRightInd/>
        <w:snapToGrid/>
        <w:spacing w:line="600" w:lineRule="exact"/>
        <w:ind w:firstLine="640"/>
        <w:rPr>
          <w:rFonts w:eastAsia="方正仿宋_GBK"/>
          <w:sz w:val="32"/>
          <w:szCs w:val="32"/>
        </w:rPr>
      </w:pPr>
      <w:r>
        <w:rPr>
          <w:rFonts w:eastAsia="方正仿宋_GBK"/>
          <w:sz w:val="32"/>
          <w:szCs w:val="32"/>
        </w:rPr>
        <w:t>1.重点在建项目情况</w:t>
      </w:r>
    </w:p>
    <w:p w14:paraId="27BB47E8">
      <w:pPr>
        <w:adjustRightInd/>
        <w:snapToGrid/>
        <w:spacing w:line="600" w:lineRule="exact"/>
        <w:ind w:firstLine="640"/>
        <w:rPr>
          <w:rFonts w:eastAsia="方正仿宋_GBK"/>
          <w:sz w:val="32"/>
          <w:szCs w:val="32"/>
        </w:rPr>
      </w:pPr>
      <w:r>
        <w:rPr>
          <w:rFonts w:eastAsia="方正仿宋_GBK"/>
          <w:sz w:val="32"/>
          <w:szCs w:val="32"/>
        </w:rPr>
        <w:t>辖区内各社区扬尘问题较重的在建项目主要如下。</w:t>
      </w:r>
    </w:p>
    <w:p w14:paraId="667F06F2">
      <w:pPr>
        <w:adjustRightInd/>
        <w:snapToGrid/>
        <w:spacing w:line="600" w:lineRule="exact"/>
        <w:ind w:firstLine="640"/>
        <w:rPr>
          <w:rFonts w:eastAsia="方正仿宋_GBK"/>
          <w:sz w:val="32"/>
          <w:szCs w:val="32"/>
        </w:rPr>
      </w:pPr>
      <w:r>
        <w:rPr>
          <w:rFonts w:eastAsia="方正仿宋_GBK"/>
          <w:sz w:val="32"/>
          <w:szCs w:val="32"/>
        </w:rPr>
        <w:t>思贤社区：象融高新区U标准分区U9-6-1/05、U9-7-1/04地块、莲花滩河14号路项目、莲花滩河1</w:t>
      </w:r>
      <w:r>
        <w:rPr>
          <w:rFonts w:hint="eastAsia" w:eastAsia="方正仿宋_GBK"/>
          <w:sz w:val="32"/>
          <w:szCs w:val="32"/>
        </w:rPr>
        <w:t>5</w:t>
      </w:r>
      <w:r>
        <w:rPr>
          <w:rFonts w:eastAsia="方正仿宋_GBK"/>
          <w:sz w:val="32"/>
          <w:szCs w:val="32"/>
        </w:rPr>
        <w:t>号路项目；</w:t>
      </w:r>
    </w:p>
    <w:p w14:paraId="55733BFC">
      <w:pPr>
        <w:adjustRightInd/>
        <w:snapToGrid/>
        <w:spacing w:line="600" w:lineRule="exact"/>
        <w:ind w:firstLine="640"/>
        <w:rPr>
          <w:rFonts w:eastAsia="方正仿宋_GBK"/>
          <w:sz w:val="32"/>
          <w:szCs w:val="32"/>
        </w:rPr>
      </w:pPr>
      <w:r>
        <w:rPr>
          <w:rFonts w:eastAsia="方正仿宋_GBK"/>
          <w:sz w:val="32"/>
          <w:szCs w:val="32"/>
        </w:rPr>
        <w:t>香炉山村：宝湾产城·重庆芯谷项目16#、11#地块土石方工程项目、西永微电园W分区Z1\Z2\Z6\H4\H6、新森大道中段西永综合保税区B纵一路工程项目、重庆12英寸集成电路项目；</w:t>
      </w:r>
    </w:p>
    <w:p w14:paraId="24C6DDC2">
      <w:pPr>
        <w:adjustRightInd/>
        <w:snapToGrid/>
        <w:spacing w:line="600" w:lineRule="exact"/>
        <w:ind w:firstLine="640"/>
        <w:rPr>
          <w:rFonts w:eastAsia="方正仿宋_GBK"/>
          <w:sz w:val="32"/>
          <w:szCs w:val="32"/>
        </w:rPr>
      </w:pPr>
      <w:r>
        <w:rPr>
          <w:rFonts w:eastAsia="方正仿宋_GBK"/>
          <w:sz w:val="32"/>
          <w:szCs w:val="32"/>
        </w:rPr>
        <w:t>双佛村：轨道27号线3标段；</w:t>
      </w:r>
    </w:p>
    <w:p w14:paraId="4247E718">
      <w:pPr>
        <w:adjustRightInd/>
        <w:snapToGrid/>
        <w:spacing w:line="600" w:lineRule="exact"/>
        <w:ind w:firstLine="640"/>
        <w:rPr>
          <w:rFonts w:eastAsia="方正仿宋_GBK"/>
          <w:sz w:val="32"/>
          <w:szCs w:val="32"/>
        </w:rPr>
      </w:pPr>
      <w:r>
        <w:rPr>
          <w:rFonts w:eastAsia="方正仿宋_GBK"/>
          <w:sz w:val="32"/>
          <w:szCs w:val="32"/>
        </w:rPr>
        <w:t>学善社区：重庆轨道交通17号线一期3标、高新区U标准分区U8-17-1/03号地块桃李序工程；</w:t>
      </w:r>
    </w:p>
    <w:p w14:paraId="6215B87A">
      <w:pPr>
        <w:adjustRightInd/>
        <w:snapToGrid/>
        <w:spacing w:line="600" w:lineRule="exact"/>
        <w:ind w:firstLine="640"/>
        <w:rPr>
          <w:rFonts w:eastAsia="方正仿宋_GBK"/>
          <w:sz w:val="32"/>
          <w:szCs w:val="32"/>
        </w:rPr>
      </w:pPr>
      <w:r>
        <w:rPr>
          <w:rFonts w:eastAsia="方正仿宋_GBK"/>
          <w:sz w:val="32"/>
          <w:szCs w:val="32"/>
        </w:rPr>
        <w:t>康三社区：重庆轨道交通15号线二期工程12标。</w:t>
      </w:r>
    </w:p>
    <w:p w14:paraId="4FF87B07">
      <w:pPr>
        <w:adjustRightInd/>
        <w:snapToGrid/>
        <w:spacing w:line="600" w:lineRule="exact"/>
        <w:ind w:firstLine="640"/>
        <w:rPr>
          <w:rFonts w:eastAsia="方正仿宋_GBK"/>
          <w:sz w:val="32"/>
          <w:szCs w:val="32"/>
        </w:rPr>
      </w:pPr>
      <w:r>
        <w:rPr>
          <w:rFonts w:eastAsia="方正仿宋_GBK"/>
          <w:sz w:val="32"/>
          <w:szCs w:val="32"/>
        </w:rPr>
        <w:t>2.加强重点项目的巡查</w:t>
      </w:r>
    </w:p>
    <w:p w14:paraId="58B6C0E0">
      <w:pPr>
        <w:adjustRightInd/>
        <w:snapToGrid/>
        <w:spacing w:line="600" w:lineRule="exact"/>
        <w:ind w:firstLine="640"/>
        <w:rPr>
          <w:rFonts w:eastAsia="方正仿宋_GBK"/>
          <w:sz w:val="32"/>
          <w:szCs w:val="32"/>
        </w:rPr>
      </w:pPr>
      <w:r>
        <w:rPr>
          <w:rFonts w:eastAsia="方正仿宋_GBK"/>
          <w:sz w:val="32"/>
          <w:szCs w:val="32"/>
        </w:rPr>
        <w:t>各村社区的环保专员要掌握各自辖区内扬尘污染较大在建项目的数量和扬尘情况，预警响应期间要有针对性的进行有效巡查。</w:t>
      </w:r>
    </w:p>
    <w:p w14:paraId="12ED9C51">
      <w:pPr>
        <w:adjustRightInd/>
        <w:snapToGrid/>
        <w:spacing w:line="600" w:lineRule="exact"/>
        <w:ind w:firstLine="640"/>
        <w:rPr>
          <w:rFonts w:eastAsia="方正仿宋_GBK"/>
          <w:sz w:val="32"/>
          <w:szCs w:val="32"/>
        </w:rPr>
      </w:pPr>
      <w:r>
        <w:rPr>
          <w:rFonts w:eastAsia="方正仿宋_GBK"/>
          <w:sz w:val="32"/>
          <w:szCs w:val="32"/>
        </w:rPr>
        <w:t>生态环保岗统筹并协助各村社区的环保专员了解重点在建项目的扬尘污染情况，帮助解决环保专员在巡查中遇到的环保专业问题。同时每月定期进行重点在建项目的巡查。</w:t>
      </w:r>
    </w:p>
    <w:p w14:paraId="171BD89C">
      <w:pPr>
        <w:adjustRightInd/>
        <w:snapToGrid/>
        <w:spacing w:line="600" w:lineRule="exact"/>
        <w:ind w:firstLine="640"/>
        <w:rPr>
          <w:rFonts w:eastAsia="方正仿宋_GBK"/>
          <w:sz w:val="32"/>
          <w:szCs w:val="32"/>
        </w:rPr>
      </w:pPr>
      <w:r>
        <w:rPr>
          <w:rFonts w:eastAsia="方正仿宋_GBK"/>
          <w:sz w:val="32"/>
          <w:szCs w:val="32"/>
        </w:rPr>
        <w:t>各村社区环保专员、环保管家开展对标巡查时，要严格督促落实扬尘控制</w:t>
      </w:r>
      <w:r>
        <w:rPr>
          <w:rFonts w:hint="eastAsia" w:eastAsia="方正仿宋_GBK"/>
          <w:sz w:val="32"/>
          <w:szCs w:val="32"/>
        </w:rPr>
        <w:t>“</w:t>
      </w:r>
      <w:r>
        <w:rPr>
          <w:rFonts w:eastAsia="方正仿宋_GBK"/>
          <w:sz w:val="32"/>
          <w:szCs w:val="32"/>
        </w:rPr>
        <w:t>十项规定</w:t>
      </w:r>
      <w:r>
        <w:rPr>
          <w:rFonts w:hint="eastAsia" w:eastAsia="方正仿宋_GBK"/>
          <w:sz w:val="32"/>
          <w:szCs w:val="32"/>
        </w:rPr>
        <w:t>”</w:t>
      </w:r>
      <w:r>
        <w:rPr>
          <w:rFonts w:eastAsia="方正仿宋_GBK"/>
          <w:sz w:val="32"/>
          <w:szCs w:val="32"/>
        </w:rPr>
        <w:t>，严格督促开展洒水车、雾炮、喷淋等常态化湿法抑尘措施，裸土、边坡、物料等常态化覆盖措施。预警期间督促围挡喷淋保持全天开启，场内水车洒水作业不少于6次，并分时分级实施平基土石方作业停工、非道机械停止作业等应急减排措施。巡查发现抑尘措施整改不到位的在建项目上报街道生态环保岗。</w:t>
      </w:r>
    </w:p>
    <w:p w14:paraId="187D9125">
      <w:pPr>
        <w:adjustRightInd/>
        <w:snapToGrid/>
        <w:spacing w:line="600" w:lineRule="exact"/>
        <w:ind w:firstLine="640"/>
        <w:rPr>
          <w:rFonts w:eastAsia="方正仿宋_GBK"/>
          <w:sz w:val="32"/>
          <w:szCs w:val="32"/>
        </w:rPr>
      </w:pPr>
      <w:r>
        <w:rPr>
          <w:rFonts w:eastAsia="方正仿宋_GBK"/>
          <w:sz w:val="32"/>
          <w:szCs w:val="32"/>
        </w:rPr>
        <w:t>3.加强对违法行为的执法</w:t>
      </w:r>
    </w:p>
    <w:p w14:paraId="077D2191">
      <w:pPr>
        <w:adjustRightInd/>
        <w:snapToGrid/>
        <w:spacing w:line="600" w:lineRule="exact"/>
        <w:ind w:firstLine="640"/>
        <w:rPr>
          <w:rFonts w:eastAsia="方正仿宋_GBK"/>
          <w:sz w:val="32"/>
          <w:szCs w:val="32"/>
        </w:rPr>
      </w:pPr>
      <w:r>
        <w:rPr>
          <w:rFonts w:eastAsia="方正仿宋_GBK"/>
          <w:sz w:val="32"/>
          <w:szCs w:val="32"/>
        </w:rPr>
        <w:t>强化监管执法，生态环保岗、综合执法岗开展联合执法检查，对于各村社区上报的控尘措施落实不到位、扬尘问题严重超过2次的，直接按程序开展检查取证、立案处罚；并对扬尘控制问题突出的、受立案处罚的施工项目进行约谈。</w:t>
      </w:r>
    </w:p>
    <w:p w14:paraId="51A021CA">
      <w:pPr>
        <w:adjustRightInd/>
        <w:snapToGrid/>
        <w:spacing w:line="600" w:lineRule="exact"/>
        <w:ind w:firstLine="640"/>
        <w:rPr>
          <w:rFonts w:eastAsia="方正仿宋_GBK"/>
          <w:sz w:val="32"/>
          <w:szCs w:val="32"/>
        </w:rPr>
      </w:pPr>
      <w:r>
        <w:rPr>
          <w:rFonts w:eastAsia="方正仿宋_GBK"/>
          <w:sz w:val="32"/>
          <w:szCs w:val="32"/>
        </w:rPr>
        <w:t>（责任岗位：生态环保岗、各村社区、综合执法岗）</w:t>
      </w:r>
    </w:p>
    <w:p w14:paraId="6A542A27">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w:t>
      </w:r>
      <w:r>
        <w:rPr>
          <w:rFonts w:ascii="方正楷体_GBK" w:hAnsi="方正楷体_GBK" w:eastAsia="方正楷体_GBK" w:cs="方正楷体_GBK"/>
          <w:sz w:val="32"/>
          <w:szCs w:val="32"/>
        </w:rPr>
        <w:t>强化交通运输扬尘的管控</w:t>
      </w:r>
    </w:p>
    <w:p w14:paraId="01076B2D">
      <w:pPr>
        <w:adjustRightInd/>
        <w:snapToGrid/>
        <w:spacing w:line="600" w:lineRule="exact"/>
        <w:ind w:firstLine="640"/>
        <w:rPr>
          <w:rFonts w:eastAsia="方正仿宋_GBK"/>
          <w:sz w:val="32"/>
          <w:szCs w:val="32"/>
        </w:rPr>
      </w:pPr>
      <w:r>
        <w:rPr>
          <w:rFonts w:eastAsia="方正仿宋_GBK"/>
          <w:sz w:val="32"/>
          <w:szCs w:val="32"/>
        </w:rPr>
        <w:t>1.重点检查点位</w:t>
      </w:r>
    </w:p>
    <w:p w14:paraId="5BE142B9">
      <w:pPr>
        <w:adjustRightInd/>
        <w:snapToGrid/>
        <w:spacing w:line="600" w:lineRule="exact"/>
        <w:ind w:firstLine="640"/>
        <w:rPr>
          <w:rFonts w:eastAsia="方正仿宋_GBK"/>
          <w:sz w:val="32"/>
          <w:szCs w:val="32"/>
        </w:rPr>
      </w:pPr>
      <w:r>
        <w:rPr>
          <w:rFonts w:eastAsia="方正仿宋_GBK"/>
          <w:sz w:val="32"/>
          <w:szCs w:val="32"/>
        </w:rPr>
        <w:t>根据调查辖区内在建项目的渣车流动情况得知，大学城东路与大学城南一路交汇处附近、中石化石滩加油加气站附近，为渣车常经点。建议这两处地方设置流动检查点。预警期间每日设卡检查，严查渣车无证上路、冒装撒漏、带泥上路、未密闭运输、不按规定路线行驶等违法违规行为。</w:t>
      </w:r>
    </w:p>
    <w:p w14:paraId="41360ACE">
      <w:pPr>
        <w:adjustRightInd/>
        <w:snapToGrid/>
        <w:spacing w:line="600" w:lineRule="exact"/>
        <w:ind w:firstLine="640"/>
        <w:rPr>
          <w:rFonts w:eastAsia="方正仿宋_GBK"/>
          <w:sz w:val="32"/>
          <w:szCs w:val="32"/>
        </w:rPr>
      </w:pPr>
      <w:r>
        <w:rPr>
          <w:rFonts w:eastAsia="方正仿宋_GBK"/>
          <w:sz w:val="32"/>
          <w:szCs w:val="32"/>
        </w:rPr>
        <w:t>（责任岗位：综合执法岗）</w:t>
      </w:r>
    </w:p>
    <w:p w14:paraId="77E597FE">
      <w:pPr>
        <w:adjustRightInd/>
        <w:snapToGrid/>
        <w:spacing w:line="600" w:lineRule="exact"/>
        <w:ind w:firstLine="640"/>
        <w:rPr>
          <w:rFonts w:eastAsia="方正仿宋_GBK"/>
          <w:sz w:val="32"/>
          <w:szCs w:val="32"/>
        </w:rPr>
      </w:pPr>
      <w:r>
        <w:rPr>
          <w:rFonts w:eastAsia="方正仿宋_GBK"/>
          <w:sz w:val="32"/>
          <w:szCs w:val="32"/>
        </w:rPr>
        <w:t>2.加强规范非道机械环保标识</w:t>
      </w:r>
    </w:p>
    <w:p w14:paraId="41070B11">
      <w:pPr>
        <w:adjustRightInd/>
        <w:snapToGrid/>
        <w:spacing w:line="600" w:lineRule="exact"/>
        <w:ind w:firstLine="640"/>
        <w:rPr>
          <w:rFonts w:eastAsia="方正仿宋_GBK"/>
          <w:sz w:val="32"/>
          <w:szCs w:val="32"/>
        </w:rPr>
      </w:pPr>
      <w:r>
        <w:rPr>
          <w:rFonts w:eastAsia="方正仿宋_GBK"/>
          <w:sz w:val="32"/>
          <w:szCs w:val="32"/>
        </w:rPr>
        <w:t>高新区环保局开展冒黑烟、超标机械全面清查，秋冬仍有抽检非道路移动机械335台的目标。各村社区加大督促在建项目的非道路移动机械环保编码登记，要求辖区内所有在建项目对在用机械及时进行编码登记、规范张贴。鼓励使用国Ⅳ及新能源机械，禁止使用国Ⅰ及以下非道路移动机械，发现一台淘汰一台</w:t>
      </w:r>
      <w:r>
        <w:rPr>
          <w:rFonts w:hint="eastAsia" w:eastAsia="方正仿宋_GBK"/>
          <w:sz w:val="32"/>
          <w:szCs w:val="32"/>
        </w:rPr>
        <w:t>，经检测非道路移动机械排放超标的，按照相关法律法规进行处罚。</w:t>
      </w:r>
    </w:p>
    <w:p w14:paraId="3DDAFF14">
      <w:pPr>
        <w:adjustRightInd/>
        <w:snapToGrid/>
        <w:spacing w:line="600" w:lineRule="exact"/>
        <w:ind w:firstLine="640"/>
        <w:rPr>
          <w:rFonts w:eastAsia="方正仿宋_GBK"/>
          <w:sz w:val="32"/>
          <w:szCs w:val="32"/>
        </w:rPr>
      </w:pPr>
      <w:r>
        <w:rPr>
          <w:rFonts w:eastAsia="方正仿宋_GBK"/>
          <w:sz w:val="32"/>
          <w:szCs w:val="32"/>
        </w:rPr>
        <w:t>（责任岗位：生态环保岗、各村社区、综合执法岗）</w:t>
      </w:r>
    </w:p>
    <w:p w14:paraId="3986B05F">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w:t>
      </w:r>
      <w:r>
        <w:rPr>
          <w:rFonts w:ascii="方正楷体_GBK" w:hAnsi="方正楷体_GBK" w:eastAsia="方正楷体_GBK" w:cs="方正楷体_GBK"/>
          <w:sz w:val="32"/>
          <w:szCs w:val="32"/>
        </w:rPr>
        <w:t>强化交通机动车管控、道路优化</w:t>
      </w:r>
    </w:p>
    <w:p w14:paraId="7AF120D7">
      <w:pPr>
        <w:adjustRightInd/>
        <w:snapToGrid/>
        <w:spacing w:line="600" w:lineRule="exact"/>
        <w:ind w:firstLine="640"/>
        <w:rPr>
          <w:rFonts w:eastAsia="方正仿宋_GBK"/>
          <w:sz w:val="32"/>
          <w:szCs w:val="32"/>
        </w:rPr>
      </w:pPr>
      <w:r>
        <w:rPr>
          <w:rFonts w:eastAsia="方正仿宋_GBK"/>
          <w:sz w:val="32"/>
          <w:szCs w:val="32"/>
        </w:rPr>
        <w:t>1.加强机动车的巡查</w:t>
      </w:r>
    </w:p>
    <w:p w14:paraId="2788D53D">
      <w:pPr>
        <w:adjustRightInd/>
        <w:snapToGrid/>
        <w:spacing w:line="600" w:lineRule="exact"/>
        <w:ind w:firstLine="640"/>
        <w:rPr>
          <w:rFonts w:eastAsia="方正仿宋_GBK"/>
          <w:sz w:val="32"/>
          <w:szCs w:val="32"/>
        </w:rPr>
      </w:pPr>
      <w:r>
        <w:rPr>
          <w:rFonts w:eastAsia="方正仿宋_GBK"/>
          <w:sz w:val="32"/>
          <w:szCs w:val="32"/>
        </w:rPr>
        <w:t>预警期间开展机动车尾气路检，于大学城东路与坪山大道交汇处设1个路检点，重点抽检柴油货车，柴油车比例不少于70%。综保区等车辆集中场所及物流货运重点单位开展入户抽检，随机入户抽检不少于12家次，对超标车辆严肃查处，严查柴油重型货车违规垫高温度传感器，不正常使用尿素、篡改OBD数据等问题。秋冬重污染期间，对高排放车辆实施限行或禁行措施，减少尾气排放和道路扬尘。</w:t>
      </w:r>
    </w:p>
    <w:p w14:paraId="7EA47F5F">
      <w:pPr>
        <w:adjustRightInd/>
        <w:snapToGrid/>
        <w:spacing w:line="600" w:lineRule="exact"/>
        <w:ind w:firstLine="640"/>
        <w:rPr>
          <w:rFonts w:eastAsia="方正仿宋_GBK"/>
          <w:sz w:val="32"/>
          <w:szCs w:val="32"/>
        </w:rPr>
      </w:pPr>
      <w:r>
        <w:rPr>
          <w:rFonts w:eastAsia="方正仿宋_GBK"/>
          <w:sz w:val="32"/>
          <w:szCs w:val="32"/>
        </w:rPr>
        <w:t>（责任单位及岗位：</w:t>
      </w:r>
      <w:r>
        <w:rPr>
          <w:rFonts w:hint="eastAsia" w:eastAsia="方正仿宋_GBK"/>
          <w:sz w:val="32"/>
          <w:szCs w:val="32"/>
        </w:rPr>
        <w:t>生态环保岗</w:t>
      </w:r>
      <w:r>
        <w:rPr>
          <w:rFonts w:eastAsia="方正仿宋_GBK"/>
          <w:sz w:val="32"/>
          <w:szCs w:val="32"/>
        </w:rPr>
        <w:t>）</w:t>
      </w:r>
    </w:p>
    <w:p w14:paraId="25B5718C">
      <w:pPr>
        <w:adjustRightInd/>
        <w:snapToGrid/>
        <w:spacing w:line="600" w:lineRule="exact"/>
        <w:ind w:firstLine="640"/>
        <w:rPr>
          <w:rFonts w:eastAsia="方正仿宋_GBK"/>
          <w:sz w:val="32"/>
          <w:szCs w:val="32"/>
        </w:rPr>
      </w:pPr>
      <w:r>
        <w:rPr>
          <w:rFonts w:eastAsia="方正仿宋_GBK"/>
          <w:sz w:val="32"/>
          <w:szCs w:val="32"/>
        </w:rPr>
        <w:t>2.优化街道内道路的整洁度</w:t>
      </w:r>
    </w:p>
    <w:p w14:paraId="3D276808">
      <w:pPr>
        <w:adjustRightInd/>
        <w:snapToGrid/>
        <w:spacing w:line="600" w:lineRule="exact"/>
        <w:ind w:firstLine="640"/>
        <w:rPr>
          <w:rFonts w:eastAsia="方正仿宋_GBK"/>
          <w:sz w:val="32"/>
          <w:szCs w:val="32"/>
        </w:rPr>
      </w:pPr>
      <w:r>
        <w:rPr>
          <w:rFonts w:eastAsia="方正仿宋_GBK"/>
          <w:sz w:val="32"/>
          <w:szCs w:val="32"/>
        </w:rPr>
        <w:t>优化修复新森大道桥附近的出口至香炉山村办公室路段破损路面、清理路段附近在建项目导致的道路积尘，减少因路面不平整导致的车辆颠簸和扬尘。</w:t>
      </w:r>
    </w:p>
    <w:p w14:paraId="5BAEDD58">
      <w:pPr>
        <w:adjustRightInd/>
        <w:snapToGrid/>
        <w:spacing w:line="600" w:lineRule="exact"/>
        <w:ind w:firstLine="640"/>
        <w:rPr>
          <w:rFonts w:eastAsia="方正仿宋_GBK"/>
          <w:sz w:val="32"/>
          <w:szCs w:val="32"/>
        </w:rPr>
      </w:pPr>
      <w:r>
        <w:rPr>
          <w:rFonts w:eastAsia="方正仿宋_GBK"/>
          <w:sz w:val="32"/>
          <w:szCs w:val="32"/>
        </w:rPr>
        <w:t>优化思贤社区大学城东路香炉山街道办事处路口红绿灯设置，缓解辖区主干路大学城东路的交通拥堵现象。</w:t>
      </w:r>
    </w:p>
    <w:p w14:paraId="2A2A1547">
      <w:pPr>
        <w:adjustRightInd/>
        <w:snapToGrid/>
        <w:spacing w:line="600" w:lineRule="exact"/>
        <w:ind w:firstLine="640"/>
        <w:rPr>
          <w:rFonts w:eastAsia="方正仿宋_GBK"/>
          <w:sz w:val="32"/>
          <w:szCs w:val="32"/>
        </w:rPr>
      </w:pPr>
      <w:r>
        <w:rPr>
          <w:rFonts w:eastAsia="方正仿宋_GBK"/>
          <w:sz w:val="32"/>
          <w:szCs w:val="32"/>
        </w:rPr>
        <w:t>（责任单位及岗位：生态环保岗、规建管理岗）</w:t>
      </w:r>
    </w:p>
    <w:p w14:paraId="5DCF790E">
      <w:pPr>
        <w:adjustRightInd/>
        <w:snapToGrid/>
        <w:spacing w:line="600" w:lineRule="exact"/>
        <w:ind w:firstLine="640"/>
        <w:rPr>
          <w:rFonts w:eastAsia="方正仿宋_GBK"/>
          <w:sz w:val="32"/>
          <w:szCs w:val="32"/>
        </w:rPr>
      </w:pPr>
      <w:r>
        <w:rPr>
          <w:rFonts w:eastAsia="方正仿宋_GBK"/>
          <w:sz w:val="32"/>
          <w:szCs w:val="32"/>
        </w:rPr>
        <w:t>3.加强新能源宣导</w:t>
      </w:r>
    </w:p>
    <w:p w14:paraId="2DF773AB">
      <w:pPr>
        <w:adjustRightInd/>
        <w:snapToGrid/>
        <w:spacing w:line="600" w:lineRule="exact"/>
        <w:ind w:firstLine="640"/>
        <w:rPr>
          <w:rFonts w:eastAsia="方正仿宋_GBK"/>
          <w:sz w:val="32"/>
          <w:szCs w:val="32"/>
        </w:rPr>
      </w:pPr>
      <w:r>
        <w:rPr>
          <w:rFonts w:eastAsia="方正仿宋_GBK"/>
          <w:sz w:val="32"/>
          <w:szCs w:val="32"/>
        </w:rPr>
        <w:t>推进新能源替代。鼓励辖区新启动或即将启动的在建项目推进新能源渣土车、搅拌车应用示范。开展减排宣传活动，鼓励市民采用公共交通、骑行或步行等绿色出行方式，减少秋冬重污染期间的私家车使用。</w:t>
      </w:r>
    </w:p>
    <w:p w14:paraId="7AA0E6D1">
      <w:pPr>
        <w:adjustRightInd/>
        <w:snapToGrid/>
        <w:spacing w:line="600" w:lineRule="exact"/>
        <w:ind w:firstLine="640"/>
        <w:rPr>
          <w:rFonts w:eastAsia="方正仿宋_GBK"/>
          <w:sz w:val="32"/>
          <w:szCs w:val="32"/>
        </w:rPr>
      </w:pPr>
      <w:r>
        <w:rPr>
          <w:rFonts w:eastAsia="方正仿宋_GBK"/>
          <w:sz w:val="32"/>
          <w:szCs w:val="32"/>
        </w:rPr>
        <w:t>（责任岗位：生态环保岗、综合执法岗）</w:t>
      </w:r>
    </w:p>
    <w:p w14:paraId="44063F3A">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（五）强化露天焚烧管控</w:t>
      </w:r>
    </w:p>
    <w:p w14:paraId="5CA6672E">
      <w:pPr>
        <w:adjustRightInd/>
        <w:snapToGrid/>
        <w:spacing w:line="600" w:lineRule="exact"/>
        <w:ind w:firstLine="640"/>
        <w:rPr>
          <w:rFonts w:eastAsia="方正仿宋_GBK"/>
          <w:sz w:val="32"/>
          <w:szCs w:val="32"/>
        </w:rPr>
      </w:pPr>
      <w:r>
        <w:rPr>
          <w:rFonts w:eastAsia="方正仿宋_GBK"/>
          <w:sz w:val="32"/>
          <w:szCs w:val="32"/>
        </w:rPr>
        <w:t>1.加强露天焚烧巡查</w:t>
      </w:r>
    </w:p>
    <w:p w14:paraId="5F315F33">
      <w:pPr>
        <w:adjustRightInd/>
        <w:snapToGrid/>
        <w:spacing w:line="600" w:lineRule="exact"/>
        <w:ind w:firstLine="640"/>
        <w:rPr>
          <w:rFonts w:eastAsia="方正仿宋_GBK"/>
          <w:sz w:val="32"/>
          <w:szCs w:val="32"/>
        </w:rPr>
      </w:pPr>
      <w:r>
        <w:rPr>
          <w:rFonts w:eastAsia="方正仿宋_GBK"/>
          <w:sz w:val="32"/>
          <w:szCs w:val="32"/>
        </w:rPr>
        <w:t>加大对辖区露天焚烧垃圾、焚烧农作物秸秆及杂草等行为的劝阻、查处和执法力度。巡查方面，每日由各村社区、生态环保岗、城管大队、露天焚烧管控单位开展联合巡查工作，发现火点立即处置；利用视频监控智能识别设备，接到识别交办问题后半小时内完成处理。</w:t>
      </w:r>
    </w:p>
    <w:p w14:paraId="594D7423">
      <w:pPr>
        <w:adjustRightInd/>
        <w:snapToGrid/>
        <w:spacing w:line="600" w:lineRule="exact"/>
        <w:ind w:firstLine="640"/>
        <w:rPr>
          <w:rFonts w:eastAsia="方正仿宋_GBK"/>
          <w:sz w:val="32"/>
          <w:szCs w:val="32"/>
        </w:rPr>
      </w:pPr>
      <w:r>
        <w:rPr>
          <w:rFonts w:eastAsia="方正仿宋_GBK"/>
          <w:sz w:val="32"/>
          <w:szCs w:val="32"/>
        </w:rPr>
        <w:t>2.加强禁止焚烧的宣传</w:t>
      </w:r>
    </w:p>
    <w:p w14:paraId="0D8026FF">
      <w:pPr>
        <w:adjustRightInd/>
        <w:snapToGrid/>
        <w:spacing w:line="600" w:lineRule="exact"/>
        <w:ind w:firstLine="640"/>
        <w:rPr>
          <w:rFonts w:eastAsia="方正仿宋_GBK"/>
          <w:sz w:val="32"/>
          <w:szCs w:val="32"/>
        </w:rPr>
      </w:pPr>
      <w:r>
        <w:rPr>
          <w:rFonts w:eastAsia="方正仿宋_GBK"/>
          <w:sz w:val="32"/>
          <w:szCs w:val="32"/>
        </w:rPr>
        <w:t>宣传方面，利用喇叭流动播放、增加宣传牌、居民微信群推送等形式宣传，普及露天焚烧垃圾、秸秆的危害性。</w:t>
      </w:r>
    </w:p>
    <w:p w14:paraId="17DB710A">
      <w:pPr>
        <w:adjustRightInd/>
        <w:snapToGrid/>
        <w:spacing w:line="600" w:lineRule="exact"/>
        <w:ind w:firstLine="640"/>
        <w:rPr>
          <w:rFonts w:eastAsia="方正仿宋_GBK"/>
          <w:b/>
          <w:bCs/>
          <w:sz w:val="32"/>
          <w:szCs w:val="32"/>
        </w:rPr>
      </w:pPr>
      <w:r>
        <w:rPr>
          <w:rFonts w:eastAsia="方正仿宋_GBK"/>
          <w:sz w:val="32"/>
          <w:szCs w:val="32"/>
        </w:rPr>
        <w:t>（责任岗位：各村社区、生态环保岗、综合执法岗）</w:t>
      </w:r>
    </w:p>
    <w:p w14:paraId="41858349">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（六）强化餐饮游摊、露天烧烤、烟熏烤肉等行为管控</w:t>
      </w:r>
    </w:p>
    <w:p w14:paraId="3B5CCBA9">
      <w:pPr>
        <w:adjustRightInd/>
        <w:snapToGrid/>
        <w:spacing w:line="600" w:lineRule="exact"/>
        <w:ind w:firstLine="640"/>
        <w:rPr>
          <w:rFonts w:eastAsia="方正仿宋_GBK"/>
          <w:sz w:val="32"/>
          <w:szCs w:val="32"/>
        </w:rPr>
      </w:pPr>
      <w:r>
        <w:rPr>
          <w:rFonts w:eastAsia="方正仿宋_GBK"/>
          <w:sz w:val="32"/>
          <w:szCs w:val="32"/>
        </w:rPr>
        <w:t>1.餐饮游摊的管控</w:t>
      </w:r>
    </w:p>
    <w:p w14:paraId="58B79A10">
      <w:pPr>
        <w:adjustRightInd/>
        <w:snapToGrid/>
        <w:spacing w:line="600" w:lineRule="exact"/>
        <w:ind w:firstLine="640"/>
        <w:rPr>
          <w:rFonts w:eastAsia="方正仿宋_GBK"/>
          <w:sz w:val="32"/>
          <w:szCs w:val="32"/>
        </w:rPr>
      </w:pPr>
      <w:r>
        <w:rPr>
          <w:rFonts w:eastAsia="方正仿宋_GBK"/>
          <w:sz w:val="32"/>
          <w:szCs w:val="32"/>
        </w:rPr>
        <w:t>目前辖区内游摊聚集点主要在：康居西城四组团大门口、康居西城七组团门口、永辉超市入口、中渝春华秋实三期一号门、西康公寓南门。上述几处均涉及烧烤、炒饭等食品经营，目前处于无序状态，缺乏统一的环保排放管理。涉及烧烤、煎炸、炒制等产生重油烟的摊位必须配备油烟净化设施。在居民区等需求量较大的地方可设立游摊指定集中经营区。较零散的游摊可劝导至指定地点。综合执法岗、生态环保岗对在非指定区域进行产生油烟的餐饮游摊以及指定区域未按要求配备油烟净化设施的游摊开展巡查管控以及劝离。</w:t>
      </w:r>
    </w:p>
    <w:p w14:paraId="38380F7E">
      <w:pPr>
        <w:adjustRightInd/>
        <w:snapToGrid/>
        <w:spacing w:line="600" w:lineRule="exact"/>
        <w:ind w:firstLine="640"/>
        <w:rPr>
          <w:rFonts w:eastAsia="方正仿宋_GBK"/>
          <w:sz w:val="32"/>
          <w:szCs w:val="32"/>
        </w:rPr>
      </w:pPr>
      <w:r>
        <w:rPr>
          <w:rFonts w:eastAsia="方正仿宋_GBK"/>
          <w:sz w:val="32"/>
          <w:szCs w:val="32"/>
        </w:rPr>
        <w:t>2.露天烧烤的管控</w:t>
      </w:r>
    </w:p>
    <w:p w14:paraId="1F6FCB1E">
      <w:pPr>
        <w:adjustRightInd/>
        <w:snapToGrid/>
        <w:spacing w:line="600" w:lineRule="exact"/>
        <w:ind w:firstLine="640"/>
        <w:rPr>
          <w:rFonts w:eastAsia="方正仿宋_GBK"/>
          <w:sz w:val="32"/>
          <w:szCs w:val="32"/>
        </w:rPr>
      </w:pPr>
      <w:r>
        <w:rPr>
          <w:rFonts w:eastAsia="方正仿宋_GBK"/>
          <w:sz w:val="32"/>
          <w:szCs w:val="32"/>
        </w:rPr>
        <w:t>加强协信城立方二期等地点烧烤类餐饮门店巡查管控，禁止外摆烧烤架等；加强河岸步道、公园等的巡逻、喇叭流动播放、宣传告示牌等，劝阻个人露天烧烤行为。</w:t>
      </w:r>
    </w:p>
    <w:p w14:paraId="14A22C83">
      <w:pPr>
        <w:adjustRightInd/>
        <w:snapToGrid/>
        <w:spacing w:line="600" w:lineRule="exact"/>
        <w:ind w:firstLine="640"/>
        <w:rPr>
          <w:rFonts w:eastAsia="方正仿宋_GBK"/>
          <w:sz w:val="32"/>
          <w:szCs w:val="32"/>
        </w:rPr>
      </w:pPr>
      <w:r>
        <w:rPr>
          <w:rFonts w:eastAsia="方正仿宋_GBK"/>
          <w:sz w:val="32"/>
          <w:szCs w:val="32"/>
        </w:rPr>
        <w:t>3.烟熏腊肉的管控</w:t>
      </w:r>
    </w:p>
    <w:p w14:paraId="39F9D258">
      <w:pPr>
        <w:adjustRightInd/>
        <w:snapToGrid/>
        <w:spacing w:line="600" w:lineRule="exact"/>
        <w:ind w:firstLine="640"/>
        <w:rPr>
          <w:rFonts w:eastAsia="方正仿宋_GBK"/>
          <w:sz w:val="32"/>
          <w:szCs w:val="32"/>
        </w:rPr>
      </w:pPr>
      <w:r>
        <w:rPr>
          <w:rFonts w:eastAsia="方正仿宋_GBK"/>
          <w:sz w:val="32"/>
          <w:szCs w:val="32"/>
        </w:rPr>
        <w:t>辖区于康居西城花市布点设置1个集中环保熏制点。预定设置时间为春节前的2024年12月16日至2025年1月24日。各村社区引导居民集中熏制腊肉制品。鼓励引导居民到环保熏制点进行集中熏制腊肉制品。</w:t>
      </w:r>
    </w:p>
    <w:p w14:paraId="28F7CBFD">
      <w:pPr>
        <w:adjustRightInd/>
        <w:snapToGrid/>
        <w:spacing w:line="600" w:lineRule="exact"/>
        <w:ind w:firstLine="640"/>
        <w:rPr>
          <w:rFonts w:eastAsia="方正仿宋_GBK"/>
          <w:sz w:val="32"/>
          <w:szCs w:val="32"/>
        </w:rPr>
      </w:pPr>
      <w:r>
        <w:rPr>
          <w:rFonts w:eastAsia="方正仿宋_GBK"/>
          <w:sz w:val="32"/>
          <w:szCs w:val="32"/>
        </w:rPr>
        <w:t>（责任岗位：生态环保岗、综合执法岗、各村社区）</w:t>
      </w:r>
    </w:p>
    <w:p w14:paraId="3370F82B">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（七）强化餐饮油烟管控</w:t>
      </w:r>
    </w:p>
    <w:p w14:paraId="3B1F4A2A">
      <w:pPr>
        <w:adjustRightInd/>
        <w:snapToGrid/>
        <w:spacing w:line="600" w:lineRule="exact"/>
        <w:ind w:firstLine="640"/>
        <w:rPr>
          <w:rFonts w:eastAsia="方正仿宋_GBK"/>
          <w:sz w:val="32"/>
          <w:szCs w:val="32"/>
        </w:rPr>
      </w:pPr>
      <w:r>
        <w:rPr>
          <w:rFonts w:eastAsia="方正仿宋_GBK"/>
          <w:sz w:val="32"/>
          <w:szCs w:val="32"/>
        </w:rPr>
        <w:t>重点针对中渝春华秋实、首港城等小区附近无公共烟道且油烟污染较重的餐饮单位，督促其9月底前完成一次油烟净化设施清洗、滤芯更换和检修，后期定期（每月至少1次）维护保养并建立运维台账</w:t>
      </w:r>
      <w:r>
        <w:rPr>
          <w:rFonts w:hint="eastAsia" w:eastAsia="方正仿宋_GBK"/>
          <w:sz w:val="32"/>
          <w:szCs w:val="32"/>
        </w:rPr>
        <w:t>；</w:t>
      </w:r>
      <w:r>
        <w:rPr>
          <w:rFonts w:eastAsia="方正仿宋_GBK"/>
          <w:sz w:val="32"/>
          <w:szCs w:val="32"/>
        </w:rPr>
        <w:t>强化烤羊、烧烤单位油烟巡查管控并及时更新监管台账，严格督促规范配套、使用、维护油烟净化设施，对未按要求配套治理设施的，督促停业整改；加强执法，对长期油烟扰民、排放污染物不达标、油烟净化装置闲置等违法行为依法处罚。</w:t>
      </w:r>
    </w:p>
    <w:p w14:paraId="390DD036">
      <w:pPr>
        <w:adjustRightInd/>
        <w:snapToGrid/>
        <w:spacing w:line="600" w:lineRule="exact"/>
        <w:ind w:firstLine="640"/>
        <w:rPr>
          <w:rFonts w:eastAsia="方正仿宋_GBK"/>
          <w:sz w:val="32"/>
          <w:szCs w:val="32"/>
        </w:rPr>
      </w:pPr>
      <w:r>
        <w:rPr>
          <w:rFonts w:eastAsia="方正仿宋_GBK"/>
          <w:sz w:val="32"/>
          <w:szCs w:val="32"/>
        </w:rPr>
        <w:t>积极争取区级专项资金，推动中渝春华秋实附近餐饮商户油烟净化设备升级更新、公共烟道设置油烟治理项目，确保油烟排放浓度达到0.3mg/m</w:t>
      </w:r>
      <w:r>
        <w:rPr>
          <w:rFonts w:eastAsia="方正仿宋_GBK"/>
          <w:sz w:val="32"/>
          <w:szCs w:val="32"/>
          <w:vertAlign w:val="superscript"/>
        </w:rPr>
        <w:t>3</w:t>
      </w:r>
      <w:r>
        <w:rPr>
          <w:rFonts w:eastAsia="方正仿宋_GBK"/>
          <w:sz w:val="32"/>
          <w:szCs w:val="32"/>
        </w:rPr>
        <w:t>以下。</w:t>
      </w:r>
    </w:p>
    <w:p w14:paraId="013D1A97">
      <w:pPr>
        <w:adjustRightInd/>
        <w:snapToGrid/>
        <w:spacing w:line="600" w:lineRule="exact"/>
        <w:ind w:firstLine="640"/>
        <w:rPr>
          <w:rFonts w:eastAsia="方正仿宋_GBK"/>
          <w:sz w:val="32"/>
          <w:szCs w:val="32"/>
        </w:rPr>
      </w:pPr>
      <w:r>
        <w:rPr>
          <w:rFonts w:hint="eastAsia" w:eastAsia="方正仿宋_GBK"/>
          <w:sz w:val="32"/>
          <w:szCs w:val="32"/>
        </w:rPr>
        <w:t>对于新建、改建、扩建的餐饮项目，加强告知其选址禁止在居民住宅楼、未配套设立专用烟道的商住综合楼、商住综合楼内与居住层相邻的商业楼层内。</w:t>
      </w:r>
    </w:p>
    <w:p w14:paraId="738E416E">
      <w:pPr>
        <w:adjustRightInd/>
        <w:snapToGrid/>
        <w:spacing w:line="600" w:lineRule="exact"/>
        <w:ind w:firstLine="640"/>
        <w:rPr>
          <w:rFonts w:eastAsia="方正仿宋_GBK"/>
          <w:sz w:val="32"/>
          <w:szCs w:val="32"/>
        </w:rPr>
      </w:pPr>
      <w:r>
        <w:rPr>
          <w:rFonts w:eastAsia="方正仿宋_GBK"/>
          <w:sz w:val="32"/>
          <w:szCs w:val="32"/>
        </w:rPr>
        <w:t>（责任岗位：生态环保岗、各村社区、综合执法岗</w:t>
      </w:r>
      <w:r>
        <w:rPr>
          <w:rFonts w:hint="eastAsia" w:eastAsia="方正仿宋_GBK"/>
          <w:sz w:val="32"/>
          <w:szCs w:val="32"/>
        </w:rPr>
        <w:t>、市场监管岗</w:t>
      </w:r>
      <w:r>
        <w:rPr>
          <w:rFonts w:eastAsia="方正仿宋_GBK"/>
          <w:sz w:val="32"/>
          <w:szCs w:val="32"/>
        </w:rPr>
        <w:t>）</w:t>
      </w:r>
    </w:p>
    <w:p w14:paraId="3D72E7E0">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（八）强化烟花爆竹燃放管控</w:t>
      </w:r>
    </w:p>
    <w:p w14:paraId="1E4E6CD0">
      <w:pPr>
        <w:adjustRightInd/>
        <w:snapToGrid/>
        <w:spacing w:line="600" w:lineRule="exact"/>
        <w:ind w:firstLine="640"/>
        <w:rPr>
          <w:rFonts w:eastAsia="方正仿宋_GBK"/>
          <w:sz w:val="32"/>
          <w:szCs w:val="32"/>
        </w:rPr>
      </w:pPr>
      <w:r>
        <w:rPr>
          <w:rFonts w:eastAsia="方正仿宋_GBK"/>
          <w:sz w:val="32"/>
          <w:szCs w:val="32"/>
        </w:rPr>
        <w:t>严格落实《重庆市燃放烟花爆竹管理条例》，做好烟花爆竹禁燃禁放管控。香炉山街道全域均为禁燃禁放区，严禁非法生产、经营、燃放烟花爆竹。提前营造禁燃氛围，提前印发宣传手册，提前部署打击非法经营销售烟花爆竹违法行为，及时劝阻个人燃放行为。</w:t>
      </w:r>
    </w:p>
    <w:p w14:paraId="4F311F4F">
      <w:pPr>
        <w:adjustRightInd/>
        <w:snapToGrid/>
        <w:spacing w:line="600" w:lineRule="exact"/>
        <w:ind w:firstLine="640"/>
        <w:rPr>
          <w:rFonts w:eastAsia="方正仿宋_GBK"/>
          <w:sz w:val="32"/>
          <w:szCs w:val="32"/>
        </w:rPr>
      </w:pPr>
      <w:r>
        <w:rPr>
          <w:rFonts w:eastAsia="方正仿宋_GBK"/>
          <w:sz w:val="32"/>
          <w:szCs w:val="32"/>
        </w:rPr>
        <w:t>（责任岗位：应急管理岗）</w:t>
      </w:r>
    </w:p>
    <w:p w14:paraId="361C90D7">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（九）强化工业企业、汽修店、加油站管控</w:t>
      </w:r>
    </w:p>
    <w:p w14:paraId="45A85AB7">
      <w:pPr>
        <w:adjustRightInd/>
        <w:snapToGrid/>
        <w:spacing w:line="600" w:lineRule="exact"/>
        <w:ind w:firstLine="640"/>
        <w:rPr>
          <w:rFonts w:eastAsia="方正仿宋_GBK"/>
          <w:sz w:val="32"/>
          <w:szCs w:val="32"/>
        </w:rPr>
      </w:pPr>
      <w:r>
        <w:rPr>
          <w:rFonts w:eastAsia="方正仿宋_GBK"/>
          <w:sz w:val="32"/>
          <w:szCs w:val="32"/>
        </w:rPr>
        <w:t>重点检查华润微电子（重庆）有限公司、重庆市森华机械有限公司、迪港汽车维修中心等单位的废气收集、废气治理设施配备及运行维护情况，督促定期更换活性炭及过滤棉、定期检修光氧设施、落实错峰生产。</w:t>
      </w:r>
      <w:r>
        <w:rPr>
          <w:rFonts w:hint="eastAsia" w:eastAsia="方正仿宋_GBK"/>
          <w:sz w:val="32"/>
          <w:szCs w:val="32"/>
        </w:rPr>
        <w:t>重点检查中国石化销售股份有限公司重庆石油分公司石滩加油加气站、中国石油天然气股份有限公司重庆销售分公司虎曾路加油站的油气回收装置排放情况。</w:t>
      </w:r>
      <w:r>
        <w:rPr>
          <w:rFonts w:eastAsia="方正仿宋_GBK"/>
          <w:sz w:val="32"/>
          <w:szCs w:val="32"/>
        </w:rPr>
        <w:t>强化油品监管，开展油品抽检，坚决依法打击劣质油销售</w:t>
      </w:r>
      <w:r>
        <w:rPr>
          <w:rFonts w:hint="eastAsia" w:eastAsia="方正仿宋_GBK"/>
          <w:sz w:val="32"/>
          <w:szCs w:val="32"/>
        </w:rPr>
        <w:t>。</w:t>
      </w:r>
    </w:p>
    <w:p w14:paraId="015D87FB">
      <w:pPr>
        <w:adjustRightInd/>
        <w:snapToGrid/>
        <w:spacing w:line="600" w:lineRule="exact"/>
        <w:ind w:firstLine="640"/>
        <w:rPr>
          <w:rFonts w:eastAsia="方正仿宋_GBK"/>
          <w:sz w:val="32"/>
          <w:szCs w:val="32"/>
        </w:rPr>
      </w:pPr>
      <w:r>
        <w:rPr>
          <w:rFonts w:eastAsia="方正仿宋_GBK"/>
          <w:sz w:val="32"/>
          <w:szCs w:val="32"/>
        </w:rPr>
        <w:t>各村社区环保专员在环保管家的协助下，定期巡查工业企业，汽修店</w:t>
      </w:r>
      <w:r>
        <w:rPr>
          <w:rFonts w:hint="eastAsia" w:eastAsia="方正仿宋_GBK"/>
          <w:sz w:val="32"/>
          <w:szCs w:val="32"/>
        </w:rPr>
        <w:t>，加油站</w:t>
      </w:r>
      <w:r>
        <w:rPr>
          <w:rFonts w:eastAsia="方正仿宋_GBK"/>
          <w:sz w:val="32"/>
          <w:szCs w:val="32"/>
        </w:rPr>
        <w:t>等，确保检查到位。对于巡查到的无治理设施、不正常运行治理设施等存在违法行为的单位，上报街道依法处置。</w:t>
      </w:r>
    </w:p>
    <w:p w14:paraId="289BAA20">
      <w:pPr>
        <w:adjustRightInd/>
        <w:snapToGrid/>
        <w:spacing w:line="600" w:lineRule="exact"/>
        <w:ind w:firstLine="640"/>
        <w:rPr>
          <w:rFonts w:eastAsia="方正仿宋_GBK"/>
          <w:sz w:val="32"/>
          <w:szCs w:val="32"/>
        </w:rPr>
      </w:pPr>
      <w:r>
        <w:rPr>
          <w:rFonts w:eastAsia="方正仿宋_GBK"/>
          <w:sz w:val="32"/>
          <w:szCs w:val="32"/>
        </w:rPr>
        <w:t>（责任岗位：生态环保岗、各村社区、经济发展岗</w:t>
      </w:r>
      <w:r>
        <w:rPr>
          <w:rFonts w:hint="eastAsia" w:eastAsia="方正仿宋_GBK"/>
          <w:sz w:val="32"/>
          <w:szCs w:val="32"/>
        </w:rPr>
        <w:t>、市场监管岗</w:t>
      </w:r>
      <w:r>
        <w:rPr>
          <w:rFonts w:eastAsia="方正仿宋_GBK"/>
          <w:sz w:val="32"/>
          <w:szCs w:val="32"/>
        </w:rPr>
        <w:t>）</w:t>
      </w:r>
    </w:p>
    <w:p w14:paraId="3D48B313">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（十）蓝天预警的响应保障</w:t>
      </w:r>
    </w:p>
    <w:p w14:paraId="2B3BF439">
      <w:pPr>
        <w:adjustRightInd/>
        <w:snapToGrid/>
        <w:spacing w:line="600" w:lineRule="exact"/>
        <w:ind w:firstLine="640"/>
        <w:rPr>
          <w:rFonts w:eastAsia="方正仿宋_GBK"/>
          <w:sz w:val="32"/>
          <w:szCs w:val="32"/>
        </w:rPr>
      </w:pPr>
      <w:r>
        <w:rPr>
          <w:rFonts w:eastAsia="方正仿宋_GBK"/>
          <w:sz w:val="32"/>
          <w:szCs w:val="32"/>
        </w:rPr>
        <w:t>根据高新区发布的蓝天预警，严格落实分级响应的各项大气污染防治措施。生态环保岗进行调度，各村社区、城管大队配合，对辖区涉气污染源开展巡查工作，并及时将巡查情况反馈至工作群。街道在各级蓝天预警下的响应巡查涉气污染源任务如表4。目前辖区内暂无在建项目，或在建项目不足2家的（如康一、康二社区），可相应减少在建项目的巡查家数。</w:t>
      </w:r>
    </w:p>
    <w:p w14:paraId="66B98AEF">
      <w:pPr>
        <w:adjustRightInd/>
        <w:snapToGrid/>
        <w:spacing w:line="600" w:lineRule="exact"/>
        <w:ind w:firstLine="0" w:firstLineChars="0"/>
        <w:jc w:val="center"/>
        <w:rPr>
          <w:rFonts w:eastAsia="方正仿宋_GBK"/>
          <w:sz w:val="32"/>
          <w:szCs w:val="32"/>
        </w:rPr>
      </w:pPr>
      <w:r>
        <w:rPr>
          <w:rFonts w:eastAsia="方正仿宋_GBK"/>
          <w:sz w:val="32"/>
          <w:szCs w:val="32"/>
        </w:rPr>
        <w:t>表4.各级蓝天预警的响应巡查涉气污染源任务数</w:t>
      </w:r>
    </w:p>
    <w:tbl>
      <w:tblPr>
        <w:tblStyle w:val="26"/>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139"/>
        <w:gridCol w:w="1830"/>
        <w:gridCol w:w="1830"/>
        <w:gridCol w:w="2078"/>
      </w:tblGrid>
      <w:tr w14:paraId="5068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520" w:type="dxa"/>
            <w:vAlign w:val="center"/>
          </w:tcPr>
          <w:p w14:paraId="4F231D6C">
            <w:pPr>
              <w:adjustRightInd/>
              <w:snapToGrid/>
              <w:spacing w:line="600" w:lineRule="exact"/>
              <w:ind w:firstLine="0" w:firstLineChars="0"/>
              <w:jc w:val="center"/>
              <w:rPr>
                <w:rFonts w:eastAsia="方正仿宋_GBK"/>
                <w:sz w:val="32"/>
                <w:szCs w:val="32"/>
              </w:rPr>
            </w:pPr>
            <w:r>
              <w:rPr>
                <w:rFonts w:eastAsia="方正仿宋_GBK"/>
                <w:sz w:val="32"/>
                <w:szCs w:val="32"/>
              </w:rPr>
              <w:t>蓝天预警响应级别</w:t>
            </w:r>
          </w:p>
        </w:tc>
        <w:tc>
          <w:tcPr>
            <w:tcW w:w="2139" w:type="dxa"/>
            <w:vAlign w:val="center"/>
          </w:tcPr>
          <w:p w14:paraId="7CC52B27">
            <w:pPr>
              <w:adjustRightInd/>
              <w:snapToGrid/>
              <w:spacing w:line="600" w:lineRule="exact"/>
              <w:ind w:firstLine="0" w:firstLineChars="0"/>
              <w:jc w:val="center"/>
              <w:rPr>
                <w:rFonts w:eastAsia="方正仿宋_GBK"/>
                <w:sz w:val="32"/>
                <w:szCs w:val="32"/>
              </w:rPr>
            </w:pPr>
            <w:r>
              <w:rPr>
                <w:rFonts w:eastAsia="方正仿宋_GBK"/>
                <w:sz w:val="32"/>
                <w:szCs w:val="32"/>
              </w:rPr>
              <w:t>香炉山街道</w:t>
            </w:r>
          </w:p>
        </w:tc>
        <w:tc>
          <w:tcPr>
            <w:tcW w:w="1830" w:type="dxa"/>
            <w:vAlign w:val="center"/>
          </w:tcPr>
          <w:p w14:paraId="1FD5567C">
            <w:pPr>
              <w:adjustRightInd/>
              <w:snapToGrid/>
              <w:spacing w:line="600" w:lineRule="exact"/>
              <w:ind w:firstLine="0" w:firstLineChars="0"/>
              <w:jc w:val="center"/>
              <w:rPr>
                <w:rFonts w:eastAsia="方正仿宋_GBK"/>
                <w:sz w:val="32"/>
                <w:szCs w:val="32"/>
              </w:rPr>
            </w:pPr>
            <w:r>
              <w:rPr>
                <w:rFonts w:eastAsia="方正仿宋_GBK"/>
                <w:sz w:val="32"/>
                <w:szCs w:val="32"/>
              </w:rPr>
              <w:t>各社区</w:t>
            </w:r>
          </w:p>
        </w:tc>
        <w:tc>
          <w:tcPr>
            <w:tcW w:w="1830" w:type="dxa"/>
            <w:vAlign w:val="center"/>
          </w:tcPr>
          <w:p w14:paraId="2D132B7F">
            <w:pPr>
              <w:adjustRightInd/>
              <w:snapToGrid/>
              <w:spacing w:line="600" w:lineRule="exact"/>
              <w:ind w:firstLine="0" w:firstLineChars="0"/>
              <w:jc w:val="center"/>
              <w:rPr>
                <w:rFonts w:eastAsia="方正仿宋_GBK"/>
                <w:sz w:val="32"/>
                <w:szCs w:val="32"/>
              </w:rPr>
            </w:pPr>
            <w:r>
              <w:rPr>
                <w:rFonts w:eastAsia="方正仿宋_GBK"/>
                <w:sz w:val="32"/>
                <w:szCs w:val="32"/>
              </w:rPr>
              <w:t>各村</w:t>
            </w:r>
          </w:p>
        </w:tc>
        <w:tc>
          <w:tcPr>
            <w:tcW w:w="2078" w:type="dxa"/>
            <w:vAlign w:val="center"/>
          </w:tcPr>
          <w:p w14:paraId="1E2F8E2A">
            <w:pPr>
              <w:adjustRightInd/>
              <w:snapToGrid/>
              <w:spacing w:line="600" w:lineRule="exact"/>
              <w:ind w:firstLine="0" w:firstLineChars="0"/>
              <w:jc w:val="center"/>
              <w:rPr>
                <w:rFonts w:eastAsia="方正仿宋_GBK"/>
                <w:sz w:val="32"/>
                <w:szCs w:val="32"/>
              </w:rPr>
            </w:pPr>
            <w:r>
              <w:rPr>
                <w:rFonts w:eastAsia="方正仿宋_GBK"/>
                <w:sz w:val="32"/>
                <w:szCs w:val="32"/>
              </w:rPr>
              <w:t>在建项目</w:t>
            </w:r>
          </w:p>
        </w:tc>
      </w:tr>
      <w:tr w14:paraId="726E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1520" w:type="dxa"/>
            <w:vAlign w:val="center"/>
          </w:tcPr>
          <w:p w14:paraId="177C0CEA">
            <w:pPr>
              <w:adjustRightInd/>
              <w:snapToGrid/>
              <w:spacing w:line="600" w:lineRule="exact"/>
              <w:ind w:firstLine="0" w:firstLineChars="0"/>
              <w:jc w:val="center"/>
              <w:rPr>
                <w:rFonts w:eastAsia="方正仿宋_GBK"/>
                <w:sz w:val="32"/>
                <w:szCs w:val="32"/>
              </w:rPr>
            </w:pPr>
            <w:r>
              <w:rPr>
                <w:rFonts w:eastAsia="方正仿宋_GBK"/>
                <w:sz w:val="32"/>
                <w:szCs w:val="32"/>
              </w:rPr>
              <w:t>四级</w:t>
            </w:r>
          </w:p>
        </w:tc>
        <w:tc>
          <w:tcPr>
            <w:tcW w:w="2139" w:type="dxa"/>
            <w:vAlign w:val="center"/>
          </w:tcPr>
          <w:p w14:paraId="16A754E2">
            <w:pPr>
              <w:adjustRightInd/>
              <w:snapToGrid/>
              <w:spacing w:line="600" w:lineRule="exact"/>
              <w:ind w:firstLine="0" w:firstLineChars="0"/>
              <w:jc w:val="center"/>
              <w:rPr>
                <w:rFonts w:eastAsia="方正仿宋_GBK"/>
                <w:sz w:val="32"/>
                <w:szCs w:val="32"/>
              </w:rPr>
            </w:pPr>
            <w:r>
              <w:rPr>
                <w:rFonts w:eastAsia="方正仿宋_GBK"/>
                <w:sz w:val="32"/>
                <w:szCs w:val="32"/>
              </w:rPr>
              <w:t>至少巡查15家涉气污染源，发现4个及以上问题点位</w:t>
            </w:r>
          </w:p>
        </w:tc>
        <w:tc>
          <w:tcPr>
            <w:tcW w:w="1830" w:type="dxa"/>
            <w:vAlign w:val="center"/>
          </w:tcPr>
          <w:p w14:paraId="47D957C0">
            <w:pPr>
              <w:adjustRightInd/>
              <w:snapToGrid/>
              <w:spacing w:line="600" w:lineRule="exact"/>
              <w:ind w:firstLine="0" w:firstLineChars="0"/>
              <w:jc w:val="center"/>
              <w:rPr>
                <w:rFonts w:eastAsia="方正仿宋_GBK"/>
                <w:sz w:val="32"/>
                <w:szCs w:val="32"/>
              </w:rPr>
            </w:pPr>
            <w:r>
              <w:rPr>
                <w:rFonts w:eastAsia="方正仿宋_GBK"/>
                <w:sz w:val="32"/>
                <w:szCs w:val="32"/>
              </w:rPr>
              <w:t>至少巡查3家涉气污染源，发现1个及以上问题点位</w:t>
            </w:r>
          </w:p>
        </w:tc>
        <w:tc>
          <w:tcPr>
            <w:tcW w:w="1830" w:type="dxa"/>
            <w:vAlign w:val="center"/>
          </w:tcPr>
          <w:p w14:paraId="1AA41C04">
            <w:pPr>
              <w:adjustRightInd/>
              <w:snapToGrid/>
              <w:spacing w:line="600" w:lineRule="exact"/>
              <w:ind w:firstLine="0" w:firstLineChars="0"/>
              <w:jc w:val="center"/>
              <w:rPr>
                <w:rFonts w:eastAsia="方正仿宋_GBK"/>
                <w:sz w:val="32"/>
                <w:szCs w:val="32"/>
              </w:rPr>
            </w:pPr>
            <w:r>
              <w:rPr>
                <w:rFonts w:eastAsia="方正仿宋_GBK"/>
                <w:sz w:val="32"/>
                <w:szCs w:val="32"/>
              </w:rPr>
              <w:t>至少巡查2家涉气污染源，发现1个及以上问题点位</w:t>
            </w:r>
          </w:p>
        </w:tc>
        <w:tc>
          <w:tcPr>
            <w:tcW w:w="2078" w:type="dxa"/>
            <w:vAlign w:val="center"/>
          </w:tcPr>
          <w:p w14:paraId="1CBE0300">
            <w:pPr>
              <w:adjustRightInd/>
              <w:snapToGrid/>
              <w:spacing w:line="600" w:lineRule="exact"/>
              <w:ind w:firstLine="0" w:firstLineChars="0"/>
              <w:jc w:val="center"/>
              <w:rPr>
                <w:rFonts w:eastAsia="方正仿宋_GBK"/>
                <w:sz w:val="32"/>
                <w:szCs w:val="32"/>
              </w:rPr>
            </w:pPr>
            <w:r>
              <w:rPr>
                <w:rFonts w:eastAsia="方正仿宋_GBK"/>
                <w:sz w:val="32"/>
                <w:szCs w:val="32"/>
              </w:rPr>
              <w:t>各村社区</w:t>
            </w:r>
          </w:p>
          <w:p w14:paraId="2F3AA1FB">
            <w:pPr>
              <w:adjustRightInd/>
              <w:snapToGrid/>
              <w:spacing w:line="600" w:lineRule="exact"/>
              <w:ind w:firstLine="0" w:firstLineChars="0"/>
              <w:jc w:val="center"/>
              <w:rPr>
                <w:rFonts w:eastAsia="方正仿宋_GBK"/>
                <w:sz w:val="32"/>
                <w:szCs w:val="32"/>
              </w:rPr>
            </w:pPr>
            <w:r>
              <w:rPr>
                <w:rFonts w:eastAsia="方正仿宋_GBK"/>
                <w:sz w:val="32"/>
                <w:szCs w:val="32"/>
              </w:rPr>
              <w:t>至少巡查1家</w:t>
            </w:r>
          </w:p>
        </w:tc>
      </w:tr>
      <w:tr w14:paraId="0E39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1520" w:type="dxa"/>
            <w:vAlign w:val="center"/>
          </w:tcPr>
          <w:p w14:paraId="66E85235">
            <w:pPr>
              <w:adjustRightInd/>
              <w:snapToGrid/>
              <w:spacing w:line="600" w:lineRule="exact"/>
              <w:ind w:firstLine="0" w:firstLineChars="0"/>
              <w:jc w:val="center"/>
              <w:rPr>
                <w:rFonts w:eastAsia="方正仿宋_GBK"/>
                <w:sz w:val="32"/>
                <w:szCs w:val="32"/>
              </w:rPr>
            </w:pPr>
            <w:r>
              <w:rPr>
                <w:rFonts w:eastAsia="方正仿宋_GBK"/>
                <w:sz w:val="32"/>
                <w:szCs w:val="32"/>
              </w:rPr>
              <w:t>三级</w:t>
            </w:r>
          </w:p>
        </w:tc>
        <w:tc>
          <w:tcPr>
            <w:tcW w:w="2139" w:type="dxa"/>
            <w:vAlign w:val="center"/>
          </w:tcPr>
          <w:p w14:paraId="39685ED9">
            <w:pPr>
              <w:adjustRightInd/>
              <w:snapToGrid/>
              <w:spacing w:line="600" w:lineRule="exact"/>
              <w:ind w:firstLine="0" w:firstLineChars="0"/>
              <w:jc w:val="center"/>
              <w:rPr>
                <w:rFonts w:eastAsia="方正仿宋_GBK"/>
                <w:sz w:val="32"/>
                <w:szCs w:val="32"/>
              </w:rPr>
            </w:pPr>
            <w:r>
              <w:rPr>
                <w:rFonts w:eastAsia="方正仿宋_GBK"/>
                <w:sz w:val="32"/>
                <w:szCs w:val="32"/>
              </w:rPr>
              <w:t>至少巡查20家涉气污染源，发现6个及以上问题点位</w:t>
            </w:r>
          </w:p>
        </w:tc>
        <w:tc>
          <w:tcPr>
            <w:tcW w:w="1830" w:type="dxa"/>
            <w:vAlign w:val="center"/>
          </w:tcPr>
          <w:p w14:paraId="379BC2BC">
            <w:pPr>
              <w:adjustRightInd/>
              <w:snapToGrid/>
              <w:spacing w:line="600" w:lineRule="exact"/>
              <w:ind w:firstLine="0" w:firstLineChars="0"/>
              <w:jc w:val="center"/>
              <w:rPr>
                <w:rFonts w:eastAsia="方正仿宋_GBK"/>
                <w:sz w:val="32"/>
                <w:szCs w:val="32"/>
              </w:rPr>
            </w:pPr>
            <w:r>
              <w:rPr>
                <w:rFonts w:eastAsia="方正仿宋_GBK"/>
                <w:sz w:val="32"/>
                <w:szCs w:val="32"/>
              </w:rPr>
              <w:t>至少巡查4家涉气污染源，发现2个及以上问题点位</w:t>
            </w:r>
          </w:p>
        </w:tc>
        <w:tc>
          <w:tcPr>
            <w:tcW w:w="1830" w:type="dxa"/>
            <w:vAlign w:val="center"/>
          </w:tcPr>
          <w:p w14:paraId="62AB0E73">
            <w:pPr>
              <w:adjustRightInd/>
              <w:snapToGrid/>
              <w:spacing w:line="600" w:lineRule="exact"/>
              <w:ind w:firstLine="0" w:firstLineChars="0"/>
              <w:jc w:val="center"/>
              <w:rPr>
                <w:rFonts w:eastAsia="方正仿宋_GBK"/>
                <w:sz w:val="32"/>
                <w:szCs w:val="32"/>
              </w:rPr>
            </w:pPr>
            <w:r>
              <w:rPr>
                <w:rFonts w:eastAsia="方正仿宋_GBK"/>
                <w:sz w:val="32"/>
                <w:szCs w:val="32"/>
              </w:rPr>
              <w:t>至少巡查2家涉气污染源，发现1个及以上问题点位</w:t>
            </w:r>
          </w:p>
        </w:tc>
        <w:tc>
          <w:tcPr>
            <w:tcW w:w="2078" w:type="dxa"/>
            <w:vAlign w:val="center"/>
          </w:tcPr>
          <w:p w14:paraId="7A9790E7">
            <w:pPr>
              <w:adjustRightInd/>
              <w:snapToGrid/>
              <w:spacing w:line="600" w:lineRule="exact"/>
              <w:ind w:firstLine="0" w:firstLineChars="0"/>
              <w:jc w:val="center"/>
              <w:rPr>
                <w:rFonts w:eastAsia="方正仿宋_GBK"/>
                <w:sz w:val="32"/>
                <w:szCs w:val="32"/>
              </w:rPr>
            </w:pPr>
            <w:r>
              <w:rPr>
                <w:rFonts w:eastAsia="方正仿宋_GBK"/>
                <w:sz w:val="32"/>
                <w:szCs w:val="32"/>
              </w:rPr>
              <w:t>各村社区</w:t>
            </w:r>
          </w:p>
          <w:p w14:paraId="11DD7918">
            <w:pPr>
              <w:adjustRightInd/>
              <w:snapToGrid/>
              <w:spacing w:line="600" w:lineRule="exact"/>
              <w:ind w:firstLine="0" w:firstLineChars="0"/>
              <w:jc w:val="center"/>
              <w:rPr>
                <w:rFonts w:eastAsia="方正仿宋_GBK"/>
                <w:sz w:val="32"/>
                <w:szCs w:val="32"/>
              </w:rPr>
            </w:pPr>
            <w:r>
              <w:rPr>
                <w:rFonts w:eastAsia="方正仿宋_GBK"/>
                <w:sz w:val="32"/>
                <w:szCs w:val="32"/>
              </w:rPr>
              <w:t>至少巡查1家</w:t>
            </w:r>
          </w:p>
        </w:tc>
      </w:tr>
      <w:tr w14:paraId="5835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1520" w:type="dxa"/>
            <w:vAlign w:val="center"/>
          </w:tcPr>
          <w:p w14:paraId="35DBFEE3">
            <w:pPr>
              <w:adjustRightInd/>
              <w:snapToGrid/>
              <w:spacing w:line="600" w:lineRule="exact"/>
              <w:ind w:firstLine="0" w:firstLineChars="0"/>
              <w:jc w:val="center"/>
              <w:rPr>
                <w:rFonts w:eastAsia="方正仿宋_GBK"/>
                <w:sz w:val="32"/>
                <w:szCs w:val="32"/>
              </w:rPr>
            </w:pPr>
            <w:r>
              <w:rPr>
                <w:rFonts w:eastAsia="方正仿宋_GBK"/>
                <w:sz w:val="32"/>
                <w:szCs w:val="32"/>
              </w:rPr>
              <w:t>二级</w:t>
            </w:r>
          </w:p>
        </w:tc>
        <w:tc>
          <w:tcPr>
            <w:tcW w:w="2139" w:type="dxa"/>
            <w:vAlign w:val="center"/>
          </w:tcPr>
          <w:p w14:paraId="18567EA5">
            <w:pPr>
              <w:adjustRightInd/>
              <w:snapToGrid/>
              <w:spacing w:line="600" w:lineRule="exact"/>
              <w:ind w:firstLine="0" w:firstLineChars="0"/>
              <w:jc w:val="center"/>
              <w:rPr>
                <w:rFonts w:eastAsia="方正仿宋_GBK"/>
                <w:sz w:val="32"/>
                <w:szCs w:val="32"/>
              </w:rPr>
            </w:pPr>
            <w:r>
              <w:rPr>
                <w:rFonts w:eastAsia="方正仿宋_GBK"/>
                <w:sz w:val="32"/>
                <w:szCs w:val="32"/>
              </w:rPr>
              <w:t>至少巡查25家涉气污染源，发现8个及以上问题点位</w:t>
            </w:r>
          </w:p>
        </w:tc>
        <w:tc>
          <w:tcPr>
            <w:tcW w:w="1830" w:type="dxa"/>
            <w:vAlign w:val="center"/>
          </w:tcPr>
          <w:p w14:paraId="65AE9201">
            <w:pPr>
              <w:adjustRightInd/>
              <w:snapToGrid/>
              <w:spacing w:line="600" w:lineRule="exact"/>
              <w:ind w:firstLine="0" w:firstLineChars="0"/>
              <w:jc w:val="center"/>
              <w:rPr>
                <w:rFonts w:eastAsia="方正仿宋_GBK"/>
                <w:sz w:val="32"/>
                <w:szCs w:val="32"/>
              </w:rPr>
            </w:pPr>
            <w:r>
              <w:rPr>
                <w:rFonts w:eastAsia="方正仿宋_GBK"/>
                <w:sz w:val="32"/>
                <w:szCs w:val="32"/>
              </w:rPr>
              <w:t>至少巡查5家涉气污染源，发现2个及以上问题点位</w:t>
            </w:r>
          </w:p>
        </w:tc>
        <w:tc>
          <w:tcPr>
            <w:tcW w:w="1830" w:type="dxa"/>
            <w:vAlign w:val="center"/>
          </w:tcPr>
          <w:p w14:paraId="7FD84352">
            <w:pPr>
              <w:adjustRightInd/>
              <w:snapToGrid/>
              <w:spacing w:line="600" w:lineRule="exact"/>
              <w:ind w:firstLine="0" w:firstLineChars="0"/>
              <w:jc w:val="center"/>
              <w:rPr>
                <w:rFonts w:eastAsia="方正仿宋_GBK"/>
                <w:sz w:val="32"/>
                <w:szCs w:val="32"/>
              </w:rPr>
            </w:pPr>
            <w:r>
              <w:rPr>
                <w:rFonts w:eastAsia="方正仿宋_GBK"/>
                <w:sz w:val="32"/>
                <w:szCs w:val="32"/>
              </w:rPr>
              <w:t>至少巡查3家涉气污染源，发现2个及以上问题点位</w:t>
            </w:r>
          </w:p>
        </w:tc>
        <w:tc>
          <w:tcPr>
            <w:tcW w:w="2078" w:type="dxa"/>
            <w:vAlign w:val="center"/>
          </w:tcPr>
          <w:p w14:paraId="6467836B">
            <w:pPr>
              <w:adjustRightInd/>
              <w:snapToGrid/>
              <w:spacing w:line="600" w:lineRule="exact"/>
              <w:ind w:firstLine="0" w:firstLineChars="0"/>
              <w:jc w:val="center"/>
              <w:rPr>
                <w:rFonts w:eastAsia="方正仿宋_GBK"/>
                <w:sz w:val="32"/>
                <w:szCs w:val="32"/>
              </w:rPr>
            </w:pPr>
            <w:r>
              <w:rPr>
                <w:rFonts w:eastAsia="方正仿宋_GBK"/>
                <w:sz w:val="32"/>
                <w:szCs w:val="32"/>
              </w:rPr>
              <w:t>各村社区</w:t>
            </w:r>
          </w:p>
          <w:p w14:paraId="1825EBB4">
            <w:pPr>
              <w:adjustRightInd/>
              <w:snapToGrid/>
              <w:spacing w:line="600" w:lineRule="exact"/>
              <w:ind w:firstLine="0" w:firstLineChars="0"/>
              <w:jc w:val="center"/>
              <w:rPr>
                <w:rFonts w:eastAsia="方正仿宋_GBK"/>
                <w:sz w:val="32"/>
                <w:szCs w:val="32"/>
              </w:rPr>
            </w:pPr>
            <w:r>
              <w:rPr>
                <w:rFonts w:eastAsia="方正仿宋_GBK"/>
                <w:sz w:val="32"/>
                <w:szCs w:val="32"/>
              </w:rPr>
              <w:t>至少巡查2家</w:t>
            </w:r>
          </w:p>
        </w:tc>
      </w:tr>
      <w:tr w14:paraId="4EF6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1520" w:type="dxa"/>
            <w:vAlign w:val="center"/>
          </w:tcPr>
          <w:p w14:paraId="420DBFB0">
            <w:pPr>
              <w:adjustRightInd/>
              <w:snapToGrid/>
              <w:spacing w:line="600" w:lineRule="exact"/>
              <w:ind w:firstLine="0" w:firstLineChars="0"/>
              <w:jc w:val="center"/>
              <w:rPr>
                <w:rFonts w:eastAsia="方正仿宋_GBK"/>
                <w:sz w:val="32"/>
                <w:szCs w:val="32"/>
              </w:rPr>
            </w:pPr>
            <w:r>
              <w:rPr>
                <w:rFonts w:eastAsia="方正仿宋_GBK"/>
                <w:sz w:val="32"/>
                <w:szCs w:val="32"/>
              </w:rPr>
              <w:t>一级</w:t>
            </w:r>
          </w:p>
        </w:tc>
        <w:tc>
          <w:tcPr>
            <w:tcW w:w="2139" w:type="dxa"/>
            <w:vAlign w:val="center"/>
          </w:tcPr>
          <w:p w14:paraId="0B8E4628">
            <w:pPr>
              <w:adjustRightInd/>
              <w:snapToGrid/>
              <w:spacing w:line="600" w:lineRule="exact"/>
              <w:ind w:firstLine="0" w:firstLineChars="0"/>
              <w:jc w:val="center"/>
              <w:rPr>
                <w:rFonts w:eastAsia="方正仿宋_GBK"/>
                <w:sz w:val="32"/>
                <w:szCs w:val="32"/>
              </w:rPr>
            </w:pPr>
            <w:r>
              <w:rPr>
                <w:rFonts w:eastAsia="方正仿宋_GBK"/>
                <w:sz w:val="32"/>
                <w:szCs w:val="32"/>
              </w:rPr>
              <w:t>至少巡查30家涉气污染源，发现10个及以上问题点位。</w:t>
            </w:r>
          </w:p>
        </w:tc>
        <w:tc>
          <w:tcPr>
            <w:tcW w:w="1830" w:type="dxa"/>
            <w:vAlign w:val="center"/>
          </w:tcPr>
          <w:p w14:paraId="1395F8E2">
            <w:pPr>
              <w:adjustRightInd/>
              <w:snapToGrid/>
              <w:spacing w:line="600" w:lineRule="exact"/>
              <w:ind w:firstLine="0" w:firstLineChars="0"/>
              <w:jc w:val="center"/>
              <w:rPr>
                <w:rFonts w:eastAsia="方正仿宋_GBK"/>
                <w:sz w:val="32"/>
                <w:szCs w:val="32"/>
              </w:rPr>
            </w:pPr>
            <w:r>
              <w:rPr>
                <w:rFonts w:eastAsia="方正仿宋_GBK"/>
                <w:sz w:val="32"/>
                <w:szCs w:val="32"/>
              </w:rPr>
              <w:t>至少巡查6家涉气污染源，发现3个及以上问题点位</w:t>
            </w:r>
          </w:p>
        </w:tc>
        <w:tc>
          <w:tcPr>
            <w:tcW w:w="1830" w:type="dxa"/>
            <w:vAlign w:val="center"/>
          </w:tcPr>
          <w:p w14:paraId="7CD4AFA9">
            <w:pPr>
              <w:adjustRightInd/>
              <w:snapToGrid/>
              <w:spacing w:line="600" w:lineRule="exact"/>
              <w:ind w:firstLine="0" w:firstLineChars="0"/>
              <w:jc w:val="center"/>
              <w:rPr>
                <w:rFonts w:eastAsia="方正仿宋_GBK"/>
                <w:sz w:val="32"/>
                <w:szCs w:val="32"/>
              </w:rPr>
            </w:pPr>
            <w:r>
              <w:rPr>
                <w:rFonts w:eastAsia="方正仿宋_GBK"/>
                <w:sz w:val="32"/>
                <w:szCs w:val="32"/>
              </w:rPr>
              <w:t>至少巡查3家涉气污染源，发现2个及以上问题点位</w:t>
            </w:r>
          </w:p>
        </w:tc>
        <w:tc>
          <w:tcPr>
            <w:tcW w:w="2078" w:type="dxa"/>
            <w:vAlign w:val="center"/>
          </w:tcPr>
          <w:p w14:paraId="02EE910B">
            <w:pPr>
              <w:adjustRightInd/>
              <w:snapToGrid/>
              <w:spacing w:line="600" w:lineRule="exact"/>
              <w:ind w:firstLine="0" w:firstLineChars="0"/>
              <w:jc w:val="center"/>
              <w:rPr>
                <w:rFonts w:eastAsia="方正仿宋_GBK"/>
                <w:sz w:val="32"/>
                <w:szCs w:val="32"/>
              </w:rPr>
            </w:pPr>
            <w:r>
              <w:rPr>
                <w:rFonts w:eastAsia="方正仿宋_GBK"/>
                <w:sz w:val="32"/>
                <w:szCs w:val="32"/>
              </w:rPr>
              <w:t>各村社区</w:t>
            </w:r>
          </w:p>
          <w:p w14:paraId="636E6889">
            <w:pPr>
              <w:adjustRightInd/>
              <w:snapToGrid/>
              <w:spacing w:line="600" w:lineRule="exact"/>
              <w:ind w:firstLine="0" w:firstLineChars="0"/>
              <w:jc w:val="center"/>
              <w:rPr>
                <w:rFonts w:eastAsia="方正仿宋_GBK"/>
                <w:sz w:val="32"/>
                <w:szCs w:val="32"/>
              </w:rPr>
            </w:pPr>
            <w:r>
              <w:rPr>
                <w:rFonts w:eastAsia="方正仿宋_GBK"/>
                <w:sz w:val="32"/>
                <w:szCs w:val="32"/>
              </w:rPr>
              <w:t>至少巡查2家</w:t>
            </w:r>
          </w:p>
        </w:tc>
      </w:tr>
    </w:tbl>
    <w:p w14:paraId="51273802">
      <w:pPr>
        <w:adjustRightInd/>
        <w:snapToGrid/>
        <w:spacing w:line="600" w:lineRule="exact"/>
        <w:ind w:firstLine="640"/>
        <w:rPr>
          <w:rFonts w:eastAsia="方正仿宋_GBK"/>
          <w:sz w:val="32"/>
          <w:szCs w:val="32"/>
        </w:rPr>
      </w:pPr>
      <w:r>
        <w:rPr>
          <w:rFonts w:eastAsia="方正仿宋_GBK"/>
          <w:sz w:val="32"/>
          <w:szCs w:val="32"/>
        </w:rPr>
        <w:t>蓝天预警期间重点加强对各在建项目的管控：三级及以上预警响应时，要求各在建项目统一马上上报洒水降尘、裸土覆盖的水印照片至工作群；二级及以上预警响应时，错峰轮流关停扬尘污染严重的在建项目。</w:t>
      </w:r>
    </w:p>
    <w:p w14:paraId="51C90B41">
      <w:pPr>
        <w:adjustRightInd/>
        <w:snapToGrid/>
        <w:spacing w:line="600" w:lineRule="exact"/>
        <w:ind w:firstLine="640"/>
        <w:rPr>
          <w:rFonts w:eastAsia="方正仿宋_GBK"/>
          <w:sz w:val="32"/>
          <w:szCs w:val="32"/>
        </w:rPr>
      </w:pPr>
      <w:r>
        <w:rPr>
          <w:rFonts w:eastAsia="方正仿宋_GBK"/>
          <w:sz w:val="32"/>
          <w:szCs w:val="32"/>
        </w:rPr>
        <w:t>各村社区蓝天预警的响应巡查对象，要优先选择辖区内扬尘较大的工地、油烟污染较重的餐饮等，连续预警不重复检查相同单位。同时注意合理设置巡查对象的类别比例，尽量包括辖区内在建项目、工业企业、大型餐饮店、加油站、涉气汽修店等各项涉气污染源。各村社区环保专员在巡查时要做到严格对照各类涉气污染巡查表的清单项，逐项检查，确保巡查的有效性。</w:t>
      </w:r>
    </w:p>
    <w:p w14:paraId="7A5F355A">
      <w:pPr>
        <w:adjustRightInd/>
        <w:snapToGrid/>
        <w:spacing w:line="600" w:lineRule="exact"/>
        <w:ind w:firstLine="640"/>
        <w:rPr>
          <w:rFonts w:eastAsia="方正仿宋_GBK"/>
          <w:sz w:val="32"/>
          <w:szCs w:val="32"/>
        </w:rPr>
      </w:pPr>
      <w:r>
        <w:rPr>
          <w:rFonts w:eastAsia="方正仿宋_GBK"/>
          <w:sz w:val="32"/>
          <w:szCs w:val="32"/>
        </w:rPr>
        <w:t>环保管家每月开展一次对重点在建项目、大型餐饮店、重点工业企业等的全面巡查。</w:t>
      </w:r>
    </w:p>
    <w:p w14:paraId="3F2181A5">
      <w:pPr>
        <w:adjustRightInd/>
        <w:snapToGrid/>
        <w:spacing w:line="600" w:lineRule="exact"/>
        <w:ind w:firstLine="640"/>
        <w:rPr>
          <w:rFonts w:eastAsia="方正仿宋_GBK"/>
          <w:sz w:val="32"/>
          <w:szCs w:val="32"/>
        </w:rPr>
      </w:pPr>
      <w:r>
        <w:rPr>
          <w:rFonts w:eastAsia="方正仿宋_GBK"/>
          <w:sz w:val="32"/>
          <w:szCs w:val="32"/>
        </w:rPr>
        <w:t>（责任岗位：生态环保岗、各村社区、综合执法岗）</w:t>
      </w:r>
    </w:p>
    <w:p w14:paraId="544894A2">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（十一）加强宣传教育</w:t>
      </w:r>
    </w:p>
    <w:p w14:paraId="68CD9889">
      <w:pPr>
        <w:adjustRightInd/>
        <w:snapToGrid/>
        <w:spacing w:line="600" w:lineRule="exact"/>
        <w:ind w:firstLine="640"/>
        <w:rPr>
          <w:rFonts w:eastAsia="方正仿宋_GBK"/>
          <w:sz w:val="32"/>
          <w:szCs w:val="32"/>
        </w:rPr>
      </w:pPr>
      <w:r>
        <w:rPr>
          <w:rFonts w:eastAsia="方正仿宋_GBK"/>
          <w:sz w:val="32"/>
          <w:szCs w:val="32"/>
        </w:rPr>
        <w:t>由生态环保岗组织，环保管家提供支持，开展环保宣传、教育培训等。</w:t>
      </w:r>
    </w:p>
    <w:p w14:paraId="151E080F">
      <w:pPr>
        <w:adjustRightInd/>
        <w:snapToGrid/>
        <w:spacing w:line="600" w:lineRule="exact"/>
        <w:ind w:firstLine="640"/>
        <w:rPr>
          <w:rFonts w:eastAsia="方正仿宋_GBK"/>
          <w:sz w:val="32"/>
          <w:szCs w:val="32"/>
        </w:rPr>
      </w:pPr>
      <w:r>
        <w:rPr>
          <w:rFonts w:eastAsia="方正仿宋_GBK"/>
          <w:sz w:val="32"/>
          <w:szCs w:val="32"/>
        </w:rPr>
        <w:t>对村居环保员、街道工作人员等开展环保技能培训，提高其在预警响应期间巡查的专业性。</w:t>
      </w:r>
    </w:p>
    <w:p w14:paraId="45493E95">
      <w:pPr>
        <w:adjustRightInd/>
        <w:snapToGrid/>
        <w:spacing w:line="600" w:lineRule="exact"/>
        <w:ind w:firstLine="640"/>
        <w:rPr>
          <w:rFonts w:eastAsia="方正仿宋_GBK"/>
          <w:sz w:val="32"/>
          <w:szCs w:val="32"/>
        </w:rPr>
      </w:pPr>
      <w:r>
        <w:rPr>
          <w:rFonts w:eastAsia="方正仿宋_GBK"/>
          <w:sz w:val="32"/>
          <w:szCs w:val="32"/>
        </w:rPr>
        <w:t>对企业、医院、汽修店、在建项目等的负责人开展环保教育培训，提高其对环保相关法律法规的熟悉度、治污工作的规范度等。</w:t>
      </w:r>
    </w:p>
    <w:p w14:paraId="47820C14">
      <w:pPr>
        <w:adjustRightInd/>
        <w:snapToGrid/>
        <w:spacing w:line="600" w:lineRule="exact"/>
        <w:ind w:firstLine="640"/>
        <w:rPr>
          <w:rFonts w:eastAsia="方正仿宋_GBK"/>
          <w:sz w:val="32"/>
          <w:szCs w:val="32"/>
        </w:rPr>
      </w:pPr>
      <w:r>
        <w:rPr>
          <w:rFonts w:eastAsia="方正仿宋_GBK"/>
          <w:sz w:val="32"/>
          <w:szCs w:val="32"/>
        </w:rPr>
        <w:t>对普通民众开展环保宣传，通过媒体、网络、社区公告等多种渠道，宣传扬尘污染的危害性和降尘工作的重要性，提高公众环保意识和参与度。</w:t>
      </w:r>
    </w:p>
    <w:p w14:paraId="524DC82F">
      <w:pPr>
        <w:adjustRightInd/>
        <w:snapToGrid/>
        <w:spacing w:line="600" w:lineRule="exact"/>
        <w:ind w:firstLine="640"/>
        <w:rPr>
          <w:rFonts w:eastAsia="方正仿宋_GBK"/>
          <w:sz w:val="32"/>
          <w:szCs w:val="32"/>
        </w:rPr>
      </w:pPr>
      <w:r>
        <w:rPr>
          <w:rFonts w:eastAsia="方正仿宋_GBK"/>
          <w:sz w:val="32"/>
          <w:szCs w:val="32"/>
        </w:rPr>
        <w:t>（责任岗位：生态环保岗、各村社区）</w:t>
      </w:r>
    </w:p>
    <w:p w14:paraId="550FA5B9">
      <w:pPr>
        <w:adjustRightInd/>
        <w:snapToGrid/>
        <w:spacing w:line="60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三、治气攻坚的保障措施</w:t>
      </w:r>
    </w:p>
    <w:p w14:paraId="0D9A633D">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（一）PM</w:t>
      </w:r>
      <w:r>
        <w:rPr>
          <w:rFonts w:hint="eastAsia" w:ascii="方正楷体_GBK" w:hAnsi="方正楷体_GBK" w:eastAsia="方正楷体_GBK" w:cs="方正楷体_GBK"/>
          <w:sz w:val="32"/>
          <w:szCs w:val="32"/>
          <w:vertAlign w:val="subscript"/>
        </w:rPr>
        <w:t>2.5</w:t>
      </w:r>
      <w:r>
        <w:rPr>
          <w:rFonts w:hint="eastAsia" w:ascii="方正楷体_GBK" w:hAnsi="方正楷体_GBK" w:eastAsia="方正楷体_GBK" w:cs="方正楷体_GBK"/>
          <w:sz w:val="32"/>
          <w:szCs w:val="32"/>
        </w:rPr>
        <w:t>数据的动态追踪、通报</w:t>
      </w:r>
    </w:p>
    <w:p w14:paraId="25DF4599">
      <w:pPr>
        <w:adjustRightInd/>
        <w:snapToGrid/>
        <w:spacing w:line="600" w:lineRule="exact"/>
        <w:ind w:firstLine="640"/>
        <w:rPr>
          <w:rFonts w:eastAsia="方正仿宋_GBK"/>
          <w:sz w:val="32"/>
          <w:szCs w:val="32"/>
        </w:rPr>
      </w:pPr>
      <w:r>
        <w:rPr>
          <w:rFonts w:eastAsia="方正仿宋_GBK"/>
          <w:sz w:val="32"/>
          <w:szCs w:val="32"/>
        </w:rPr>
        <w:t>成立秋冬治气攻坚专项工作群，参与人员包括上述各项控尘措施涉及到的责任岗位及单位。由生态环保岗环保管家负责追踪每日PM</w:t>
      </w:r>
      <w:r>
        <w:rPr>
          <w:rFonts w:eastAsia="方正仿宋_GBK"/>
          <w:sz w:val="32"/>
          <w:szCs w:val="32"/>
          <w:vertAlign w:val="subscript"/>
        </w:rPr>
        <w:t>2.5</w:t>
      </w:r>
      <w:r>
        <w:rPr>
          <w:rFonts w:eastAsia="方正仿宋_GBK"/>
          <w:sz w:val="32"/>
          <w:szCs w:val="32"/>
        </w:rPr>
        <w:t>浓度，及时统计分析当周、当月的PM</w:t>
      </w:r>
      <w:r>
        <w:rPr>
          <w:rFonts w:eastAsia="方正仿宋_GBK"/>
          <w:sz w:val="32"/>
          <w:szCs w:val="32"/>
          <w:vertAlign w:val="subscript"/>
        </w:rPr>
        <w:t>2.5</w:t>
      </w:r>
      <w:r>
        <w:rPr>
          <w:rFonts w:eastAsia="方正仿宋_GBK"/>
          <w:sz w:val="32"/>
          <w:szCs w:val="32"/>
        </w:rPr>
        <w:t>累计平均浓度。每日追踪街道PM</w:t>
      </w:r>
      <w:r>
        <w:rPr>
          <w:rFonts w:eastAsia="方正仿宋_GBK"/>
          <w:sz w:val="32"/>
          <w:szCs w:val="32"/>
          <w:vertAlign w:val="subscript"/>
        </w:rPr>
        <w:t>2.5</w:t>
      </w:r>
      <w:r>
        <w:rPr>
          <w:rFonts w:eastAsia="方正仿宋_GBK"/>
          <w:sz w:val="32"/>
          <w:szCs w:val="32"/>
        </w:rPr>
        <w:t>是否达到当周、当月、当年目标，并将结果反馈至专项工作群。</w:t>
      </w:r>
    </w:p>
    <w:p w14:paraId="19EECEA0">
      <w:pPr>
        <w:adjustRightInd/>
        <w:snapToGrid/>
        <w:spacing w:line="600" w:lineRule="exact"/>
        <w:ind w:firstLine="640"/>
        <w:rPr>
          <w:rFonts w:eastAsia="方正仿宋_GBK"/>
          <w:sz w:val="32"/>
          <w:szCs w:val="32"/>
        </w:rPr>
      </w:pPr>
      <w:r>
        <w:rPr>
          <w:rFonts w:eastAsia="方正仿宋_GBK"/>
          <w:sz w:val="32"/>
          <w:szCs w:val="32"/>
        </w:rPr>
        <w:t>当某天PM</w:t>
      </w:r>
      <w:r>
        <w:rPr>
          <w:rFonts w:eastAsia="方正仿宋_GBK"/>
          <w:sz w:val="32"/>
          <w:szCs w:val="32"/>
          <w:vertAlign w:val="subscript"/>
        </w:rPr>
        <w:t>2.5</w:t>
      </w:r>
      <w:r>
        <w:rPr>
          <w:rFonts w:eastAsia="方正仿宋_GBK"/>
          <w:sz w:val="32"/>
          <w:szCs w:val="32"/>
        </w:rPr>
        <w:t>平均浓度超过高新区下达的目标时，第二天直接进入预警期，自主开展本方案稿第二章节所述各项控尘措施如：1道路洒水降尘增频，2施工扬尘、餐饮油烟、工业企业等管控，3渣车设点检查管控，4非道机械管控，5道路机动车管控，6餐饮游摊、露天烧烤、露天焚烧、燃放烟花爆竹管控等。直至当周累计平均PM</w:t>
      </w:r>
      <w:r>
        <w:rPr>
          <w:rFonts w:eastAsia="方正仿宋_GBK"/>
          <w:sz w:val="32"/>
          <w:szCs w:val="32"/>
          <w:vertAlign w:val="subscript"/>
        </w:rPr>
        <w:t>2.5</w:t>
      </w:r>
      <w:r>
        <w:rPr>
          <w:rFonts w:eastAsia="方正仿宋_GBK"/>
          <w:sz w:val="32"/>
          <w:szCs w:val="32"/>
        </w:rPr>
        <w:t>浓度低于预警浓度。</w:t>
      </w:r>
    </w:p>
    <w:p w14:paraId="005FB98D">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w:t>
      </w:r>
      <w:r>
        <w:rPr>
          <w:rFonts w:ascii="方正楷体_GBK" w:hAnsi="方正楷体_GBK" w:eastAsia="方正楷体_GBK" w:cs="方正楷体_GBK"/>
          <w:sz w:val="32"/>
          <w:szCs w:val="32"/>
        </w:rPr>
        <w:t>治气攻坚专班的分工</w:t>
      </w:r>
    </w:p>
    <w:p w14:paraId="532D7362">
      <w:pPr>
        <w:adjustRightInd/>
        <w:snapToGrid/>
        <w:spacing w:line="600" w:lineRule="exact"/>
        <w:ind w:firstLine="640"/>
        <w:rPr>
          <w:rFonts w:eastAsia="方正仿宋_GBK"/>
          <w:sz w:val="32"/>
          <w:szCs w:val="32"/>
        </w:rPr>
      </w:pPr>
      <w:r>
        <w:rPr>
          <w:rFonts w:eastAsia="方正仿宋_GBK"/>
          <w:sz w:val="32"/>
          <w:szCs w:val="32"/>
        </w:rPr>
        <w:t>1.治气攻坚的专班</w:t>
      </w:r>
    </w:p>
    <w:p w14:paraId="231F8473">
      <w:pPr>
        <w:adjustRightInd/>
        <w:snapToGrid/>
        <w:spacing w:line="600" w:lineRule="exact"/>
        <w:ind w:firstLine="640"/>
        <w:rPr>
          <w:rFonts w:eastAsia="方正仿宋_GBK"/>
          <w:sz w:val="32"/>
          <w:szCs w:val="32"/>
        </w:rPr>
      </w:pPr>
      <w:r>
        <w:rPr>
          <w:rFonts w:eastAsia="方正仿宋_GBK"/>
          <w:sz w:val="32"/>
          <w:szCs w:val="32"/>
        </w:rPr>
        <w:t>成立以香炉山街道党工委委员余先德为组长，生态环保岗主任李文红为副组长的攻坚专班，主要成员岗位包括生态环保岗、综合执法岗、城市管理岗、规建管理岗、市场监管岗、应急管理岗、经济发展岗、各村社区。</w:t>
      </w:r>
    </w:p>
    <w:p w14:paraId="0FD8087D">
      <w:pPr>
        <w:adjustRightInd/>
        <w:snapToGrid/>
        <w:spacing w:line="600" w:lineRule="exact"/>
        <w:ind w:firstLine="640"/>
        <w:rPr>
          <w:rFonts w:eastAsia="方正仿宋_GBK"/>
          <w:sz w:val="32"/>
          <w:szCs w:val="32"/>
        </w:rPr>
      </w:pPr>
      <w:r>
        <w:rPr>
          <w:rFonts w:eastAsia="方正仿宋_GBK"/>
          <w:sz w:val="32"/>
          <w:szCs w:val="32"/>
        </w:rPr>
        <w:t>2.治气攻坚的分工</w:t>
      </w:r>
    </w:p>
    <w:p w14:paraId="0CA192FE">
      <w:pPr>
        <w:adjustRightInd/>
        <w:snapToGrid/>
        <w:spacing w:line="600" w:lineRule="exact"/>
        <w:ind w:firstLine="640"/>
        <w:rPr>
          <w:rFonts w:eastAsia="方正仿宋_GBK"/>
          <w:sz w:val="32"/>
          <w:szCs w:val="32"/>
        </w:rPr>
      </w:pPr>
      <w:r>
        <w:rPr>
          <w:rFonts w:eastAsia="方正仿宋_GBK"/>
          <w:sz w:val="32"/>
          <w:szCs w:val="32"/>
        </w:rPr>
        <w:t>街道领导统筹协调各个责任岗位开展工作，相关岗位、各村社区要加强沟通联络，共同落实各项控尘措施。各岗位或单位的主要分工如表5。各岗位展开的工作及时汇报至专项工作群内。除了巡查发现问题，也要关注督促并及时汇报整改完成情况，或依法处置情况，形成工作闭环。生态环保岗将对已发现但持续未解决的问题点进行追踪记录，定期上报，督促完成整改，形成工作闭环。</w:t>
      </w:r>
    </w:p>
    <w:p w14:paraId="67134BE4">
      <w:pPr>
        <w:adjustRightInd/>
        <w:snapToGrid/>
        <w:spacing w:line="600" w:lineRule="exact"/>
        <w:ind w:firstLine="0" w:firstLineChars="0"/>
        <w:jc w:val="center"/>
        <w:rPr>
          <w:rFonts w:eastAsia="方正仿宋_GBK"/>
          <w:sz w:val="32"/>
          <w:szCs w:val="32"/>
        </w:rPr>
      </w:pPr>
      <w:r>
        <w:rPr>
          <w:rFonts w:eastAsia="方正仿宋_GBK"/>
          <w:sz w:val="32"/>
          <w:szCs w:val="32"/>
        </w:rPr>
        <w:t>表5.各岗位及单位的主要分工</w:t>
      </w:r>
    </w:p>
    <w:tbl>
      <w:tblPr>
        <w:tblStyle w:val="26"/>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950"/>
        <w:gridCol w:w="6440"/>
      </w:tblGrid>
      <w:tr w14:paraId="63F0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360C879D">
            <w:pPr>
              <w:adjustRightInd/>
              <w:snapToGrid/>
              <w:spacing w:line="600" w:lineRule="exact"/>
              <w:ind w:firstLine="0" w:firstLineChars="0"/>
              <w:jc w:val="center"/>
              <w:rPr>
                <w:rFonts w:eastAsia="方正仿宋_GBK"/>
                <w:sz w:val="32"/>
                <w:szCs w:val="32"/>
              </w:rPr>
            </w:pPr>
            <w:r>
              <w:rPr>
                <w:rFonts w:eastAsia="方正仿宋_GBK"/>
                <w:sz w:val="32"/>
                <w:szCs w:val="32"/>
              </w:rPr>
              <w:t>序号</w:t>
            </w:r>
          </w:p>
        </w:tc>
        <w:tc>
          <w:tcPr>
            <w:tcW w:w="1950" w:type="dxa"/>
            <w:vAlign w:val="center"/>
          </w:tcPr>
          <w:p w14:paraId="086866BB">
            <w:pPr>
              <w:adjustRightInd/>
              <w:snapToGrid/>
              <w:spacing w:line="600" w:lineRule="exact"/>
              <w:ind w:firstLine="0" w:firstLineChars="0"/>
              <w:jc w:val="center"/>
              <w:rPr>
                <w:rFonts w:eastAsia="方正仿宋_GBK"/>
                <w:sz w:val="32"/>
                <w:szCs w:val="32"/>
              </w:rPr>
            </w:pPr>
            <w:r>
              <w:rPr>
                <w:rFonts w:eastAsia="方正仿宋_GBK"/>
                <w:sz w:val="32"/>
                <w:szCs w:val="32"/>
              </w:rPr>
              <w:t>岗位名称</w:t>
            </w:r>
          </w:p>
        </w:tc>
        <w:tc>
          <w:tcPr>
            <w:tcW w:w="6440" w:type="dxa"/>
            <w:vAlign w:val="center"/>
          </w:tcPr>
          <w:p w14:paraId="33D25095">
            <w:pPr>
              <w:adjustRightInd/>
              <w:snapToGrid/>
              <w:spacing w:line="600" w:lineRule="exact"/>
              <w:ind w:firstLine="0" w:firstLineChars="0"/>
              <w:jc w:val="center"/>
              <w:rPr>
                <w:rFonts w:eastAsia="方正仿宋_GBK"/>
                <w:sz w:val="32"/>
                <w:szCs w:val="32"/>
              </w:rPr>
            </w:pPr>
            <w:r>
              <w:rPr>
                <w:rFonts w:eastAsia="方正仿宋_GBK"/>
                <w:sz w:val="32"/>
                <w:szCs w:val="32"/>
              </w:rPr>
              <w:t>主要分工</w:t>
            </w:r>
          </w:p>
        </w:tc>
      </w:tr>
      <w:tr w14:paraId="558C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3865ED65">
            <w:pPr>
              <w:adjustRightInd/>
              <w:snapToGrid/>
              <w:spacing w:line="600" w:lineRule="exact"/>
              <w:ind w:firstLine="0" w:firstLineChars="0"/>
              <w:jc w:val="center"/>
              <w:rPr>
                <w:rFonts w:eastAsia="方正仿宋_GBK"/>
                <w:sz w:val="32"/>
                <w:szCs w:val="32"/>
              </w:rPr>
            </w:pPr>
            <w:r>
              <w:rPr>
                <w:rFonts w:eastAsia="方正仿宋_GBK"/>
                <w:sz w:val="32"/>
                <w:szCs w:val="32"/>
              </w:rPr>
              <w:t>1</w:t>
            </w:r>
          </w:p>
        </w:tc>
        <w:tc>
          <w:tcPr>
            <w:tcW w:w="1950" w:type="dxa"/>
            <w:vAlign w:val="center"/>
          </w:tcPr>
          <w:p w14:paraId="5D610399">
            <w:pPr>
              <w:adjustRightInd/>
              <w:snapToGrid/>
              <w:spacing w:line="600" w:lineRule="exact"/>
              <w:ind w:firstLine="0" w:firstLineChars="0"/>
              <w:jc w:val="center"/>
              <w:rPr>
                <w:rFonts w:eastAsia="方正仿宋_GBK"/>
                <w:sz w:val="24"/>
                <w:szCs w:val="24"/>
              </w:rPr>
            </w:pPr>
            <w:r>
              <w:rPr>
                <w:rFonts w:eastAsia="方正仿宋_GBK"/>
                <w:sz w:val="24"/>
                <w:szCs w:val="24"/>
              </w:rPr>
              <w:t>生态环保岗</w:t>
            </w:r>
          </w:p>
        </w:tc>
        <w:tc>
          <w:tcPr>
            <w:tcW w:w="6440" w:type="dxa"/>
            <w:vAlign w:val="center"/>
          </w:tcPr>
          <w:p w14:paraId="44FB7FBC">
            <w:pPr>
              <w:adjustRightInd/>
              <w:snapToGrid/>
              <w:spacing w:line="600" w:lineRule="exact"/>
              <w:ind w:firstLine="0" w:firstLineChars="0"/>
              <w:jc w:val="center"/>
              <w:rPr>
                <w:rFonts w:eastAsia="方正仿宋_GBK"/>
                <w:sz w:val="24"/>
                <w:szCs w:val="24"/>
              </w:rPr>
            </w:pPr>
            <w:r>
              <w:rPr>
                <w:rFonts w:eastAsia="方正仿宋_GBK"/>
                <w:sz w:val="24"/>
                <w:szCs w:val="24"/>
              </w:rPr>
              <w:t>施工扬尘、非道机械、露天焚烧、餐饮游摊、露天烧烤、腊肉熏制、餐饮油烟等管控；工业企业等管控；蓝天预警响应巡查；交通新能源宣导；环保宣传教育</w:t>
            </w:r>
          </w:p>
        </w:tc>
      </w:tr>
      <w:tr w14:paraId="2BAE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Align w:val="center"/>
          </w:tcPr>
          <w:p w14:paraId="2E6EF7E1">
            <w:pPr>
              <w:adjustRightInd/>
              <w:snapToGrid/>
              <w:spacing w:line="600" w:lineRule="exact"/>
              <w:ind w:firstLine="0" w:firstLineChars="0"/>
              <w:jc w:val="center"/>
              <w:rPr>
                <w:rFonts w:eastAsia="方正仿宋_GBK"/>
                <w:sz w:val="32"/>
                <w:szCs w:val="32"/>
              </w:rPr>
            </w:pPr>
            <w:r>
              <w:rPr>
                <w:rFonts w:eastAsia="方正仿宋_GBK"/>
                <w:sz w:val="32"/>
                <w:szCs w:val="32"/>
              </w:rPr>
              <w:t>2</w:t>
            </w:r>
          </w:p>
        </w:tc>
        <w:tc>
          <w:tcPr>
            <w:tcW w:w="1950" w:type="dxa"/>
            <w:vAlign w:val="center"/>
          </w:tcPr>
          <w:p w14:paraId="1DC96885">
            <w:pPr>
              <w:adjustRightInd/>
              <w:snapToGrid/>
              <w:spacing w:line="600" w:lineRule="exact"/>
              <w:ind w:firstLine="0" w:firstLineChars="0"/>
              <w:jc w:val="center"/>
              <w:rPr>
                <w:rFonts w:eastAsia="方正仿宋_GBK"/>
                <w:szCs w:val="28"/>
              </w:rPr>
            </w:pPr>
            <w:r>
              <w:rPr>
                <w:rFonts w:eastAsia="方正仿宋_GBK"/>
                <w:szCs w:val="28"/>
              </w:rPr>
              <w:t>综合执法岗</w:t>
            </w:r>
          </w:p>
        </w:tc>
        <w:tc>
          <w:tcPr>
            <w:tcW w:w="6440" w:type="dxa"/>
            <w:vAlign w:val="center"/>
          </w:tcPr>
          <w:p w14:paraId="6AAA4BE9">
            <w:pPr>
              <w:adjustRightInd/>
              <w:snapToGrid/>
              <w:spacing w:line="600" w:lineRule="exact"/>
              <w:ind w:firstLine="0" w:firstLineChars="0"/>
              <w:jc w:val="center"/>
              <w:rPr>
                <w:rFonts w:eastAsia="方正仿宋_GBK"/>
                <w:szCs w:val="28"/>
              </w:rPr>
            </w:pPr>
            <w:r>
              <w:rPr>
                <w:rFonts w:eastAsia="方正仿宋_GBK"/>
                <w:szCs w:val="28"/>
              </w:rPr>
              <w:t>施工扬尘、渣车上路、非道机械、露天焚烧、餐饮游摊、露天烧烤</w:t>
            </w:r>
            <w:r>
              <w:rPr>
                <w:rFonts w:hint="eastAsia" w:eastAsia="方正仿宋_GBK"/>
                <w:szCs w:val="28"/>
              </w:rPr>
              <w:t>、</w:t>
            </w:r>
            <w:r>
              <w:rPr>
                <w:rFonts w:eastAsia="方正仿宋_GBK"/>
                <w:szCs w:val="28"/>
              </w:rPr>
              <w:t>餐饮油烟等管控执法；蓝天预警响应巡查；交通新能源宣导</w:t>
            </w:r>
          </w:p>
        </w:tc>
      </w:tr>
      <w:tr w14:paraId="4A89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659A9523">
            <w:pPr>
              <w:adjustRightInd/>
              <w:snapToGrid/>
              <w:spacing w:line="600" w:lineRule="exact"/>
              <w:ind w:firstLine="0" w:firstLineChars="0"/>
              <w:jc w:val="center"/>
              <w:rPr>
                <w:rFonts w:eastAsia="方正仿宋_GBK"/>
                <w:sz w:val="32"/>
                <w:szCs w:val="32"/>
              </w:rPr>
            </w:pPr>
            <w:r>
              <w:rPr>
                <w:rFonts w:hint="eastAsia" w:eastAsia="方正仿宋_GBK"/>
                <w:sz w:val="32"/>
                <w:szCs w:val="32"/>
              </w:rPr>
              <w:t>3</w:t>
            </w:r>
          </w:p>
        </w:tc>
        <w:tc>
          <w:tcPr>
            <w:tcW w:w="1950" w:type="dxa"/>
            <w:vAlign w:val="center"/>
          </w:tcPr>
          <w:p w14:paraId="44B568F5">
            <w:pPr>
              <w:adjustRightInd/>
              <w:snapToGrid/>
              <w:spacing w:line="600" w:lineRule="exact"/>
              <w:ind w:firstLine="0" w:firstLineChars="0"/>
              <w:jc w:val="center"/>
              <w:rPr>
                <w:rFonts w:eastAsia="方正仿宋_GBK"/>
                <w:szCs w:val="28"/>
              </w:rPr>
            </w:pPr>
            <w:r>
              <w:rPr>
                <w:rFonts w:eastAsia="方正仿宋_GBK"/>
                <w:szCs w:val="28"/>
              </w:rPr>
              <w:t>城市管理岗</w:t>
            </w:r>
          </w:p>
        </w:tc>
        <w:tc>
          <w:tcPr>
            <w:tcW w:w="6440" w:type="dxa"/>
            <w:vAlign w:val="center"/>
          </w:tcPr>
          <w:p w14:paraId="23F055CE">
            <w:pPr>
              <w:adjustRightInd/>
              <w:snapToGrid/>
              <w:spacing w:line="600" w:lineRule="exact"/>
              <w:ind w:firstLine="0" w:firstLineChars="0"/>
              <w:jc w:val="center"/>
              <w:rPr>
                <w:rFonts w:eastAsia="方正仿宋_GBK"/>
                <w:szCs w:val="28"/>
              </w:rPr>
            </w:pPr>
            <w:r>
              <w:rPr>
                <w:rFonts w:eastAsia="方正仿宋_GBK"/>
                <w:szCs w:val="28"/>
              </w:rPr>
              <w:t>道路洒水降尘</w:t>
            </w:r>
          </w:p>
        </w:tc>
      </w:tr>
      <w:tr w14:paraId="5754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260429E">
            <w:pPr>
              <w:adjustRightInd/>
              <w:snapToGrid/>
              <w:spacing w:line="600" w:lineRule="exact"/>
              <w:ind w:firstLine="0" w:firstLineChars="0"/>
              <w:jc w:val="center"/>
              <w:rPr>
                <w:rFonts w:eastAsia="方正仿宋_GBK"/>
                <w:sz w:val="32"/>
                <w:szCs w:val="32"/>
              </w:rPr>
            </w:pPr>
            <w:r>
              <w:rPr>
                <w:rFonts w:hint="eastAsia" w:eastAsia="方正仿宋_GBK"/>
                <w:sz w:val="32"/>
                <w:szCs w:val="32"/>
              </w:rPr>
              <w:t>4</w:t>
            </w:r>
          </w:p>
        </w:tc>
        <w:tc>
          <w:tcPr>
            <w:tcW w:w="1950" w:type="dxa"/>
            <w:vAlign w:val="center"/>
          </w:tcPr>
          <w:p w14:paraId="53D244D7">
            <w:pPr>
              <w:adjustRightInd/>
              <w:snapToGrid/>
              <w:spacing w:line="600" w:lineRule="exact"/>
              <w:ind w:firstLine="0" w:firstLineChars="0"/>
              <w:jc w:val="center"/>
              <w:rPr>
                <w:rFonts w:eastAsia="方正仿宋_GBK"/>
                <w:szCs w:val="28"/>
              </w:rPr>
            </w:pPr>
            <w:r>
              <w:rPr>
                <w:rFonts w:eastAsia="方正仿宋_GBK"/>
                <w:szCs w:val="28"/>
              </w:rPr>
              <w:t>规建管理岗</w:t>
            </w:r>
          </w:p>
        </w:tc>
        <w:tc>
          <w:tcPr>
            <w:tcW w:w="6440" w:type="dxa"/>
            <w:vAlign w:val="center"/>
          </w:tcPr>
          <w:p w14:paraId="59471E3C">
            <w:pPr>
              <w:adjustRightInd/>
              <w:snapToGrid/>
              <w:spacing w:line="600" w:lineRule="exact"/>
              <w:ind w:firstLine="0" w:firstLineChars="0"/>
              <w:jc w:val="center"/>
              <w:rPr>
                <w:rFonts w:eastAsia="方正仿宋_GBK"/>
                <w:szCs w:val="28"/>
              </w:rPr>
            </w:pPr>
            <w:r>
              <w:rPr>
                <w:rFonts w:eastAsia="方正仿宋_GBK"/>
                <w:szCs w:val="28"/>
              </w:rPr>
              <w:t>道路优化</w:t>
            </w:r>
          </w:p>
        </w:tc>
      </w:tr>
      <w:tr w14:paraId="7230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1BB1A137">
            <w:pPr>
              <w:adjustRightInd/>
              <w:snapToGrid/>
              <w:spacing w:line="600" w:lineRule="exact"/>
              <w:ind w:firstLine="0" w:firstLineChars="0"/>
              <w:jc w:val="center"/>
              <w:rPr>
                <w:rFonts w:eastAsia="方正仿宋_GBK"/>
                <w:sz w:val="32"/>
                <w:szCs w:val="32"/>
              </w:rPr>
            </w:pPr>
            <w:r>
              <w:rPr>
                <w:rFonts w:hint="eastAsia" w:eastAsia="方正仿宋_GBK"/>
                <w:sz w:val="32"/>
                <w:szCs w:val="32"/>
              </w:rPr>
              <w:t>5</w:t>
            </w:r>
          </w:p>
        </w:tc>
        <w:tc>
          <w:tcPr>
            <w:tcW w:w="1950" w:type="dxa"/>
            <w:vAlign w:val="center"/>
          </w:tcPr>
          <w:p w14:paraId="21AF0D6F">
            <w:pPr>
              <w:adjustRightInd/>
              <w:snapToGrid/>
              <w:spacing w:line="600" w:lineRule="exact"/>
              <w:ind w:firstLine="0" w:firstLineChars="0"/>
              <w:jc w:val="center"/>
              <w:rPr>
                <w:rFonts w:eastAsia="方正仿宋_GBK"/>
                <w:szCs w:val="28"/>
              </w:rPr>
            </w:pPr>
            <w:r>
              <w:rPr>
                <w:rFonts w:eastAsia="方正仿宋_GBK"/>
                <w:szCs w:val="28"/>
              </w:rPr>
              <w:t>市场监管岗</w:t>
            </w:r>
          </w:p>
        </w:tc>
        <w:tc>
          <w:tcPr>
            <w:tcW w:w="6440" w:type="dxa"/>
            <w:vAlign w:val="center"/>
          </w:tcPr>
          <w:p w14:paraId="1E09D5AD">
            <w:pPr>
              <w:adjustRightInd/>
              <w:snapToGrid/>
              <w:spacing w:line="600" w:lineRule="exact"/>
              <w:ind w:firstLine="0" w:firstLineChars="0"/>
              <w:jc w:val="center"/>
              <w:rPr>
                <w:rFonts w:eastAsia="方正仿宋_GBK"/>
                <w:szCs w:val="28"/>
              </w:rPr>
            </w:pPr>
            <w:r>
              <w:rPr>
                <w:rFonts w:hint="eastAsia" w:eastAsia="方正仿宋_GBK"/>
                <w:szCs w:val="28"/>
              </w:rPr>
              <w:t>餐饮环保事项告知；油品监管</w:t>
            </w:r>
          </w:p>
        </w:tc>
      </w:tr>
      <w:tr w14:paraId="3DAA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2FE6DFC3">
            <w:pPr>
              <w:adjustRightInd/>
              <w:snapToGrid/>
              <w:spacing w:line="600" w:lineRule="exact"/>
              <w:ind w:firstLine="0" w:firstLineChars="0"/>
              <w:jc w:val="center"/>
              <w:rPr>
                <w:rFonts w:eastAsia="方正仿宋_GBK"/>
                <w:sz w:val="32"/>
                <w:szCs w:val="32"/>
              </w:rPr>
            </w:pPr>
            <w:r>
              <w:rPr>
                <w:rFonts w:hint="eastAsia" w:eastAsia="方正仿宋_GBK"/>
                <w:sz w:val="32"/>
                <w:szCs w:val="32"/>
              </w:rPr>
              <w:t>6</w:t>
            </w:r>
          </w:p>
        </w:tc>
        <w:tc>
          <w:tcPr>
            <w:tcW w:w="1950" w:type="dxa"/>
            <w:vAlign w:val="center"/>
          </w:tcPr>
          <w:p w14:paraId="4A0CD448">
            <w:pPr>
              <w:adjustRightInd/>
              <w:snapToGrid/>
              <w:spacing w:line="600" w:lineRule="exact"/>
              <w:ind w:firstLine="0" w:firstLineChars="0"/>
              <w:jc w:val="center"/>
              <w:rPr>
                <w:rFonts w:eastAsia="方正仿宋_GBK"/>
                <w:szCs w:val="28"/>
              </w:rPr>
            </w:pPr>
            <w:r>
              <w:rPr>
                <w:rFonts w:eastAsia="方正仿宋_GBK"/>
                <w:szCs w:val="28"/>
              </w:rPr>
              <w:t>应急管理岗</w:t>
            </w:r>
          </w:p>
        </w:tc>
        <w:tc>
          <w:tcPr>
            <w:tcW w:w="6440" w:type="dxa"/>
            <w:vAlign w:val="center"/>
          </w:tcPr>
          <w:p w14:paraId="555DB258">
            <w:pPr>
              <w:adjustRightInd/>
              <w:snapToGrid/>
              <w:spacing w:line="600" w:lineRule="exact"/>
              <w:ind w:firstLine="0" w:firstLineChars="0"/>
              <w:jc w:val="center"/>
              <w:rPr>
                <w:rFonts w:eastAsia="方正仿宋_GBK"/>
                <w:szCs w:val="28"/>
              </w:rPr>
            </w:pPr>
            <w:r>
              <w:rPr>
                <w:rFonts w:eastAsia="方正仿宋_GBK"/>
                <w:szCs w:val="28"/>
              </w:rPr>
              <w:t>烟花爆竹管控</w:t>
            </w:r>
          </w:p>
        </w:tc>
      </w:tr>
      <w:tr w14:paraId="63B2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44E211FB">
            <w:pPr>
              <w:adjustRightInd/>
              <w:snapToGrid/>
              <w:spacing w:line="600" w:lineRule="exact"/>
              <w:ind w:firstLine="0" w:firstLineChars="0"/>
              <w:jc w:val="center"/>
              <w:rPr>
                <w:rFonts w:eastAsia="方正仿宋_GBK"/>
                <w:sz w:val="32"/>
                <w:szCs w:val="32"/>
              </w:rPr>
            </w:pPr>
            <w:r>
              <w:rPr>
                <w:rFonts w:hint="eastAsia" w:eastAsia="方正仿宋_GBK"/>
                <w:sz w:val="32"/>
                <w:szCs w:val="32"/>
              </w:rPr>
              <w:t>7</w:t>
            </w:r>
          </w:p>
        </w:tc>
        <w:tc>
          <w:tcPr>
            <w:tcW w:w="1950" w:type="dxa"/>
            <w:vAlign w:val="center"/>
          </w:tcPr>
          <w:p w14:paraId="379F159F">
            <w:pPr>
              <w:adjustRightInd/>
              <w:snapToGrid/>
              <w:spacing w:line="600" w:lineRule="exact"/>
              <w:ind w:firstLine="0" w:firstLineChars="0"/>
              <w:jc w:val="center"/>
              <w:rPr>
                <w:rFonts w:eastAsia="方正仿宋_GBK"/>
                <w:szCs w:val="28"/>
              </w:rPr>
            </w:pPr>
            <w:r>
              <w:rPr>
                <w:rFonts w:eastAsia="方正仿宋_GBK"/>
                <w:szCs w:val="28"/>
              </w:rPr>
              <w:t>经济发展岗</w:t>
            </w:r>
          </w:p>
        </w:tc>
        <w:tc>
          <w:tcPr>
            <w:tcW w:w="6440" w:type="dxa"/>
            <w:vAlign w:val="center"/>
          </w:tcPr>
          <w:p w14:paraId="19AF5C29">
            <w:pPr>
              <w:adjustRightInd/>
              <w:snapToGrid/>
              <w:spacing w:line="600" w:lineRule="exact"/>
              <w:ind w:firstLine="0" w:firstLineChars="0"/>
              <w:jc w:val="center"/>
              <w:rPr>
                <w:rFonts w:eastAsia="方正仿宋_GBK"/>
                <w:szCs w:val="28"/>
              </w:rPr>
            </w:pPr>
            <w:r>
              <w:rPr>
                <w:rFonts w:eastAsia="方正仿宋_GBK"/>
                <w:szCs w:val="28"/>
              </w:rPr>
              <w:t>工业企业等管控</w:t>
            </w:r>
          </w:p>
        </w:tc>
      </w:tr>
      <w:tr w14:paraId="71C0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F238F05">
            <w:pPr>
              <w:adjustRightInd/>
              <w:snapToGrid/>
              <w:spacing w:line="600" w:lineRule="exact"/>
              <w:ind w:firstLine="0" w:firstLineChars="0"/>
              <w:jc w:val="center"/>
              <w:rPr>
                <w:rFonts w:eastAsia="方正仿宋_GBK"/>
                <w:sz w:val="32"/>
                <w:szCs w:val="32"/>
              </w:rPr>
            </w:pPr>
            <w:r>
              <w:rPr>
                <w:rFonts w:hint="eastAsia" w:eastAsia="方正仿宋_GBK"/>
                <w:sz w:val="32"/>
                <w:szCs w:val="32"/>
              </w:rPr>
              <w:t>8</w:t>
            </w:r>
          </w:p>
        </w:tc>
        <w:tc>
          <w:tcPr>
            <w:tcW w:w="1950" w:type="dxa"/>
            <w:vAlign w:val="center"/>
          </w:tcPr>
          <w:p w14:paraId="77A39952">
            <w:pPr>
              <w:adjustRightInd/>
              <w:snapToGrid/>
              <w:spacing w:line="600" w:lineRule="exact"/>
              <w:ind w:firstLine="0" w:firstLineChars="0"/>
              <w:jc w:val="center"/>
              <w:rPr>
                <w:rFonts w:eastAsia="方正仿宋_GBK"/>
                <w:szCs w:val="28"/>
              </w:rPr>
            </w:pPr>
            <w:r>
              <w:rPr>
                <w:rFonts w:eastAsia="方正仿宋_GBK"/>
                <w:szCs w:val="28"/>
              </w:rPr>
              <w:t>各村社区</w:t>
            </w:r>
          </w:p>
        </w:tc>
        <w:tc>
          <w:tcPr>
            <w:tcW w:w="6440" w:type="dxa"/>
            <w:vAlign w:val="center"/>
          </w:tcPr>
          <w:p w14:paraId="19F8E486">
            <w:pPr>
              <w:adjustRightInd/>
              <w:snapToGrid/>
              <w:spacing w:line="600" w:lineRule="exact"/>
              <w:ind w:firstLine="0" w:firstLineChars="0"/>
              <w:jc w:val="center"/>
              <w:rPr>
                <w:rFonts w:eastAsia="方正仿宋_GBK"/>
                <w:szCs w:val="28"/>
              </w:rPr>
            </w:pPr>
            <w:r>
              <w:rPr>
                <w:rFonts w:eastAsia="方正仿宋_GBK"/>
                <w:szCs w:val="28"/>
              </w:rPr>
              <w:t>施工扬尘、非道机械、露天焚烧、餐饮游摊、露天烧烤、餐饮油烟等管控；工业企业等管控；蓝天预警响应巡查；环保宣传教育</w:t>
            </w:r>
          </w:p>
        </w:tc>
      </w:tr>
    </w:tbl>
    <w:p w14:paraId="1ACF2C49">
      <w:pPr>
        <w:adjustRightInd/>
        <w:snapToGrid/>
        <w:spacing w:line="600" w:lineRule="exact"/>
        <w:ind w:firstLine="0" w:firstLineChars="0"/>
        <w:jc w:val="center"/>
        <w:rPr>
          <w:szCs w:val="28"/>
        </w:rPr>
      </w:pPr>
    </w:p>
    <w:p w14:paraId="4E0BD8CB">
      <w:pPr>
        <w:pStyle w:val="20"/>
        <w:ind w:firstLine="0" w:firstLineChars="0"/>
        <w:rPr>
          <w:rFonts w:eastAsia="方正仿宋_GBK"/>
          <w:sz w:val="32"/>
          <w:szCs w:val="32"/>
        </w:rPr>
      </w:pPr>
    </w:p>
    <w:p w14:paraId="7526DD9D">
      <w:pPr>
        <w:pStyle w:val="20"/>
        <w:ind w:firstLine="0" w:firstLineChars="0"/>
        <w:rPr>
          <w:rFonts w:eastAsia="方正仿宋_GBK"/>
          <w:sz w:val="32"/>
          <w:szCs w:val="32"/>
        </w:rPr>
      </w:pPr>
    </w:p>
    <w:p w14:paraId="102A90AB">
      <w:pPr>
        <w:pStyle w:val="20"/>
        <w:ind w:firstLine="0" w:firstLineChars="0"/>
        <w:rPr>
          <w:rFonts w:eastAsia="方正仿宋_GBK"/>
          <w:sz w:val="32"/>
          <w:szCs w:val="32"/>
        </w:rPr>
      </w:pPr>
    </w:p>
    <w:p w14:paraId="20024F63">
      <w:pPr>
        <w:pStyle w:val="20"/>
        <w:ind w:firstLine="0" w:firstLineChars="0"/>
        <w:rPr>
          <w:rFonts w:eastAsia="方正仿宋_GBK"/>
          <w:sz w:val="32"/>
          <w:szCs w:val="32"/>
        </w:rPr>
      </w:pPr>
    </w:p>
    <w:p w14:paraId="129F5EDF">
      <w:pPr>
        <w:pStyle w:val="20"/>
        <w:ind w:firstLine="0" w:firstLineChars="0"/>
        <w:rPr>
          <w:rFonts w:eastAsia="方正仿宋_GBK"/>
          <w:sz w:val="32"/>
          <w:szCs w:val="32"/>
        </w:rPr>
      </w:pPr>
    </w:p>
    <w:p w14:paraId="0FC81F31">
      <w:pPr>
        <w:pStyle w:val="20"/>
        <w:ind w:firstLine="0" w:firstLineChars="0"/>
        <w:rPr>
          <w:rFonts w:eastAsia="方正仿宋_GBK"/>
          <w:sz w:val="32"/>
          <w:szCs w:val="32"/>
        </w:rPr>
      </w:pPr>
    </w:p>
    <w:p w14:paraId="211B9D21">
      <w:pPr>
        <w:pStyle w:val="20"/>
        <w:ind w:firstLine="0" w:firstLineChars="0"/>
        <w:rPr>
          <w:rFonts w:eastAsia="方正仿宋_GBK"/>
          <w:sz w:val="32"/>
          <w:szCs w:val="32"/>
        </w:rPr>
      </w:pPr>
    </w:p>
    <w:p w14:paraId="1C1D6DE9">
      <w:pPr>
        <w:pStyle w:val="20"/>
        <w:ind w:firstLine="0" w:firstLineChars="0"/>
        <w:rPr>
          <w:rFonts w:eastAsia="方正仿宋_GBK"/>
          <w:sz w:val="32"/>
          <w:szCs w:val="32"/>
        </w:rPr>
      </w:pPr>
    </w:p>
    <w:p w14:paraId="2FDD58CA">
      <w:pPr>
        <w:pStyle w:val="20"/>
        <w:ind w:firstLine="0" w:firstLineChars="0"/>
        <w:rPr>
          <w:rFonts w:eastAsia="方正仿宋_GBK"/>
          <w:sz w:val="32"/>
          <w:szCs w:val="32"/>
        </w:rPr>
      </w:pPr>
    </w:p>
    <w:p w14:paraId="42D60954">
      <w:pPr>
        <w:pStyle w:val="20"/>
        <w:ind w:firstLine="0" w:firstLineChars="0"/>
        <w:rPr>
          <w:rFonts w:eastAsia="方正仿宋_GBK"/>
          <w:sz w:val="32"/>
          <w:szCs w:val="32"/>
        </w:rPr>
      </w:pPr>
    </w:p>
    <w:p w14:paraId="1ED99219">
      <w:pPr>
        <w:pStyle w:val="20"/>
        <w:ind w:firstLine="0" w:firstLineChars="0"/>
        <w:rPr>
          <w:rFonts w:eastAsia="方正仿宋_GBK"/>
          <w:sz w:val="32"/>
          <w:szCs w:val="32"/>
        </w:rPr>
      </w:pPr>
    </w:p>
    <w:p w14:paraId="61ACE90C">
      <w:pPr>
        <w:pStyle w:val="20"/>
        <w:ind w:firstLine="0" w:firstLineChars="0"/>
        <w:rPr>
          <w:rFonts w:eastAsia="方正仿宋_GBK"/>
          <w:sz w:val="32"/>
          <w:szCs w:val="32"/>
        </w:rPr>
      </w:pPr>
    </w:p>
    <w:p w14:paraId="26C573ED">
      <w:pPr>
        <w:pStyle w:val="20"/>
        <w:ind w:firstLine="0" w:firstLineChars="0"/>
        <w:rPr>
          <w:rFonts w:eastAsia="方正仿宋_GBK"/>
          <w:sz w:val="32"/>
          <w:szCs w:val="32"/>
        </w:rPr>
      </w:pPr>
    </w:p>
    <w:p w14:paraId="706283F1">
      <w:pPr>
        <w:pBdr>
          <w:top w:val="single" w:color="auto" w:sz="4" w:space="1"/>
          <w:bottom w:val="single" w:color="auto" w:sz="4" w:space="1"/>
        </w:pBdr>
        <w:adjustRightInd/>
        <w:snapToGrid/>
        <w:spacing w:line="400" w:lineRule="exact"/>
        <w:ind w:firstLine="280" w:firstLineChars="100"/>
      </w:pPr>
      <w:r>
        <w:rPr>
          <w:rFonts w:eastAsia="方正仿宋_GBK"/>
          <w:szCs w:val="28"/>
        </w:rPr>
        <w:t>香炉山街道党政办公室</w:t>
      </w:r>
      <w:r>
        <w:rPr>
          <w:rFonts w:eastAsia="方正仿宋_GBK"/>
          <w:color w:val="000000"/>
          <w:w w:val="78"/>
          <w:szCs w:val="28"/>
        </w:rPr>
        <w:t xml:space="preserve">                    </w:t>
      </w:r>
      <w:r>
        <w:rPr>
          <w:rFonts w:hint="eastAsia" w:eastAsia="方正仿宋_GBK"/>
          <w:color w:val="000000"/>
          <w:w w:val="78"/>
          <w:szCs w:val="28"/>
        </w:rPr>
        <w:t xml:space="preserve">   </w:t>
      </w:r>
      <w:r>
        <w:rPr>
          <w:rFonts w:eastAsia="方正仿宋_GBK"/>
          <w:color w:val="000000"/>
          <w:w w:val="78"/>
          <w:szCs w:val="28"/>
        </w:rPr>
        <w:t xml:space="preserve"> </w:t>
      </w:r>
      <w:r>
        <w:rPr>
          <w:rFonts w:hint="eastAsia" w:eastAsia="方正仿宋_GBK"/>
          <w:color w:val="000000"/>
          <w:w w:val="78"/>
          <w:szCs w:val="28"/>
        </w:rPr>
        <w:t xml:space="preserve">  </w:t>
      </w:r>
      <w:r>
        <w:rPr>
          <w:rFonts w:eastAsia="方正仿宋_GBK"/>
          <w:color w:val="000000"/>
          <w:szCs w:val="28"/>
        </w:rPr>
        <w:t>202</w:t>
      </w:r>
      <w:r>
        <w:rPr>
          <w:rFonts w:hint="eastAsia" w:eastAsia="方正仿宋_GBK"/>
          <w:color w:val="000000"/>
          <w:szCs w:val="28"/>
        </w:rPr>
        <w:t>4年10</w:t>
      </w:r>
      <w:r>
        <w:rPr>
          <w:rFonts w:eastAsia="方正仿宋_GBK"/>
          <w:color w:val="000000"/>
          <w:szCs w:val="28"/>
        </w:rPr>
        <w:t>月</w:t>
      </w:r>
      <w:r>
        <w:rPr>
          <w:rFonts w:hint="eastAsia" w:eastAsia="方正仿宋_GBK"/>
          <w:color w:val="000000"/>
          <w:szCs w:val="28"/>
        </w:rPr>
        <w:t>18</w:t>
      </w:r>
      <w:r>
        <w:rPr>
          <w:rFonts w:eastAsia="方正仿宋_GBK"/>
          <w:color w:val="000000"/>
          <w:szCs w:val="28"/>
        </w:rPr>
        <w:t>日印发</w:t>
      </w:r>
    </w:p>
    <w:p w14:paraId="0914BEAB">
      <w:pPr>
        <w:pStyle w:val="12"/>
        <w:ind w:firstLine="640"/>
        <w:rPr>
          <w:rFonts w:ascii="Times New Roman" w:hAnsi="Times New Roman" w:eastAsia="方正仿宋_GBK"/>
          <w:color w:val="000000"/>
          <w:kern w:val="0"/>
          <w:sz w:val="32"/>
          <w:szCs w:val="32"/>
          <w:lang w:bidi="ar"/>
        </w:rPr>
      </w:pPr>
    </w:p>
    <w:p w14:paraId="3B8B745F">
      <w:pPr>
        <w:pStyle w:val="12"/>
        <w:ind w:firstLine="640"/>
        <w:rPr>
          <w:rFonts w:ascii="Times New Roman" w:hAnsi="Times New Roman" w:eastAsia="方正仿宋_GBK"/>
          <w:color w:val="000000"/>
          <w:kern w:val="0"/>
          <w:sz w:val="32"/>
          <w:szCs w:val="32"/>
          <w:lang w:bidi="ar"/>
        </w:rPr>
      </w:pPr>
    </w:p>
    <w:p w14:paraId="3834EBEA">
      <w:pPr>
        <w:pStyle w:val="12"/>
        <w:ind w:firstLine="640"/>
        <w:rPr>
          <w:rFonts w:ascii="Times New Roman" w:hAnsi="Times New Roman" w:eastAsia="方正仿宋_GBK"/>
          <w:color w:val="000000"/>
          <w:kern w:val="0"/>
          <w:sz w:val="32"/>
          <w:szCs w:val="32"/>
          <w:lang w:bidi="ar"/>
        </w:rPr>
      </w:pPr>
    </w:p>
    <w:p w14:paraId="4A257D16">
      <w:pPr>
        <w:pStyle w:val="12"/>
        <w:ind w:firstLine="640"/>
        <w:rPr>
          <w:rFonts w:ascii="Times New Roman" w:hAnsi="Times New Roman" w:eastAsia="方正仿宋_GBK"/>
          <w:color w:val="000000"/>
          <w:kern w:val="0"/>
          <w:sz w:val="32"/>
          <w:szCs w:val="32"/>
          <w:lang w:bidi="ar"/>
        </w:rPr>
        <w:sectPr>
          <w:headerReference r:id="rId5" w:type="default"/>
          <w:footerReference r:id="rId6" w:type="default"/>
          <w:pgSz w:w="11906" w:h="16838"/>
          <w:pgMar w:top="2098" w:right="1531" w:bottom="1984" w:left="1531" w:header="851" w:footer="1531" w:gutter="0"/>
          <w:cols w:space="0" w:num="1"/>
          <w:docGrid w:type="lines" w:linePitch="435" w:charSpace="0"/>
        </w:sectPr>
      </w:pPr>
    </w:p>
    <w:p w14:paraId="28D91D13">
      <w:pPr>
        <w:pStyle w:val="9"/>
        <w:spacing w:line="600" w:lineRule="exact"/>
        <w:ind w:firstLine="0" w:firstLineChars="0"/>
      </w:pPr>
    </w:p>
    <w:sectPr>
      <w:headerReference r:id="rId7" w:type="default"/>
      <w:footerReference r:id="rId8" w:type="default"/>
      <w:pgSz w:w="11906" w:h="16838"/>
      <w:pgMar w:top="2098" w:right="1474" w:bottom="1984" w:left="1587" w:header="851" w:footer="992" w:gutter="0"/>
      <w:cols w:space="0"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embedRegular r:id="rId1" w:fontKey="{852F678B-54ED-4FAF-B508-557F171E9ED5}"/>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embedRegular r:id="rId2" w:fontKey="{AA885366-AA75-4D0B-B63E-EAE348CD7AB5}"/>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20944DC8-1D86-45F8-AD4A-6F64E7A2E5E1}"/>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embedRegular r:id="rId4" w:fontKey="{07307EA7-8B23-4FA8-9857-2AB6046831FD}"/>
  </w:font>
  <w:font w:name="Arial">
    <w:panose1 w:val="020B0604020202020204"/>
    <w:charset w:val="00"/>
    <w:family w:val="swiss"/>
    <w:pitch w:val="default"/>
    <w:sig w:usb0="E0002EFF" w:usb1="C000785B" w:usb2="00000009" w:usb3="00000000" w:csb0="400001FF" w:csb1="FFFF0000"/>
  </w:font>
  <w:font w:name="方正楷体_GBK">
    <w:panose1 w:val="02000000000000000000"/>
    <w:charset w:val="86"/>
    <w:family w:val="script"/>
    <w:pitch w:val="default"/>
    <w:sig w:usb0="800002BF" w:usb1="38CF7CFA" w:usb2="00000016" w:usb3="00000000" w:csb0="00040000" w:csb1="00000000"/>
    <w:embedRegular r:id="rId5" w:fontKey="{A23EE6C6-8325-4FDB-BFFE-ED5204FB50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62E7B">
    <w:pPr>
      <w:wordWrap w:val="0"/>
      <w:ind w:firstLine="560"/>
      <w:jc w:val="right"/>
      <w:rPr>
        <w:rFonts w:ascii="宋体" w:hAnsi="宋体"/>
        <w:szCs w:val="28"/>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4E309">
                          <w:pPr>
                            <w:pStyle w:val="2"/>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C24E309">
                    <w:pPr>
                      <w:pStyle w:val="2"/>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8B78A">
                          <w:pPr>
                            <w:wordWrap w:val="0"/>
                            <w:ind w:firstLine="560"/>
                            <w:jc w:val="right"/>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258B78A">
                    <w:pPr>
                      <w:wordWrap w:val="0"/>
                      <w:ind w:firstLine="560"/>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843CD">
    <w:pPr>
      <w:pStyle w:val="2"/>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3CE9B">
                          <w:pPr>
                            <w:pStyle w:val="2"/>
                            <w:ind w:firstLine="36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0D3CE9B">
                    <w:pPr>
                      <w:pStyle w:val="2"/>
                      <w:ind w:firstLine="36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939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93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83017">
                          <w:pPr>
                            <w:pStyle w:val="2"/>
                            <w:ind w:firstLine="360"/>
                            <w:rPr>
                              <w:rFonts w:eastAsia="方正仿宋_GBK"/>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7.4pt;width:144pt;mso-position-horizontal:outside;mso-position-horizontal-relative:margin;mso-wrap-style:none;z-index:251659264;mso-width-relative:page;mso-height-relative:page;" filled="f" stroked="f" coordsize="21600,21600" o:gfxdata="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MSrY0wAAAAQBAAAPAAAAAAAAAAEAIAAAACIAAABkcnMvZG93bnJldi54bWxQSwECFAAU&#10;AAAACACHTuJA1Pl96y8CAABTBAAADgAAAAAAAAABACAAAAAiAQAAZHJzL2Uyb0RvYy54bWxQSwUG&#10;AAAAAAYABgBZAQAAwwUAAAAA&#10;">
              <v:fill on="f" focussize="0,0"/>
              <v:stroke on="f" weight="0.5pt"/>
              <v:imagedata o:title=""/>
              <o:lock v:ext="edit" aspectratio="f"/>
              <v:textbox inset="0mm,0mm,0mm,0mm">
                <w:txbxContent>
                  <w:p w14:paraId="79F83017">
                    <w:pPr>
                      <w:pStyle w:val="2"/>
                      <w:ind w:firstLine="360"/>
                      <w:rPr>
                        <w:rFonts w:eastAsia="方正仿宋_GBK"/>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DA39">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99AD1">
    <w:pPr>
      <w:pStyle w:val="1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95D05"/>
    <w:multiLevelType w:val="multilevel"/>
    <w:tmpl w:val="5B395D05"/>
    <w:lvl w:ilvl="0" w:tentative="0">
      <w:start w:val="1"/>
      <w:numFmt w:val="decimal"/>
      <w:suff w:val="space"/>
      <w:lvlText w:val="%1"/>
      <w:lvlJc w:val="left"/>
      <w:pPr>
        <w:ind w:left="0" w:firstLine="0"/>
      </w:pPr>
      <w:rPr>
        <w:rFonts w:hint="default" w:ascii="Times New Roman" w:hAnsi="Times New Roman" w:eastAsia="宋体"/>
        <w:b/>
        <w:i w:val="0"/>
        <w:sz w:val="36"/>
      </w:rPr>
    </w:lvl>
    <w:lvl w:ilvl="1" w:tentative="0">
      <w:start w:val="1"/>
      <w:numFmt w:val="decimal"/>
      <w:pStyle w:val="4"/>
      <w:suff w:val="space"/>
      <w:lvlText w:val="%1.%2"/>
      <w:lvlJc w:val="left"/>
      <w:pPr>
        <w:ind w:left="3545" w:firstLine="0"/>
      </w:pPr>
      <w:rPr>
        <w:rFonts w:hint="default" w:ascii="Times New Roman" w:hAnsi="Times New Roman" w:eastAsia="宋体"/>
        <w:b/>
        <w:i w:val="0"/>
        <w:sz w:val="32"/>
      </w:rPr>
    </w:lvl>
    <w:lvl w:ilvl="2" w:tentative="0">
      <w:start w:val="1"/>
      <w:numFmt w:val="decimal"/>
      <w:pStyle w:val="5"/>
      <w:suff w:val="space"/>
      <w:lvlText w:val="%1.%2.%3"/>
      <w:lvlJc w:val="left"/>
      <w:pPr>
        <w:ind w:left="0" w:firstLine="0"/>
      </w:pPr>
      <w:rPr>
        <w:rFonts w:hint="default" w:ascii="Times New Roman" w:hAnsi="Times New Roman" w:eastAsia="宋体"/>
        <w:b/>
        <w:i w:val="0"/>
        <w:sz w:val="30"/>
      </w:rPr>
    </w:lvl>
    <w:lvl w:ilvl="3" w:tentative="0">
      <w:start w:val="1"/>
      <w:numFmt w:val="decimal"/>
      <w:suff w:val="space"/>
      <w:lvlText w:val="%1.%2.%3.%4"/>
      <w:lvlJc w:val="left"/>
      <w:pPr>
        <w:ind w:left="0" w:firstLine="0"/>
      </w:pPr>
      <w:rPr>
        <w:rFonts w:hint="default" w:ascii="Times New Roman" w:hAnsi="Times New Roman" w:eastAsia="宋体"/>
        <w:b/>
        <w:i w:val="0"/>
        <w:sz w:val="28"/>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19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NWZmZjdiY2QyZTg3Y2I1NDhiYzE3NmRhNmVhMGYifQ=="/>
  </w:docVars>
  <w:rsids>
    <w:rsidRoot w:val="009B168E"/>
    <w:rsid w:val="00027910"/>
    <w:rsid w:val="00031582"/>
    <w:rsid w:val="00034DE4"/>
    <w:rsid w:val="0003513A"/>
    <w:rsid w:val="00043BFF"/>
    <w:rsid w:val="000469E0"/>
    <w:rsid w:val="00056074"/>
    <w:rsid w:val="00061642"/>
    <w:rsid w:val="0006169A"/>
    <w:rsid w:val="000971BE"/>
    <w:rsid w:val="000C172C"/>
    <w:rsid w:val="000C6AF6"/>
    <w:rsid w:val="00101304"/>
    <w:rsid w:val="001061AE"/>
    <w:rsid w:val="00112025"/>
    <w:rsid w:val="0012130E"/>
    <w:rsid w:val="00130478"/>
    <w:rsid w:val="00132132"/>
    <w:rsid w:val="00137342"/>
    <w:rsid w:val="00152366"/>
    <w:rsid w:val="00152368"/>
    <w:rsid w:val="0015297B"/>
    <w:rsid w:val="0016027B"/>
    <w:rsid w:val="00167420"/>
    <w:rsid w:val="00183A86"/>
    <w:rsid w:val="00191C35"/>
    <w:rsid w:val="001A4451"/>
    <w:rsid w:val="001C0A71"/>
    <w:rsid w:val="001C1638"/>
    <w:rsid w:val="001D0C95"/>
    <w:rsid w:val="001D47A8"/>
    <w:rsid w:val="002433C7"/>
    <w:rsid w:val="00245607"/>
    <w:rsid w:val="00247DE3"/>
    <w:rsid w:val="002640BA"/>
    <w:rsid w:val="002665C3"/>
    <w:rsid w:val="00271C8D"/>
    <w:rsid w:val="002748F1"/>
    <w:rsid w:val="0027615D"/>
    <w:rsid w:val="00284345"/>
    <w:rsid w:val="002C1723"/>
    <w:rsid w:val="002D3171"/>
    <w:rsid w:val="002D4939"/>
    <w:rsid w:val="002D6D97"/>
    <w:rsid w:val="002F4439"/>
    <w:rsid w:val="00301FC6"/>
    <w:rsid w:val="003117E5"/>
    <w:rsid w:val="003177B0"/>
    <w:rsid w:val="00371063"/>
    <w:rsid w:val="003879DD"/>
    <w:rsid w:val="00396482"/>
    <w:rsid w:val="003A53A7"/>
    <w:rsid w:val="003B15D5"/>
    <w:rsid w:val="003C1982"/>
    <w:rsid w:val="003D6158"/>
    <w:rsid w:val="003D6F25"/>
    <w:rsid w:val="003F6A52"/>
    <w:rsid w:val="0040677C"/>
    <w:rsid w:val="00412DC0"/>
    <w:rsid w:val="00415B50"/>
    <w:rsid w:val="004222A8"/>
    <w:rsid w:val="0042261E"/>
    <w:rsid w:val="004335D6"/>
    <w:rsid w:val="00443078"/>
    <w:rsid w:val="00467FFC"/>
    <w:rsid w:val="00484473"/>
    <w:rsid w:val="00490300"/>
    <w:rsid w:val="004A6113"/>
    <w:rsid w:val="004C13DB"/>
    <w:rsid w:val="004E422C"/>
    <w:rsid w:val="004E4E28"/>
    <w:rsid w:val="004F2170"/>
    <w:rsid w:val="00502615"/>
    <w:rsid w:val="00505E97"/>
    <w:rsid w:val="00510AB1"/>
    <w:rsid w:val="005220FB"/>
    <w:rsid w:val="005235DB"/>
    <w:rsid w:val="005456C5"/>
    <w:rsid w:val="005566A2"/>
    <w:rsid w:val="005607A8"/>
    <w:rsid w:val="0056160D"/>
    <w:rsid w:val="0056505B"/>
    <w:rsid w:val="00571200"/>
    <w:rsid w:val="00582E82"/>
    <w:rsid w:val="005959A8"/>
    <w:rsid w:val="005B2AC9"/>
    <w:rsid w:val="005B470B"/>
    <w:rsid w:val="005B6B8C"/>
    <w:rsid w:val="005C3324"/>
    <w:rsid w:val="005C74F2"/>
    <w:rsid w:val="005E0DDC"/>
    <w:rsid w:val="005E466A"/>
    <w:rsid w:val="005E4CDC"/>
    <w:rsid w:val="005E5921"/>
    <w:rsid w:val="005F0FEF"/>
    <w:rsid w:val="005F40B3"/>
    <w:rsid w:val="006266FE"/>
    <w:rsid w:val="006355E8"/>
    <w:rsid w:val="00635DBD"/>
    <w:rsid w:val="00643795"/>
    <w:rsid w:val="006524A6"/>
    <w:rsid w:val="00656E0A"/>
    <w:rsid w:val="00656EFF"/>
    <w:rsid w:val="00667869"/>
    <w:rsid w:val="00671190"/>
    <w:rsid w:val="006774BF"/>
    <w:rsid w:val="006917FA"/>
    <w:rsid w:val="006A26C1"/>
    <w:rsid w:val="006A2AF1"/>
    <w:rsid w:val="006B1600"/>
    <w:rsid w:val="006B62F3"/>
    <w:rsid w:val="006C195C"/>
    <w:rsid w:val="006D11BA"/>
    <w:rsid w:val="006E6274"/>
    <w:rsid w:val="006F7783"/>
    <w:rsid w:val="00720E68"/>
    <w:rsid w:val="007240AA"/>
    <w:rsid w:val="00732F8E"/>
    <w:rsid w:val="0074081E"/>
    <w:rsid w:val="007A1092"/>
    <w:rsid w:val="007A17AD"/>
    <w:rsid w:val="007A270E"/>
    <w:rsid w:val="007B2EE7"/>
    <w:rsid w:val="007C54E2"/>
    <w:rsid w:val="007D0AA4"/>
    <w:rsid w:val="007D6BE4"/>
    <w:rsid w:val="007E5ABA"/>
    <w:rsid w:val="007E7FFD"/>
    <w:rsid w:val="007F0ADB"/>
    <w:rsid w:val="00805DE1"/>
    <w:rsid w:val="008117F0"/>
    <w:rsid w:val="00820FAA"/>
    <w:rsid w:val="00820FF1"/>
    <w:rsid w:val="0082360F"/>
    <w:rsid w:val="00825A63"/>
    <w:rsid w:val="00831D0C"/>
    <w:rsid w:val="00850C0F"/>
    <w:rsid w:val="00853DD7"/>
    <w:rsid w:val="00861846"/>
    <w:rsid w:val="0087223C"/>
    <w:rsid w:val="008876CF"/>
    <w:rsid w:val="008C066D"/>
    <w:rsid w:val="008C13F2"/>
    <w:rsid w:val="008D010B"/>
    <w:rsid w:val="008D12B2"/>
    <w:rsid w:val="008E076E"/>
    <w:rsid w:val="008E1010"/>
    <w:rsid w:val="008E19AC"/>
    <w:rsid w:val="008E39F6"/>
    <w:rsid w:val="008F2DA0"/>
    <w:rsid w:val="00924930"/>
    <w:rsid w:val="00955279"/>
    <w:rsid w:val="00963D4E"/>
    <w:rsid w:val="00964AB1"/>
    <w:rsid w:val="00970062"/>
    <w:rsid w:val="00977E58"/>
    <w:rsid w:val="00980DCA"/>
    <w:rsid w:val="009B102E"/>
    <w:rsid w:val="009B168E"/>
    <w:rsid w:val="009B3426"/>
    <w:rsid w:val="009F4748"/>
    <w:rsid w:val="00A12CC4"/>
    <w:rsid w:val="00A21015"/>
    <w:rsid w:val="00A40B4C"/>
    <w:rsid w:val="00A44EF7"/>
    <w:rsid w:val="00A979E1"/>
    <w:rsid w:val="00AA7936"/>
    <w:rsid w:val="00AB10E7"/>
    <w:rsid w:val="00AC1C14"/>
    <w:rsid w:val="00AC584D"/>
    <w:rsid w:val="00AD4784"/>
    <w:rsid w:val="00AD55B4"/>
    <w:rsid w:val="00AD57DA"/>
    <w:rsid w:val="00AD72A3"/>
    <w:rsid w:val="00AE41B7"/>
    <w:rsid w:val="00AE57CB"/>
    <w:rsid w:val="00AE7D96"/>
    <w:rsid w:val="00B00D42"/>
    <w:rsid w:val="00B11466"/>
    <w:rsid w:val="00B31A5C"/>
    <w:rsid w:val="00B35EC4"/>
    <w:rsid w:val="00B43CD3"/>
    <w:rsid w:val="00B50BED"/>
    <w:rsid w:val="00B66F90"/>
    <w:rsid w:val="00B91DD8"/>
    <w:rsid w:val="00B9321C"/>
    <w:rsid w:val="00BC03BF"/>
    <w:rsid w:val="00BC4311"/>
    <w:rsid w:val="00BE7449"/>
    <w:rsid w:val="00BF5927"/>
    <w:rsid w:val="00C03604"/>
    <w:rsid w:val="00C04D1B"/>
    <w:rsid w:val="00C07172"/>
    <w:rsid w:val="00C24315"/>
    <w:rsid w:val="00C3732F"/>
    <w:rsid w:val="00C63C3E"/>
    <w:rsid w:val="00C7112A"/>
    <w:rsid w:val="00C73509"/>
    <w:rsid w:val="00C90198"/>
    <w:rsid w:val="00C93767"/>
    <w:rsid w:val="00CB7E00"/>
    <w:rsid w:val="00CC1DF3"/>
    <w:rsid w:val="00CC5817"/>
    <w:rsid w:val="00CD45C5"/>
    <w:rsid w:val="00CD5E0A"/>
    <w:rsid w:val="00CE389A"/>
    <w:rsid w:val="00CF277A"/>
    <w:rsid w:val="00CF7157"/>
    <w:rsid w:val="00D20244"/>
    <w:rsid w:val="00D332FB"/>
    <w:rsid w:val="00D44D1F"/>
    <w:rsid w:val="00D55B55"/>
    <w:rsid w:val="00D61340"/>
    <w:rsid w:val="00D61713"/>
    <w:rsid w:val="00D6426C"/>
    <w:rsid w:val="00D67FA1"/>
    <w:rsid w:val="00D92C33"/>
    <w:rsid w:val="00DF2071"/>
    <w:rsid w:val="00DF4B7A"/>
    <w:rsid w:val="00DF711F"/>
    <w:rsid w:val="00DF7525"/>
    <w:rsid w:val="00DF78DE"/>
    <w:rsid w:val="00E07752"/>
    <w:rsid w:val="00E243D4"/>
    <w:rsid w:val="00E327B6"/>
    <w:rsid w:val="00E34CEE"/>
    <w:rsid w:val="00E41F31"/>
    <w:rsid w:val="00E55D85"/>
    <w:rsid w:val="00E66CA9"/>
    <w:rsid w:val="00E744A8"/>
    <w:rsid w:val="00E869F4"/>
    <w:rsid w:val="00E92A94"/>
    <w:rsid w:val="00EA565C"/>
    <w:rsid w:val="00EC7D5F"/>
    <w:rsid w:val="00ED07CE"/>
    <w:rsid w:val="00ED17D1"/>
    <w:rsid w:val="00F24372"/>
    <w:rsid w:val="00F31CB9"/>
    <w:rsid w:val="00F32521"/>
    <w:rsid w:val="00F3342C"/>
    <w:rsid w:val="00F34089"/>
    <w:rsid w:val="00F43C0A"/>
    <w:rsid w:val="00F46770"/>
    <w:rsid w:val="00F5283F"/>
    <w:rsid w:val="00F54B34"/>
    <w:rsid w:val="00F56381"/>
    <w:rsid w:val="00F56EAD"/>
    <w:rsid w:val="00F74E31"/>
    <w:rsid w:val="00F76C18"/>
    <w:rsid w:val="00F82457"/>
    <w:rsid w:val="00F83B3E"/>
    <w:rsid w:val="00F85AD9"/>
    <w:rsid w:val="00F921A6"/>
    <w:rsid w:val="00FB6188"/>
    <w:rsid w:val="00FB67BD"/>
    <w:rsid w:val="00FC1560"/>
    <w:rsid w:val="00FD4C92"/>
    <w:rsid w:val="00FD5457"/>
    <w:rsid w:val="00FD7B44"/>
    <w:rsid w:val="01150565"/>
    <w:rsid w:val="012013D0"/>
    <w:rsid w:val="018D3677"/>
    <w:rsid w:val="01AB1729"/>
    <w:rsid w:val="01C81BFC"/>
    <w:rsid w:val="01F94B85"/>
    <w:rsid w:val="01FB03F3"/>
    <w:rsid w:val="020B7506"/>
    <w:rsid w:val="02E26834"/>
    <w:rsid w:val="03BD623A"/>
    <w:rsid w:val="03DF4F62"/>
    <w:rsid w:val="03F548DE"/>
    <w:rsid w:val="041852A1"/>
    <w:rsid w:val="043150BA"/>
    <w:rsid w:val="04446FCE"/>
    <w:rsid w:val="045B7E3F"/>
    <w:rsid w:val="04D473DC"/>
    <w:rsid w:val="04F87BE0"/>
    <w:rsid w:val="051673B6"/>
    <w:rsid w:val="05683198"/>
    <w:rsid w:val="05792AB6"/>
    <w:rsid w:val="05AE1E63"/>
    <w:rsid w:val="05D52979"/>
    <w:rsid w:val="05DF0D50"/>
    <w:rsid w:val="06603DDC"/>
    <w:rsid w:val="06D35468"/>
    <w:rsid w:val="06DC0523"/>
    <w:rsid w:val="06E24EF1"/>
    <w:rsid w:val="07575990"/>
    <w:rsid w:val="07B24267"/>
    <w:rsid w:val="07E850FA"/>
    <w:rsid w:val="07FA749F"/>
    <w:rsid w:val="080F07CE"/>
    <w:rsid w:val="0818679E"/>
    <w:rsid w:val="09093111"/>
    <w:rsid w:val="094B70B5"/>
    <w:rsid w:val="094E1634"/>
    <w:rsid w:val="09845545"/>
    <w:rsid w:val="099E004E"/>
    <w:rsid w:val="09D1561D"/>
    <w:rsid w:val="0A16305E"/>
    <w:rsid w:val="0AA62B7A"/>
    <w:rsid w:val="0B196477"/>
    <w:rsid w:val="0B4A6CBC"/>
    <w:rsid w:val="0B5A72B3"/>
    <w:rsid w:val="0B7948FF"/>
    <w:rsid w:val="0BFA77ED"/>
    <w:rsid w:val="0C112E71"/>
    <w:rsid w:val="0C26689D"/>
    <w:rsid w:val="0DB96626"/>
    <w:rsid w:val="0DDA22E6"/>
    <w:rsid w:val="0E284119"/>
    <w:rsid w:val="0E2E07DF"/>
    <w:rsid w:val="0E34001A"/>
    <w:rsid w:val="0E625FAB"/>
    <w:rsid w:val="0EB15CB3"/>
    <w:rsid w:val="0ECC5C0B"/>
    <w:rsid w:val="0F564D4F"/>
    <w:rsid w:val="0F5F0397"/>
    <w:rsid w:val="103B34CE"/>
    <w:rsid w:val="10446E18"/>
    <w:rsid w:val="11036EA8"/>
    <w:rsid w:val="113B38D3"/>
    <w:rsid w:val="11530CB6"/>
    <w:rsid w:val="1181707E"/>
    <w:rsid w:val="119D2F58"/>
    <w:rsid w:val="11A20D53"/>
    <w:rsid w:val="120035C0"/>
    <w:rsid w:val="12633A72"/>
    <w:rsid w:val="12BD13E2"/>
    <w:rsid w:val="12E55E8C"/>
    <w:rsid w:val="12EC6A3B"/>
    <w:rsid w:val="133B2A9F"/>
    <w:rsid w:val="142D4ED7"/>
    <w:rsid w:val="147274D6"/>
    <w:rsid w:val="14A93883"/>
    <w:rsid w:val="14E93D29"/>
    <w:rsid w:val="14F52C04"/>
    <w:rsid w:val="156112C8"/>
    <w:rsid w:val="16A43958"/>
    <w:rsid w:val="16B95C07"/>
    <w:rsid w:val="17766168"/>
    <w:rsid w:val="17E92EF4"/>
    <w:rsid w:val="180D310D"/>
    <w:rsid w:val="18236857"/>
    <w:rsid w:val="186B41E0"/>
    <w:rsid w:val="18CE4AC6"/>
    <w:rsid w:val="18DA5056"/>
    <w:rsid w:val="19461153"/>
    <w:rsid w:val="19853322"/>
    <w:rsid w:val="1988673C"/>
    <w:rsid w:val="198D4F14"/>
    <w:rsid w:val="19B10F32"/>
    <w:rsid w:val="19CC39BA"/>
    <w:rsid w:val="1A8D6A12"/>
    <w:rsid w:val="1AC074CE"/>
    <w:rsid w:val="1AF07C2B"/>
    <w:rsid w:val="1B8B069F"/>
    <w:rsid w:val="1BD72AE1"/>
    <w:rsid w:val="1BF978A3"/>
    <w:rsid w:val="1C1F15ED"/>
    <w:rsid w:val="1CC53241"/>
    <w:rsid w:val="1D4C455F"/>
    <w:rsid w:val="1D5F2F29"/>
    <w:rsid w:val="1DB516AE"/>
    <w:rsid w:val="1E0D7A05"/>
    <w:rsid w:val="1E9D1F88"/>
    <w:rsid w:val="1EB542B4"/>
    <w:rsid w:val="1ED53530"/>
    <w:rsid w:val="1F8D340F"/>
    <w:rsid w:val="1F9A7A82"/>
    <w:rsid w:val="1FD232BB"/>
    <w:rsid w:val="206F796B"/>
    <w:rsid w:val="20857162"/>
    <w:rsid w:val="20C9749F"/>
    <w:rsid w:val="20CE0312"/>
    <w:rsid w:val="20FE609E"/>
    <w:rsid w:val="216D13E9"/>
    <w:rsid w:val="21FE6338"/>
    <w:rsid w:val="22361D0C"/>
    <w:rsid w:val="22814514"/>
    <w:rsid w:val="22A5210D"/>
    <w:rsid w:val="22F87EFE"/>
    <w:rsid w:val="231105FA"/>
    <w:rsid w:val="232C500B"/>
    <w:rsid w:val="23584858"/>
    <w:rsid w:val="23651FEF"/>
    <w:rsid w:val="23734E41"/>
    <w:rsid w:val="238B3B21"/>
    <w:rsid w:val="238F5FB6"/>
    <w:rsid w:val="23B2355E"/>
    <w:rsid w:val="23E72D8B"/>
    <w:rsid w:val="24177978"/>
    <w:rsid w:val="247D6AB2"/>
    <w:rsid w:val="24C032D3"/>
    <w:rsid w:val="24F20C6D"/>
    <w:rsid w:val="25047683"/>
    <w:rsid w:val="2567160E"/>
    <w:rsid w:val="258E6304"/>
    <w:rsid w:val="25E107A4"/>
    <w:rsid w:val="26053126"/>
    <w:rsid w:val="263C6231"/>
    <w:rsid w:val="264C1CA4"/>
    <w:rsid w:val="267F44CB"/>
    <w:rsid w:val="2686413E"/>
    <w:rsid w:val="274218EE"/>
    <w:rsid w:val="27745F9B"/>
    <w:rsid w:val="27B002BF"/>
    <w:rsid w:val="27B86F5E"/>
    <w:rsid w:val="27D61C40"/>
    <w:rsid w:val="2875152C"/>
    <w:rsid w:val="288137D6"/>
    <w:rsid w:val="28AD4EBB"/>
    <w:rsid w:val="28E177E7"/>
    <w:rsid w:val="29692980"/>
    <w:rsid w:val="297D3095"/>
    <w:rsid w:val="299F3E0D"/>
    <w:rsid w:val="29CA046B"/>
    <w:rsid w:val="29E87ED2"/>
    <w:rsid w:val="29EC0622"/>
    <w:rsid w:val="2AF604FD"/>
    <w:rsid w:val="2B3A6DEB"/>
    <w:rsid w:val="2B4D7DDA"/>
    <w:rsid w:val="2B67379D"/>
    <w:rsid w:val="2B71538F"/>
    <w:rsid w:val="2BAB2806"/>
    <w:rsid w:val="2C5354F7"/>
    <w:rsid w:val="2D3B03A4"/>
    <w:rsid w:val="2D5E5697"/>
    <w:rsid w:val="2DD03672"/>
    <w:rsid w:val="2DDD6C8E"/>
    <w:rsid w:val="2E9463A1"/>
    <w:rsid w:val="2F914E94"/>
    <w:rsid w:val="2FD77C2A"/>
    <w:rsid w:val="30044ACD"/>
    <w:rsid w:val="30360E9E"/>
    <w:rsid w:val="30553738"/>
    <w:rsid w:val="312D52BA"/>
    <w:rsid w:val="31895782"/>
    <w:rsid w:val="31AF509A"/>
    <w:rsid w:val="32095621"/>
    <w:rsid w:val="32460667"/>
    <w:rsid w:val="32580538"/>
    <w:rsid w:val="32BF59AE"/>
    <w:rsid w:val="33AD6B88"/>
    <w:rsid w:val="33B26413"/>
    <w:rsid w:val="33BD1599"/>
    <w:rsid w:val="34EB02E2"/>
    <w:rsid w:val="35013AD6"/>
    <w:rsid w:val="350C3926"/>
    <w:rsid w:val="352737ED"/>
    <w:rsid w:val="35603D57"/>
    <w:rsid w:val="35605AFC"/>
    <w:rsid w:val="3598032A"/>
    <w:rsid w:val="35CE7215"/>
    <w:rsid w:val="35E50711"/>
    <w:rsid w:val="364650F2"/>
    <w:rsid w:val="36656318"/>
    <w:rsid w:val="36905ABF"/>
    <w:rsid w:val="36A47E2C"/>
    <w:rsid w:val="36BF504B"/>
    <w:rsid w:val="36E13A9F"/>
    <w:rsid w:val="36FA15DE"/>
    <w:rsid w:val="37032856"/>
    <w:rsid w:val="372C2E35"/>
    <w:rsid w:val="373F2C74"/>
    <w:rsid w:val="379103D1"/>
    <w:rsid w:val="37CC7559"/>
    <w:rsid w:val="383900A9"/>
    <w:rsid w:val="38637D01"/>
    <w:rsid w:val="38BD4C1D"/>
    <w:rsid w:val="38CC60B7"/>
    <w:rsid w:val="390622F5"/>
    <w:rsid w:val="39071E50"/>
    <w:rsid w:val="390870BB"/>
    <w:rsid w:val="391516D4"/>
    <w:rsid w:val="39814ACB"/>
    <w:rsid w:val="3A0D7902"/>
    <w:rsid w:val="3A960D75"/>
    <w:rsid w:val="3ADC25E2"/>
    <w:rsid w:val="3AFD513D"/>
    <w:rsid w:val="3B7F380E"/>
    <w:rsid w:val="3B991DAB"/>
    <w:rsid w:val="3BA31110"/>
    <w:rsid w:val="3BB33C3C"/>
    <w:rsid w:val="3BBC3FB1"/>
    <w:rsid w:val="3BC647F3"/>
    <w:rsid w:val="3BD8060C"/>
    <w:rsid w:val="3C165631"/>
    <w:rsid w:val="3C6107B0"/>
    <w:rsid w:val="3C9F5E83"/>
    <w:rsid w:val="3CE07567"/>
    <w:rsid w:val="3D4869CC"/>
    <w:rsid w:val="3E1563C8"/>
    <w:rsid w:val="3EAD68E7"/>
    <w:rsid w:val="3F050F13"/>
    <w:rsid w:val="3F2B19E1"/>
    <w:rsid w:val="3F7D030E"/>
    <w:rsid w:val="3FA71AB4"/>
    <w:rsid w:val="409A2F74"/>
    <w:rsid w:val="418E1227"/>
    <w:rsid w:val="419034FD"/>
    <w:rsid w:val="41DB33B4"/>
    <w:rsid w:val="420865E7"/>
    <w:rsid w:val="420C1DF7"/>
    <w:rsid w:val="4256056C"/>
    <w:rsid w:val="4258347B"/>
    <w:rsid w:val="42B255E4"/>
    <w:rsid w:val="42F559BA"/>
    <w:rsid w:val="43061DE1"/>
    <w:rsid w:val="43B173DF"/>
    <w:rsid w:val="43F24038"/>
    <w:rsid w:val="43FB5787"/>
    <w:rsid w:val="446138AF"/>
    <w:rsid w:val="446C0FDE"/>
    <w:rsid w:val="44FC4229"/>
    <w:rsid w:val="451152CE"/>
    <w:rsid w:val="45D013EC"/>
    <w:rsid w:val="4604616C"/>
    <w:rsid w:val="46573404"/>
    <w:rsid w:val="47EE5106"/>
    <w:rsid w:val="48763A80"/>
    <w:rsid w:val="490D62DA"/>
    <w:rsid w:val="496D379A"/>
    <w:rsid w:val="49E45C56"/>
    <w:rsid w:val="4A257497"/>
    <w:rsid w:val="4ADE506C"/>
    <w:rsid w:val="4AE41ADB"/>
    <w:rsid w:val="4AE72A13"/>
    <w:rsid w:val="4BA30A2C"/>
    <w:rsid w:val="4BAF7273"/>
    <w:rsid w:val="4C4B5F94"/>
    <w:rsid w:val="4C6B0EE4"/>
    <w:rsid w:val="4CDD4865"/>
    <w:rsid w:val="4CE545B0"/>
    <w:rsid w:val="4CEE5A31"/>
    <w:rsid w:val="4D225BDF"/>
    <w:rsid w:val="4D622A09"/>
    <w:rsid w:val="4D67655C"/>
    <w:rsid w:val="4D941154"/>
    <w:rsid w:val="4E5D1D59"/>
    <w:rsid w:val="4E61359D"/>
    <w:rsid w:val="4ED04E64"/>
    <w:rsid w:val="4EF063F6"/>
    <w:rsid w:val="4F5631A8"/>
    <w:rsid w:val="4FB74399"/>
    <w:rsid w:val="500F6D6B"/>
    <w:rsid w:val="50616FCC"/>
    <w:rsid w:val="508D5E0B"/>
    <w:rsid w:val="50B256E0"/>
    <w:rsid w:val="50F65758"/>
    <w:rsid w:val="51291171"/>
    <w:rsid w:val="514874D3"/>
    <w:rsid w:val="5188622C"/>
    <w:rsid w:val="52304959"/>
    <w:rsid w:val="527F6EF8"/>
    <w:rsid w:val="53670401"/>
    <w:rsid w:val="53AB5260"/>
    <w:rsid w:val="54DA1C73"/>
    <w:rsid w:val="54F66E45"/>
    <w:rsid w:val="552C10A0"/>
    <w:rsid w:val="555221F0"/>
    <w:rsid w:val="55A00283"/>
    <w:rsid w:val="55A01009"/>
    <w:rsid w:val="55D56C93"/>
    <w:rsid w:val="560420A6"/>
    <w:rsid w:val="560B118C"/>
    <w:rsid w:val="564872D0"/>
    <w:rsid w:val="564D2E4A"/>
    <w:rsid w:val="564D6E2B"/>
    <w:rsid w:val="56573627"/>
    <w:rsid w:val="570606C5"/>
    <w:rsid w:val="57C72942"/>
    <w:rsid w:val="58052B74"/>
    <w:rsid w:val="58306BDD"/>
    <w:rsid w:val="587D6039"/>
    <w:rsid w:val="58EA2225"/>
    <w:rsid w:val="590A795A"/>
    <w:rsid w:val="593F4D13"/>
    <w:rsid w:val="595C7934"/>
    <w:rsid w:val="59855776"/>
    <w:rsid w:val="59C42934"/>
    <w:rsid w:val="5A5876BE"/>
    <w:rsid w:val="5A825F2A"/>
    <w:rsid w:val="5AE03887"/>
    <w:rsid w:val="5AE0724B"/>
    <w:rsid w:val="5B064A92"/>
    <w:rsid w:val="5B2C4168"/>
    <w:rsid w:val="5B34158A"/>
    <w:rsid w:val="5B567FB9"/>
    <w:rsid w:val="5B915573"/>
    <w:rsid w:val="5B963047"/>
    <w:rsid w:val="5BD835B8"/>
    <w:rsid w:val="5C345390"/>
    <w:rsid w:val="5C3B2E43"/>
    <w:rsid w:val="5CF013E0"/>
    <w:rsid w:val="5E3D0C4F"/>
    <w:rsid w:val="5EF53E56"/>
    <w:rsid w:val="5F5F236E"/>
    <w:rsid w:val="5FBB5435"/>
    <w:rsid w:val="5FDB03CD"/>
    <w:rsid w:val="606A1657"/>
    <w:rsid w:val="60886151"/>
    <w:rsid w:val="60E77697"/>
    <w:rsid w:val="60FE0C06"/>
    <w:rsid w:val="610303B1"/>
    <w:rsid w:val="61127AF8"/>
    <w:rsid w:val="61516317"/>
    <w:rsid w:val="61847891"/>
    <w:rsid w:val="61CD435E"/>
    <w:rsid w:val="61D52772"/>
    <w:rsid w:val="622C74C6"/>
    <w:rsid w:val="62817E08"/>
    <w:rsid w:val="6286014A"/>
    <w:rsid w:val="62DA35F2"/>
    <w:rsid w:val="63D0542C"/>
    <w:rsid w:val="647D7543"/>
    <w:rsid w:val="650A0FB7"/>
    <w:rsid w:val="659A4F2D"/>
    <w:rsid w:val="65D33E68"/>
    <w:rsid w:val="66444F41"/>
    <w:rsid w:val="66B3122D"/>
    <w:rsid w:val="670E5F7E"/>
    <w:rsid w:val="675E5518"/>
    <w:rsid w:val="6830577B"/>
    <w:rsid w:val="684820CD"/>
    <w:rsid w:val="688F7D54"/>
    <w:rsid w:val="68B2046A"/>
    <w:rsid w:val="692555BC"/>
    <w:rsid w:val="69893D46"/>
    <w:rsid w:val="69A36C2D"/>
    <w:rsid w:val="69BC43EB"/>
    <w:rsid w:val="69C32065"/>
    <w:rsid w:val="69D60061"/>
    <w:rsid w:val="6A1B4861"/>
    <w:rsid w:val="6A5F113E"/>
    <w:rsid w:val="6AB61BBA"/>
    <w:rsid w:val="6AF757EF"/>
    <w:rsid w:val="6B3037C0"/>
    <w:rsid w:val="6B6766D1"/>
    <w:rsid w:val="6BE32C64"/>
    <w:rsid w:val="6BE46DB7"/>
    <w:rsid w:val="6C164484"/>
    <w:rsid w:val="6C37031C"/>
    <w:rsid w:val="6CD10002"/>
    <w:rsid w:val="6D3E123D"/>
    <w:rsid w:val="6F0624DE"/>
    <w:rsid w:val="6F263A0B"/>
    <w:rsid w:val="6F2B1163"/>
    <w:rsid w:val="6F4110EF"/>
    <w:rsid w:val="6F4B3FDA"/>
    <w:rsid w:val="6F61032F"/>
    <w:rsid w:val="6F7402BD"/>
    <w:rsid w:val="6FB63C51"/>
    <w:rsid w:val="6FEC33E3"/>
    <w:rsid w:val="70762AB8"/>
    <w:rsid w:val="70A606A2"/>
    <w:rsid w:val="71177AA5"/>
    <w:rsid w:val="712833C1"/>
    <w:rsid w:val="717D5E86"/>
    <w:rsid w:val="71AC4516"/>
    <w:rsid w:val="72AD6541"/>
    <w:rsid w:val="72CF5282"/>
    <w:rsid w:val="73117D30"/>
    <w:rsid w:val="73442BDB"/>
    <w:rsid w:val="744643CA"/>
    <w:rsid w:val="749E6781"/>
    <w:rsid w:val="74ED52C6"/>
    <w:rsid w:val="75125FD0"/>
    <w:rsid w:val="75795A23"/>
    <w:rsid w:val="76001ADE"/>
    <w:rsid w:val="762C40ED"/>
    <w:rsid w:val="76FA64F5"/>
    <w:rsid w:val="77916046"/>
    <w:rsid w:val="779A6594"/>
    <w:rsid w:val="77FE1198"/>
    <w:rsid w:val="78A07EAF"/>
    <w:rsid w:val="79513885"/>
    <w:rsid w:val="795F0E6C"/>
    <w:rsid w:val="796C5D0E"/>
    <w:rsid w:val="79A84B0F"/>
    <w:rsid w:val="7A4605D6"/>
    <w:rsid w:val="7A7F0344"/>
    <w:rsid w:val="7AD975C4"/>
    <w:rsid w:val="7B157F5C"/>
    <w:rsid w:val="7B276F7E"/>
    <w:rsid w:val="7BE81628"/>
    <w:rsid w:val="7C592C1C"/>
    <w:rsid w:val="7C7169F0"/>
    <w:rsid w:val="7C762FF7"/>
    <w:rsid w:val="7C8863C9"/>
    <w:rsid w:val="7CB820AA"/>
    <w:rsid w:val="7D097714"/>
    <w:rsid w:val="7DE30F17"/>
    <w:rsid w:val="7E556303"/>
    <w:rsid w:val="7E626E5F"/>
    <w:rsid w:val="7EE25E27"/>
    <w:rsid w:val="7F0547A4"/>
    <w:rsid w:val="7F0F067C"/>
    <w:rsid w:val="7F1875F1"/>
    <w:rsid w:val="7FA1699D"/>
    <w:rsid w:val="7FF74B51"/>
    <w:rsid w:val="EFFF19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8"/>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1"/>
    <w:pPr>
      <w:keepNext/>
      <w:keepLines/>
      <w:numPr>
        <w:ilvl w:val="1"/>
        <w:numId w:val="1"/>
      </w:numPr>
      <w:spacing w:beforeLines="50" w:afterLines="50"/>
      <w:ind w:firstLineChars="0"/>
      <w:outlineLvl w:val="1"/>
    </w:pPr>
    <w:rPr>
      <w:rFonts w:ascii="Calibri Light" w:hAnsi="Calibri Light"/>
      <w:b/>
      <w:bCs/>
      <w:sz w:val="32"/>
      <w:szCs w:val="32"/>
    </w:rPr>
  </w:style>
  <w:style w:type="paragraph" w:styleId="5">
    <w:name w:val="heading 3"/>
    <w:basedOn w:val="1"/>
    <w:next w:val="1"/>
    <w:link w:val="36"/>
    <w:qFormat/>
    <w:uiPriority w:val="1"/>
    <w:pPr>
      <w:keepNext/>
      <w:keepLines/>
      <w:numPr>
        <w:ilvl w:val="2"/>
        <w:numId w:val="1"/>
      </w:numPr>
      <w:spacing w:beforeLines="50" w:afterLines="50"/>
      <w:ind w:firstLineChars="0"/>
      <w:outlineLvl w:val="2"/>
    </w:pPr>
    <w:rPr>
      <w:b/>
      <w:bCs/>
      <w:sz w:val="30"/>
      <w:szCs w:val="32"/>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2"/>
    <w:unhideWhenUsed/>
    <w:qFormat/>
    <w:uiPriority w:val="99"/>
    <w:pPr>
      <w:tabs>
        <w:tab w:val="center" w:pos="4153"/>
        <w:tab w:val="right" w:pos="8306"/>
      </w:tabs>
      <w:spacing w:line="240" w:lineRule="auto"/>
      <w:jc w:val="left"/>
    </w:pPr>
    <w:rPr>
      <w:sz w:val="18"/>
      <w:szCs w:val="18"/>
    </w:rPr>
  </w:style>
  <w:style w:type="paragraph" w:styleId="6">
    <w:name w:val="table of authorities"/>
    <w:basedOn w:val="1"/>
    <w:next w:val="1"/>
    <w:qFormat/>
    <w:uiPriority w:val="0"/>
    <w:pPr>
      <w:ind w:left="420" w:leftChars="200"/>
    </w:pPr>
    <w:rPr>
      <w:szCs w:val="20"/>
    </w:rPr>
  </w:style>
  <w:style w:type="paragraph" w:styleId="7">
    <w:name w:val="Normal Indent"/>
    <w:basedOn w:val="1"/>
    <w:next w:val="1"/>
    <w:qFormat/>
    <w:uiPriority w:val="99"/>
    <w:pPr>
      <w:ind w:firstLine="420"/>
    </w:pPr>
  </w:style>
  <w:style w:type="paragraph" w:styleId="8">
    <w:name w:val="caption"/>
    <w:basedOn w:val="1"/>
    <w:next w:val="1"/>
    <w:unhideWhenUsed/>
    <w:qFormat/>
    <w:uiPriority w:val="35"/>
    <w:rPr>
      <w:rFonts w:eastAsia="黑体" w:asciiTheme="majorHAnsi" w:hAnsiTheme="majorHAnsi" w:cstheme="majorBidi"/>
      <w:sz w:val="20"/>
      <w:szCs w:val="20"/>
    </w:rPr>
  </w:style>
  <w:style w:type="paragraph" w:styleId="9">
    <w:name w:val="Body Text"/>
    <w:basedOn w:val="1"/>
    <w:qFormat/>
    <w:uiPriority w:val="0"/>
    <w:pPr>
      <w:spacing w:after="120"/>
    </w:pPr>
    <w:rPr>
      <w:kern w:val="0"/>
    </w:rPr>
  </w:style>
  <w:style w:type="paragraph" w:styleId="10">
    <w:name w:val="Body Text Indent"/>
    <w:basedOn w:val="1"/>
    <w:unhideWhenUsed/>
    <w:qFormat/>
    <w:uiPriority w:val="99"/>
    <w:pPr>
      <w:spacing w:after="120"/>
      <w:ind w:left="420" w:leftChars="200"/>
    </w:pPr>
  </w:style>
  <w:style w:type="paragraph" w:styleId="11">
    <w:name w:val="toc 5"/>
    <w:basedOn w:val="1"/>
    <w:next w:val="1"/>
    <w:unhideWhenUsed/>
    <w:qFormat/>
    <w:uiPriority w:val="39"/>
    <w:pPr>
      <w:spacing w:line="600" w:lineRule="exact"/>
      <w:jc w:val="left"/>
    </w:pPr>
    <w:rPr>
      <w:rFonts w:ascii="方正黑体_GBK" w:eastAsia="方正黑体_GBK"/>
      <w:sz w:val="32"/>
      <w:szCs w:val="32"/>
    </w:rPr>
  </w:style>
  <w:style w:type="paragraph" w:styleId="12">
    <w:name w:val="Plain Text"/>
    <w:basedOn w:val="1"/>
    <w:next w:val="13"/>
    <w:qFormat/>
    <w:uiPriority w:val="0"/>
    <w:rPr>
      <w:rFonts w:ascii="宋体" w:hAnsi="Courier New"/>
      <w:sz w:val="21"/>
    </w:rPr>
  </w:style>
  <w:style w:type="paragraph" w:customStyle="1" w:styleId="13">
    <w:name w:val="p0"/>
    <w:basedOn w:val="1"/>
    <w:qFormat/>
    <w:uiPriority w:val="0"/>
    <w:pPr>
      <w:widowControl/>
    </w:pPr>
    <w:rPr>
      <w:rFonts w:cs="宋体"/>
      <w:kern w:val="0"/>
      <w:sz w:val="32"/>
      <w:szCs w:val="32"/>
    </w:rPr>
  </w:style>
  <w:style w:type="paragraph" w:styleId="14">
    <w:name w:val="Date"/>
    <w:basedOn w:val="1"/>
    <w:next w:val="1"/>
    <w:link w:val="43"/>
    <w:semiHidden/>
    <w:unhideWhenUsed/>
    <w:qFormat/>
    <w:uiPriority w:val="99"/>
    <w:pPr>
      <w:ind w:left="100" w:leftChars="2500"/>
    </w:pPr>
  </w:style>
  <w:style w:type="paragraph" w:styleId="15">
    <w:name w:val="Balloon Text"/>
    <w:basedOn w:val="1"/>
    <w:link w:val="34"/>
    <w:semiHidden/>
    <w:unhideWhenUsed/>
    <w:qFormat/>
    <w:uiPriority w:val="99"/>
    <w:rPr>
      <w:sz w:val="18"/>
      <w:szCs w:val="18"/>
    </w:rPr>
  </w:style>
  <w:style w:type="paragraph" w:styleId="16">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7">
    <w:name w:val="toc 1"/>
    <w:basedOn w:val="1"/>
    <w:next w:val="1"/>
    <w:unhideWhenUsed/>
    <w:qFormat/>
    <w:uiPriority w:val="39"/>
    <w:rPr>
      <w:sz w:val="21"/>
    </w:rPr>
  </w:style>
  <w:style w:type="paragraph" w:styleId="18">
    <w:name w:val="index 7"/>
    <w:basedOn w:val="1"/>
    <w:next w:val="1"/>
    <w:semiHidden/>
    <w:unhideWhenUsed/>
    <w:qFormat/>
    <w:uiPriority w:val="99"/>
    <w:pPr>
      <w:ind w:left="1200" w:leftChars="1200" w:firstLine="0"/>
    </w:pPr>
  </w:style>
  <w:style w:type="paragraph" w:styleId="19">
    <w:name w:val="toc 2"/>
    <w:basedOn w:val="1"/>
    <w:next w:val="1"/>
    <w:unhideWhenUsed/>
    <w:qFormat/>
    <w:uiPriority w:val="39"/>
    <w:pPr>
      <w:ind w:left="420" w:leftChars="200"/>
    </w:pPr>
    <w:rPr>
      <w:sz w:val="21"/>
    </w:rPr>
  </w:style>
  <w:style w:type="paragraph" w:styleId="20">
    <w:name w:val="Body Text 2"/>
    <w:basedOn w:val="1"/>
    <w:qFormat/>
    <w:uiPriority w:val="0"/>
    <w:pPr>
      <w:spacing w:after="120" w:line="480" w:lineRule="auto"/>
    </w:pPr>
    <w:rPr>
      <w:rFonts w:eastAsia="仿宋_GB2312"/>
    </w:rPr>
  </w:style>
  <w:style w:type="paragraph" w:styleId="21">
    <w:name w:val="Normal (Web)"/>
    <w:basedOn w:val="1"/>
    <w:semiHidden/>
    <w:unhideWhenUsed/>
    <w:qFormat/>
    <w:uiPriority w:val="99"/>
    <w:pPr>
      <w:widowControl/>
      <w:adjustRightInd/>
      <w:snapToGrid/>
      <w:spacing w:before="100" w:beforeAutospacing="1" w:after="100" w:afterAutospacing="1" w:line="240" w:lineRule="auto"/>
      <w:ind w:firstLine="0" w:firstLineChars="0"/>
      <w:jc w:val="left"/>
    </w:pPr>
    <w:rPr>
      <w:rFonts w:ascii="宋体" w:hAnsi="宋体" w:cs="宋体"/>
      <w:kern w:val="0"/>
      <w:sz w:val="24"/>
      <w:szCs w:val="24"/>
    </w:rPr>
  </w:style>
  <w:style w:type="paragraph" w:styleId="22">
    <w:name w:val="Title"/>
    <w:basedOn w:val="1"/>
    <w:next w:val="1"/>
    <w:qFormat/>
    <w:uiPriority w:val="0"/>
    <w:pPr>
      <w:spacing w:before="240" w:after="60"/>
      <w:jc w:val="center"/>
      <w:outlineLvl w:val="0"/>
    </w:pPr>
    <w:rPr>
      <w:rFonts w:eastAsia="方正小标宋_GBK" w:asciiTheme="majorHAnsi" w:hAnsiTheme="majorHAnsi" w:cstheme="majorBidi"/>
      <w:b/>
      <w:bCs/>
      <w:sz w:val="44"/>
      <w:szCs w:val="32"/>
    </w:rPr>
  </w:style>
  <w:style w:type="paragraph" w:styleId="23">
    <w:name w:val="Body Text First Indent"/>
    <w:basedOn w:val="9"/>
    <w:qFormat/>
    <w:uiPriority w:val="0"/>
    <w:pPr>
      <w:spacing w:line="432" w:lineRule="auto"/>
      <w:ind w:firstLine="420" w:firstLineChars="100"/>
    </w:pPr>
    <w:rPr>
      <w:rFonts w:ascii="仿宋_GB2312" w:eastAsia="仿宋_GB2312"/>
      <w:kern w:val="2"/>
    </w:rPr>
  </w:style>
  <w:style w:type="paragraph" w:styleId="24">
    <w:name w:val="Body Text First Indent 2"/>
    <w:basedOn w:val="10"/>
    <w:qFormat/>
    <w:uiPriority w:val="0"/>
    <w:pPr>
      <w:ind w:left="0" w:leftChars="0" w:firstLine="40"/>
    </w:pPr>
    <w:rPr>
      <w:rFonts w:ascii="仿宋_GB2312" w:hAnsi="仿宋_GB2312" w:eastAsia="仿宋" w:cs="仿宋_GB2312"/>
      <w:szCs w:val="32"/>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qFormat/>
    <w:uiPriority w:val="0"/>
    <w:rPr>
      <w:rFonts w:cs="Times New Roman"/>
    </w:rPr>
  </w:style>
  <w:style w:type="character" w:styleId="30">
    <w:name w:val="Hyperlink"/>
    <w:qFormat/>
    <w:uiPriority w:val="99"/>
    <w:rPr>
      <w:color w:val="0563C1"/>
      <w:u w:val="single"/>
    </w:rPr>
  </w:style>
  <w:style w:type="paragraph" w:customStyle="1" w:styleId="3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默认"/>
    <w:qFormat/>
    <w:uiPriority w:val="0"/>
    <w:rPr>
      <w:rFonts w:ascii="Helvetica" w:hAnsi="Helvetica" w:eastAsia="Helvetica" w:cs="Helvetica"/>
      <w:color w:val="000000"/>
      <w:sz w:val="22"/>
      <w:szCs w:val="22"/>
      <w:lang w:val="en-US" w:eastAsia="zh-CN" w:bidi="ar-SA"/>
    </w:rPr>
  </w:style>
  <w:style w:type="paragraph" w:customStyle="1" w:styleId="33">
    <w:name w:val="索引 51"/>
    <w:basedOn w:val="1"/>
    <w:next w:val="1"/>
    <w:qFormat/>
    <w:uiPriority w:val="0"/>
    <w:pPr>
      <w:ind w:left="1680"/>
    </w:pPr>
  </w:style>
  <w:style w:type="character" w:customStyle="1" w:styleId="34">
    <w:name w:val="批注框文本 Char"/>
    <w:basedOn w:val="27"/>
    <w:link w:val="15"/>
    <w:semiHidden/>
    <w:qFormat/>
    <w:uiPriority w:val="99"/>
    <w:rPr>
      <w:sz w:val="18"/>
      <w:szCs w:val="18"/>
    </w:rPr>
  </w:style>
  <w:style w:type="character" w:customStyle="1" w:styleId="35">
    <w:name w:val="标题 2 Char"/>
    <w:basedOn w:val="27"/>
    <w:link w:val="4"/>
    <w:qFormat/>
    <w:uiPriority w:val="1"/>
    <w:rPr>
      <w:rFonts w:ascii="Calibri Light" w:hAnsi="Calibri Light" w:eastAsia="宋体" w:cs="Times New Roman"/>
      <w:b/>
      <w:bCs/>
      <w:sz w:val="32"/>
      <w:szCs w:val="32"/>
    </w:rPr>
  </w:style>
  <w:style w:type="character" w:customStyle="1" w:styleId="36">
    <w:name w:val="标题 3 Char"/>
    <w:basedOn w:val="27"/>
    <w:link w:val="5"/>
    <w:qFormat/>
    <w:uiPriority w:val="1"/>
    <w:rPr>
      <w:rFonts w:ascii="Times New Roman" w:hAnsi="Times New Roman" w:eastAsia="宋体" w:cs="Times New Roman"/>
      <w:b/>
      <w:bCs/>
      <w:sz w:val="30"/>
      <w:szCs w:val="32"/>
    </w:rPr>
  </w:style>
  <w:style w:type="character" w:customStyle="1" w:styleId="37">
    <w:name w:val="标题 1 Char"/>
    <w:basedOn w:val="27"/>
    <w:link w:val="3"/>
    <w:qFormat/>
    <w:uiPriority w:val="9"/>
    <w:rPr>
      <w:rFonts w:ascii="Times New Roman" w:hAnsi="Times New Roman" w:eastAsia="宋体" w:cs="Times New Roman"/>
      <w:b/>
      <w:bCs/>
      <w:kern w:val="44"/>
      <w:sz w:val="44"/>
      <w:szCs w:val="44"/>
    </w:rPr>
  </w:style>
  <w:style w:type="character" w:customStyle="1" w:styleId="38">
    <w:name w:val="图表标题 Char"/>
    <w:link w:val="39"/>
    <w:qFormat/>
    <w:uiPriority w:val="0"/>
    <w:rPr>
      <w:rFonts w:ascii="Times New Roman" w:hAnsi="Times New Roman"/>
      <w:b/>
      <w:sz w:val="28"/>
      <w:szCs w:val="21"/>
    </w:rPr>
  </w:style>
  <w:style w:type="paragraph" w:customStyle="1" w:styleId="39">
    <w:name w:val="图表标题"/>
    <w:basedOn w:val="1"/>
    <w:link w:val="38"/>
    <w:qFormat/>
    <w:uiPriority w:val="0"/>
    <w:pPr>
      <w:autoSpaceDE w:val="0"/>
      <w:autoSpaceDN w:val="0"/>
      <w:spacing w:line="240" w:lineRule="auto"/>
      <w:ind w:firstLine="0" w:firstLineChars="0"/>
      <w:jc w:val="center"/>
    </w:pPr>
    <w:rPr>
      <w:rFonts w:eastAsiaTheme="minorEastAsia" w:cstheme="minorBidi"/>
      <w:b/>
      <w:szCs w:val="21"/>
    </w:rPr>
  </w:style>
  <w:style w:type="paragraph" w:customStyle="1" w:styleId="40">
    <w:name w:val="表格内容"/>
    <w:basedOn w:val="1"/>
    <w:link w:val="41"/>
    <w:qFormat/>
    <w:uiPriority w:val="0"/>
    <w:pPr>
      <w:widowControl/>
      <w:adjustRightInd/>
      <w:snapToGrid/>
      <w:spacing w:line="240" w:lineRule="auto"/>
      <w:ind w:firstLine="0" w:firstLineChars="0"/>
      <w:jc w:val="center"/>
    </w:pPr>
    <w:rPr>
      <w:color w:val="000000"/>
      <w:kern w:val="0"/>
      <w:sz w:val="21"/>
    </w:rPr>
  </w:style>
  <w:style w:type="character" w:customStyle="1" w:styleId="41">
    <w:name w:val="表格内容 Char"/>
    <w:link w:val="40"/>
    <w:qFormat/>
    <w:uiPriority w:val="0"/>
    <w:rPr>
      <w:rFonts w:ascii="Times New Roman" w:hAnsi="Times New Roman" w:eastAsia="宋体" w:cs="Times New Roman"/>
      <w:color w:val="000000"/>
      <w:kern w:val="0"/>
    </w:rPr>
  </w:style>
  <w:style w:type="character" w:customStyle="1" w:styleId="42">
    <w:name w:val="页脚 Char"/>
    <w:basedOn w:val="27"/>
    <w:link w:val="2"/>
    <w:qFormat/>
    <w:uiPriority w:val="99"/>
    <w:rPr>
      <w:rFonts w:ascii="Times New Roman" w:hAnsi="Times New Roman" w:eastAsia="宋体" w:cs="Times New Roman"/>
      <w:sz w:val="18"/>
      <w:szCs w:val="18"/>
    </w:rPr>
  </w:style>
  <w:style w:type="character" w:customStyle="1" w:styleId="43">
    <w:name w:val="日期 Char"/>
    <w:basedOn w:val="27"/>
    <w:link w:val="14"/>
    <w:semiHidden/>
    <w:qFormat/>
    <w:uiPriority w:val="99"/>
    <w:rPr>
      <w:rFonts w:ascii="Times New Roman" w:hAnsi="Times New Roman" w:eastAsia="宋体" w:cs="Times New Roman"/>
      <w:kern w:val="2"/>
      <w:sz w:val="28"/>
      <w:szCs w:val="22"/>
    </w:rPr>
  </w:style>
  <w:style w:type="paragraph" w:styleId="44">
    <w:name w:val="List Paragraph"/>
    <w:basedOn w:val="1"/>
    <w:qFormat/>
    <w:uiPriority w:val="99"/>
    <w:pPr>
      <w:adjustRightInd/>
      <w:snapToGrid/>
      <w:spacing w:line="240" w:lineRule="auto"/>
      <w:ind w:firstLine="420"/>
    </w:pPr>
    <w:rPr>
      <w:rFonts w:ascii="Calibri" w:hAnsi="Calibri" w:cs="Calibri"/>
      <w:sz w:val="21"/>
      <w:szCs w:val="21"/>
    </w:rPr>
  </w:style>
  <w:style w:type="paragraph" w:customStyle="1" w:styleId="45">
    <w:name w:val="列出段落1"/>
    <w:next w:val="18"/>
    <w:qFormat/>
    <w:uiPriority w:val="0"/>
    <w:pPr>
      <w:widowControl w:val="0"/>
      <w:ind w:firstLine="200" w:firstLineChars="200"/>
      <w:jc w:val="both"/>
    </w:pPr>
    <w:rPr>
      <w:rFonts w:ascii="Times New Roman" w:hAnsi="Times New Roman" w:eastAsia="方正仿宋_GBK" w:cs="Arial"/>
      <w:sz w:val="32"/>
      <w:szCs w:val="24"/>
      <w:lang w:val="en-US" w:eastAsia="zh-CN" w:bidi="ar-SA"/>
    </w:rPr>
  </w:style>
  <w:style w:type="paragraph" w:customStyle="1" w:styleId="46">
    <w:name w:val="fontsize16"/>
    <w:basedOn w:val="1"/>
    <w:qFormat/>
    <w:uiPriority w:val="0"/>
    <w:pPr>
      <w:widowControl/>
      <w:spacing w:before="60" w:after="60"/>
      <w:jc w:val="left"/>
    </w:pPr>
    <w:rPr>
      <w:rFonts w:ascii="宋体" w:hAnsi="宋体" w:cs="宋体"/>
      <w:color w:val="000000"/>
      <w:kern w:val="0"/>
      <w:sz w:val="24"/>
      <w:szCs w:val="24"/>
    </w:rPr>
  </w:style>
  <w:style w:type="character" w:customStyle="1" w:styleId="47">
    <w:name w:val="font31"/>
    <w:qFormat/>
    <w:uiPriority w:val="0"/>
    <w:rPr>
      <w:rFonts w:hint="default" w:ascii="Times New Roman" w:hAnsi="Times New Roman" w:cs="Times New Roman"/>
      <w:color w:val="000000"/>
      <w:sz w:val="24"/>
      <w:szCs w:val="24"/>
      <w:u w:val="none"/>
    </w:rPr>
  </w:style>
  <w:style w:type="character" w:customStyle="1" w:styleId="48">
    <w:name w:val="font11"/>
    <w:basedOn w:val="27"/>
    <w:qFormat/>
    <w:uiPriority w:val="0"/>
    <w:rPr>
      <w:rFonts w:hint="eastAsia" w:ascii="方正仿宋_GBK" w:hAnsi="方正仿宋_GBK" w:eastAsia="方正仿宋_GBK" w:cs="方正仿宋_GBK"/>
      <w:color w:val="000000"/>
      <w:sz w:val="24"/>
      <w:szCs w:val="24"/>
      <w:u w:val="none"/>
    </w:rPr>
  </w:style>
  <w:style w:type="character" w:customStyle="1" w:styleId="49">
    <w:name w:val="font01"/>
    <w:basedOn w:val="27"/>
    <w:qFormat/>
    <w:uiPriority w:val="0"/>
    <w:rPr>
      <w:rFonts w:hint="eastAsia" w:ascii="方正仿宋_GBK" w:hAnsi="方正仿宋_GBK" w:eastAsia="方正仿宋_GBK" w:cs="方正仿宋_GBK"/>
      <w:color w:val="000000"/>
      <w:sz w:val="22"/>
      <w:szCs w:val="22"/>
      <w:u w:val="none"/>
    </w:rPr>
  </w:style>
  <w:style w:type="character" w:customStyle="1" w:styleId="50">
    <w:name w:val="font61"/>
    <w:basedOn w:val="27"/>
    <w:qFormat/>
    <w:uiPriority w:val="0"/>
    <w:rPr>
      <w:rFonts w:hint="default" w:ascii="Times New Roman" w:hAnsi="Times New Roman" w:cs="Times New Roman"/>
      <w:color w:val="000000"/>
      <w:sz w:val="24"/>
      <w:szCs w:val="24"/>
      <w:u w:val="none"/>
    </w:rPr>
  </w:style>
  <w:style w:type="character" w:customStyle="1" w:styleId="51">
    <w:name w:val="font21"/>
    <w:basedOn w:val="27"/>
    <w:qFormat/>
    <w:uiPriority w:val="0"/>
    <w:rPr>
      <w:rFonts w:ascii="方正黑体_GBK" w:hAnsi="方正黑体_GBK" w:eastAsia="方正黑体_GBK" w:cs="方正黑体_GBK"/>
      <w:color w:val="000000"/>
      <w:sz w:val="24"/>
      <w:szCs w:val="24"/>
      <w:u w:val="none"/>
    </w:rPr>
  </w:style>
  <w:style w:type="character" w:customStyle="1" w:styleId="52">
    <w:name w:val="font41"/>
    <w:basedOn w:val="27"/>
    <w:qFormat/>
    <w:uiPriority w:val="0"/>
    <w:rPr>
      <w:rFonts w:hint="default" w:ascii="Times New Roman" w:hAnsi="Times New Roman" w:cs="Times New Roman"/>
      <w:color w:val="000000"/>
      <w:sz w:val="24"/>
      <w:szCs w:val="24"/>
      <w:u w:val="none"/>
    </w:rPr>
  </w:style>
  <w:style w:type="character" w:customStyle="1" w:styleId="53">
    <w:name w:val="font51"/>
    <w:basedOn w:val="27"/>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20</Pages>
  <Words>6379</Words>
  <Characters>6851</Characters>
  <Lines>51</Lines>
  <Paragraphs>14</Paragraphs>
  <TotalTime>1</TotalTime>
  <ScaleCrop>false</ScaleCrop>
  <LinksUpToDate>false</LinksUpToDate>
  <CharactersWithSpaces>6879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2018-10-17T14:53:00Z</dcterms:created>
  <dc:creator>Hewlett-Packard Company</dc:creator>
  <cp:lastModifiedBy>silence</cp:lastModifiedBy>
  <cp:lastPrinted>2024-06-13T08:13:00Z</cp:lastPrinted>
  <dcterms:modified xsi:type="dcterms:W3CDTF">2025-03-13T05:01:10Z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2510C1CFC2A5478384B5FA4E36300E0A_13</vt:lpwstr>
  </property>
  <property fmtid="{D5CDD505-2E9C-101B-9397-08002B2CF9AE}" pid="4" name="KSOTemplateDocerSaveRecord">
    <vt:lpwstr>eyJoZGlkIjoiZjRmYWUxOWJhMWE5OGFmZGQyNzA0NjBkZTNhOGRjMDEiLCJ1c2VySWQiOiIyNDg4ODMzNzUifQ==</vt:lpwstr>
  </property>
</Properties>
</file>