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1DDBB">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lang w:eastAsia="zh-CN"/>
        </w:rPr>
        <w:t>石板镇便民服务中心(退役军人服务站)202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年预算</w:t>
      </w:r>
      <w:r>
        <w:rPr>
          <w:rFonts w:hint="eastAsia" w:ascii="方正小标宋_GBK" w:hAnsi="华文中宋" w:eastAsia="方正小标宋_GBK" w:cs="华文中宋"/>
          <w:sz w:val="44"/>
          <w:szCs w:val="44"/>
          <w:lang w:eastAsia="zh-CN"/>
        </w:rPr>
        <w:t>公开</w:t>
      </w:r>
      <w:r>
        <w:rPr>
          <w:rFonts w:hint="eastAsia" w:ascii="方正小标宋_GBK" w:hAnsi="华文中宋" w:eastAsia="方正小标宋_GBK" w:cs="华文中宋"/>
          <w:sz w:val="44"/>
          <w:szCs w:val="44"/>
        </w:rPr>
        <w:t>情况说明</w:t>
      </w:r>
    </w:p>
    <w:p w14:paraId="60260BA7">
      <w:pPr>
        <w:spacing w:line="600" w:lineRule="exact"/>
        <w:ind w:firstLine="880" w:firstLineChars="200"/>
        <w:jc w:val="center"/>
        <w:rPr>
          <w:rFonts w:ascii="华文中宋" w:hAnsi="华文中宋" w:eastAsia="华文中宋" w:cs="华文中宋"/>
          <w:sz w:val="44"/>
          <w:szCs w:val="44"/>
        </w:rPr>
      </w:pPr>
    </w:p>
    <w:p w14:paraId="6CCA91CA">
      <w:pPr>
        <w:spacing w:line="600" w:lineRule="exact"/>
        <w:ind w:firstLine="640" w:firstLineChars="200"/>
        <w:rPr>
          <w:rFonts w:ascii="方正黑体_GBK" w:hAnsi="黑体" w:eastAsia="方正黑体_GBK" w:cs="仿宋_GB2312"/>
        </w:rPr>
      </w:pPr>
      <w:r>
        <w:rPr>
          <w:rFonts w:hint="eastAsia" w:ascii="方正黑体_GBK" w:hAnsi="黑体" w:eastAsia="方正黑体_GBK" w:cs="仿宋_GB2312"/>
        </w:rPr>
        <w:t>一、单位基本情况</w:t>
      </w:r>
    </w:p>
    <w:p w14:paraId="4D25E955">
      <w:pPr>
        <w:spacing w:line="600" w:lineRule="exact"/>
        <w:ind w:firstLine="640" w:firstLineChars="200"/>
        <w:rPr>
          <w:rFonts w:ascii="方正仿宋_GBK" w:hAnsi="仿宋_GB2312" w:cs="仿宋_GB2312"/>
        </w:rPr>
      </w:pPr>
      <w:r>
        <w:rPr>
          <w:rFonts w:hint="eastAsia" w:ascii="方正仿宋_GBK" w:hAnsi="仿宋_GB2312" w:cs="仿宋_GB2312"/>
        </w:rPr>
        <w:t>（一）职能职责</w:t>
      </w:r>
    </w:p>
    <w:p w14:paraId="17FDF2D4">
      <w:pPr>
        <w:spacing w:line="600" w:lineRule="exact"/>
        <w:ind w:firstLine="640" w:firstLineChars="200"/>
        <w:rPr>
          <w:rFonts w:hint="eastAsia" w:ascii="方正仿宋_GBK" w:hAnsi="仿宋_GB2312" w:cs="仿宋_GB2312"/>
        </w:rPr>
      </w:pPr>
      <w:r>
        <w:rPr>
          <w:rFonts w:hint="default" w:ascii="Times New Roman" w:hAnsi="Times New Roman" w:eastAsia="方正仿宋_GBK" w:cs="Times New Roman"/>
          <w:b w:val="0"/>
          <w:bCs w:val="0"/>
          <w:color w:val="auto"/>
          <w:kern w:val="2"/>
          <w:sz w:val="32"/>
          <w:szCs w:val="32"/>
          <w:highlight w:val="none"/>
          <w:u w:val="none"/>
          <w:lang w:val="en-US" w:eastAsia="zh-CN" w:bidi="ar-SA"/>
        </w:rPr>
        <w:t>负责社会救助、就业创业、</w:t>
      </w:r>
      <w:bookmarkStart w:id="0" w:name="_GoBack"/>
      <w:bookmarkEnd w:id="0"/>
      <w:r>
        <w:rPr>
          <w:rFonts w:hint="default" w:ascii="Times New Roman" w:hAnsi="Times New Roman" w:eastAsia="方正仿宋_GBK" w:cs="Times New Roman"/>
          <w:b w:val="0"/>
          <w:bCs w:val="0"/>
          <w:color w:val="auto"/>
          <w:kern w:val="2"/>
          <w:sz w:val="32"/>
          <w:szCs w:val="32"/>
          <w:highlight w:val="none"/>
          <w:u w:val="none"/>
          <w:lang w:val="en-US" w:eastAsia="zh-CN" w:bidi="ar-SA"/>
        </w:rPr>
        <w:t>劳动争议调解、社保、医保、退役军人等服务性工作</w:t>
      </w:r>
      <w:r>
        <w:rPr>
          <w:rFonts w:hint="default" w:ascii="Times New Roman" w:hAnsi="Times New Roman" w:eastAsia="方正仿宋_GBK" w:cs="Times New Roman"/>
          <w:kern w:val="2"/>
          <w:sz w:val="32"/>
          <w:szCs w:val="32"/>
          <w:highlight w:val="none"/>
          <w:u w:val="none"/>
          <w:lang w:val="en-US" w:eastAsia="zh-CN" w:bidi="ar-SA"/>
        </w:rPr>
        <w:t>，推进镇、村（居）服务窗口建设</w:t>
      </w:r>
      <w:r>
        <w:rPr>
          <w:rFonts w:hint="eastAsia" w:ascii="方正仿宋_GBK" w:hAnsi="仿宋_GB2312" w:cs="仿宋_GB2312"/>
        </w:rPr>
        <w:t>。</w:t>
      </w:r>
    </w:p>
    <w:p w14:paraId="359FF66C">
      <w:pPr>
        <w:pStyle w:val="5"/>
        <w:tabs>
          <w:tab w:val="center" w:pos="4153"/>
          <w:tab w:val="left" w:pos="7275"/>
        </w:tabs>
        <w:spacing w:line="600" w:lineRule="exact"/>
        <w:ind w:left="640" w:firstLine="0" w:firstLineChars="0"/>
        <w:jc w:val="left"/>
        <w:rPr>
          <w:rFonts w:ascii="方正仿宋_GBK" w:hAnsi="仿宋_GB2312" w:eastAsia="方正仿宋_GBK" w:cs="仿宋_GB2312"/>
          <w:sz w:val="32"/>
        </w:rPr>
      </w:pPr>
      <w:r>
        <w:rPr>
          <w:rFonts w:hint="eastAsia" w:ascii="方正仿宋_GBK" w:hAnsi="仿宋_GB2312" w:eastAsia="方正仿宋_GBK" w:cs="仿宋_GB2312"/>
          <w:sz w:val="32"/>
        </w:rPr>
        <w:t>（二）单位构成</w:t>
      </w:r>
    </w:p>
    <w:p w14:paraId="573B7654">
      <w:pPr>
        <w:spacing w:line="600" w:lineRule="exact"/>
        <w:ind w:firstLine="640" w:firstLineChars="200"/>
        <w:rPr>
          <w:rFonts w:ascii="方正仿宋_GBK" w:hAnsi="仿宋_GB2312" w:cs="仿宋_GB2312"/>
        </w:rPr>
      </w:pPr>
      <w:r>
        <w:rPr>
          <w:rFonts w:hint="eastAsia" w:ascii="方正仿宋_GBK" w:hAnsi="仿宋_GB2312" w:cs="仿宋_GB2312"/>
        </w:rPr>
        <w:t>本单位未设置内部机构。</w:t>
      </w:r>
    </w:p>
    <w:p w14:paraId="2D0EB956">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二、单位收支总体情况</w:t>
      </w:r>
    </w:p>
    <w:p w14:paraId="48368083">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（一）收入预算：</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年年初预算数</w:t>
      </w:r>
      <w:r>
        <w:rPr>
          <w:rFonts w:hint="eastAsia" w:ascii="方正仿宋_GBK" w:hAnsi="仿宋_GB2312" w:cs="仿宋_GB2312"/>
          <w:color w:val="000000" w:themeColor="text1"/>
          <w:lang w:val="en-US" w:eastAsia="zh-CN"/>
        </w:rPr>
        <w:t>227.77</w:t>
      </w:r>
      <w:r>
        <w:rPr>
          <w:rFonts w:hint="eastAsia" w:ascii="方正仿宋_GBK" w:hAnsi="仿宋_GB2312" w:cs="仿宋_GB2312"/>
          <w:color w:val="000000" w:themeColor="text1"/>
        </w:rPr>
        <w:t>万元，其中：一般公共预算拨款</w:t>
      </w:r>
      <w:r>
        <w:rPr>
          <w:rFonts w:hint="eastAsia" w:ascii="方正仿宋_GBK" w:hAnsi="仿宋_GB2312" w:cs="仿宋_GB2312"/>
          <w:color w:val="000000" w:themeColor="text1"/>
          <w:lang w:val="en-US" w:eastAsia="zh-CN"/>
        </w:rPr>
        <w:t>227.77</w:t>
      </w:r>
      <w:r>
        <w:rPr>
          <w:rFonts w:hint="eastAsia" w:ascii="方正仿宋_GBK" w:hAnsi="仿宋_GB2312" w:cs="仿宋_GB2312"/>
          <w:color w:val="000000" w:themeColor="text1"/>
        </w:rPr>
        <w:t>万元，政府性基金预算拨款0万元，国有资本经营预算收入0万元，事业收入0万元，事业单位经营收入0万元，其他收入0万元。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highlight w:val="none"/>
        </w:rPr>
        <w:t>。</w:t>
      </w:r>
    </w:p>
    <w:p w14:paraId="08054DC8">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（二）支出预算：</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年年初预算数</w:t>
      </w:r>
      <w:r>
        <w:rPr>
          <w:rFonts w:hint="eastAsia" w:ascii="方正仿宋_GBK" w:hAnsi="仿宋_GB2312" w:cs="仿宋_GB2312"/>
          <w:color w:val="000000" w:themeColor="text1"/>
          <w:lang w:val="en-US" w:eastAsia="zh-CN"/>
        </w:rPr>
        <w:t>227.77</w:t>
      </w:r>
      <w:r>
        <w:rPr>
          <w:rFonts w:hint="eastAsia" w:ascii="方正仿宋_GBK" w:hAnsi="仿宋_GB2312" w:cs="仿宋_GB2312"/>
          <w:color w:val="000000" w:themeColor="text1"/>
        </w:rPr>
        <w:t>万元，其中：</w:t>
      </w:r>
      <w:r>
        <w:rPr>
          <w:rFonts w:hint="eastAsia" w:ascii="方正仿宋_GBK" w:hAnsi="仿宋_GB2312" w:cs="仿宋_GB2312"/>
          <w:color w:val="000000" w:themeColor="text1"/>
          <w:lang w:eastAsia="zh-CN"/>
        </w:rPr>
        <w:t>一般公共服务支出预算</w:t>
      </w:r>
      <w:r>
        <w:rPr>
          <w:rFonts w:hint="eastAsia" w:ascii="方正仿宋_GBK" w:hAnsi="仿宋_GB2312" w:cs="仿宋_GB2312"/>
          <w:color w:val="000000" w:themeColor="text1"/>
          <w:lang w:val="en-US" w:eastAsia="zh-CN"/>
        </w:rPr>
        <w:t>0万元</w:t>
      </w:r>
      <w:r>
        <w:rPr>
          <w:rFonts w:hint="eastAsia" w:ascii="方正仿宋_GBK" w:hAnsi="仿宋_GB2312" w:cs="仿宋_GB2312"/>
          <w:color w:val="000000" w:themeColor="text1"/>
        </w:rPr>
        <w:t>，教育支出预算0万元，社会保障和就业支出预算165万元，卫生健康支出预算</w:t>
      </w:r>
      <w:r>
        <w:rPr>
          <w:rFonts w:hint="eastAsia" w:ascii="方正仿宋_GBK" w:hAnsi="仿宋_GB2312" w:cs="仿宋_GB2312"/>
          <w:color w:val="000000" w:themeColor="text1"/>
          <w:lang w:val="en-US" w:eastAsia="zh-CN"/>
        </w:rPr>
        <w:t>58.58</w:t>
      </w:r>
      <w:r>
        <w:rPr>
          <w:rFonts w:hint="eastAsia" w:ascii="方正仿宋_GBK" w:hAnsi="仿宋_GB2312" w:cs="仿宋_GB2312"/>
          <w:color w:val="000000" w:themeColor="text1"/>
        </w:rPr>
        <w:t>万元，城乡社区支出预算</w:t>
      </w:r>
      <w:r>
        <w:rPr>
          <w:rFonts w:hint="eastAsia" w:ascii="方正仿宋_GBK" w:hAnsi="仿宋_GB2312" w:cs="仿宋_GB2312"/>
          <w:color w:val="000000" w:themeColor="text1"/>
          <w:lang w:val="en-US" w:eastAsia="zh-CN"/>
        </w:rPr>
        <w:t>0</w:t>
      </w:r>
      <w:r>
        <w:rPr>
          <w:rFonts w:hint="eastAsia" w:ascii="方正仿宋_GBK" w:hAnsi="仿宋_GB2312" w:cs="仿宋_GB2312"/>
          <w:color w:val="000000" w:themeColor="text1"/>
        </w:rPr>
        <w:t>万元，住房保障支出预算4.19万元。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highlight w:val="none"/>
        </w:rPr>
        <w:t>。</w:t>
      </w:r>
    </w:p>
    <w:p w14:paraId="43A57853">
      <w:pPr>
        <w:spacing w:line="600" w:lineRule="exact"/>
        <w:ind w:firstLine="640" w:firstLineChars="200"/>
        <w:rPr>
          <w:rFonts w:ascii="方正仿宋_GBK" w:hAnsi="黑体" w:cs="仿宋_GB2312"/>
          <w:color w:val="000000" w:themeColor="text1"/>
        </w:rPr>
      </w:pPr>
      <w:r>
        <w:rPr>
          <w:rFonts w:hint="eastAsia" w:ascii="方正黑体_GBK" w:hAnsi="黑体" w:eastAsia="方正黑体_GBK" w:cs="仿宋_GB2312"/>
          <w:color w:val="000000" w:themeColor="text1"/>
        </w:rPr>
        <w:t>三</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单位预算情况说明</w:t>
      </w:r>
    </w:p>
    <w:p w14:paraId="6FF93BE7">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年一般公共预算财政拨款收入</w:t>
      </w:r>
      <w:r>
        <w:rPr>
          <w:rFonts w:hint="eastAsia" w:ascii="方正仿宋_GBK" w:hAnsi="仿宋_GB2312" w:cs="仿宋_GB2312"/>
          <w:color w:val="000000" w:themeColor="text1"/>
          <w:lang w:val="en-US" w:eastAsia="zh-CN"/>
        </w:rPr>
        <w:t>227.77</w:t>
      </w:r>
      <w:r>
        <w:rPr>
          <w:rFonts w:hint="eastAsia" w:ascii="方正仿宋_GBK" w:hAnsi="仿宋_GB2312" w:cs="仿宋_GB2312"/>
          <w:color w:val="000000" w:themeColor="text1"/>
        </w:rPr>
        <w:t>万元，一般公共预算财政拨款支出</w:t>
      </w:r>
      <w:r>
        <w:rPr>
          <w:rFonts w:hint="eastAsia" w:ascii="方正仿宋_GBK" w:hAnsi="仿宋_GB2312" w:cs="仿宋_GB2312"/>
          <w:color w:val="000000" w:themeColor="text1"/>
          <w:lang w:val="en-US" w:eastAsia="zh-CN"/>
        </w:rPr>
        <w:t>227.77</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rPr>
        <w:t>。其中：基本支出</w:t>
      </w:r>
      <w:r>
        <w:rPr>
          <w:rFonts w:hint="eastAsia" w:ascii="方正仿宋_GBK" w:hAnsi="仿宋_GB2312" w:cs="仿宋_GB2312"/>
          <w:color w:val="000000" w:themeColor="text1"/>
          <w:lang w:val="en-US" w:eastAsia="zh-CN"/>
        </w:rPr>
        <w:t>99.2</w:t>
      </w:r>
      <w:r>
        <w:rPr>
          <w:rFonts w:hint="eastAsia" w:ascii="方正仿宋_GBK" w:hAnsi="仿宋_GB2312" w:cs="仿宋_GB2312"/>
          <w:color w:val="000000" w:themeColor="text1"/>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highlight w:val="none"/>
          <w:lang w:eastAsia="zh-CN"/>
        </w:rPr>
        <w:t>，</w:t>
      </w:r>
      <w:r>
        <w:rPr>
          <w:rFonts w:hint="eastAsia" w:ascii="方正仿宋_GBK" w:hAnsi="仿宋_GB2312" w:cs="仿宋_GB2312"/>
          <w:color w:val="000000" w:themeColor="text1"/>
        </w:rPr>
        <w:t>主要用于保障在职人员工资福利及社会保险缴费，保障单位正常运转的各项商品服务支出；项目支出128.57万元，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lang w:eastAsia="zh-CN"/>
        </w:rPr>
        <w:t>，</w:t>
      </w:r>
      <w:r>
        <w:rPr>
          <w:rFonts w:hint="eastAsia" w:ascii="方正仿宋_GBK" w:hAnsi="仿宋_GB2312" w:cs="仿宋_GB2312"/>
          <w:color w:val="000000" w:themeColor="text1"/>
        </w:rPr>
        <w:t>主要用于</w:t>
      </w:r>
      <w:r>
        <w:rPr>
          <w:rFonts w:hint="eastAsia" w:ascii="方正仿宋_GBK" w:hAnsi="仿宋_GB2312" w:cs="仿宋_GB2312"/>
          <w:color w:val="000000" w:themeColor="text1"/>
          <w:lang w:eastAsia="zh-CN"/>
        </w:rPr>
        <w:t>社会保障服务体系建设、困难群众帮扶、养老服务与保障</w:t>
      </w:r>
      <w:r>
        <w:rPr>
          <w:rFonts w:hint="eastAsia" w:ascii="方正仿宋_GBK" w:hAnsi="仿宋_GB2312" w:cs="仿宋_GB2312"/>
          <w:color w:val="000000" w:themeColor="text1"/>
        </w:rPr>
        <w:t>等</w:t>
      </w:r>
      <w:r>
        <w:rPr>
          <w:rFonts w:ascii="方正仿宋_GBK" w:hAnsi="仿宋_GB2312" w:cs="仿宋_GB2312"/>
          <w:color w:val="000000" w:themeColor="text1"/>
        </w:rPr>
        <w:t>支出。</w:t>
      </w:r>
    </w:p>
    <w:p w14:paraId="62CD3DE1">
      <w:pPr>
        <w:spacing w:line="600" w:lineRule="exact"/>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lang w:eastAsia="zh-CN"/>
        </w:rPr>
        <w:t>便民服务中心（退役军人服务站）202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年无使用政府性基金预算拨款安排的支出。</w:t>
      </w:r>
    </w:p>
    <w:p w14:paraId="32380036">
      <w:pPr>
        <w:spacing w:line="600" w:lineRule="exact"/>
        <w:ind w:firstLine="640" w:firstLineChars="200"/>
        <w:rPr>
          <w:rFonts w:ascii="方正仿宋_GBK" w:hAnsi="黑体" w:cs="仿宋_GB2312"/>
          <w:color w:val="000000" w:themeColor="text1"/>
        </w:rPr>
      </w:pPr>
      <w:r>
        <w:rPr>
          <w:rFonts w:hint="eastAsia" w:ascii="方正黑体_GBK" w:hAnsi="黑体" w:eastAsia="方正黑体_GBK" w:cs="仿宋_GB2312"/>
          <w:color w:val="000000" w:themeColor="text1"/>
        </w:rPr>
        <w:t>四</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“三公”经费情况说明</w:t>
      </w:r>
    </w:p>
    <w:p w14:paraId="0ACF6D0A">
      <w:pPr>
        <w:spacing w:line="600" w:lineRule="exact"/>
        <w:ind w:firstLine="600"/>
        <w:rPr>
          <w:rFonts w:hint="eastAsia" w:ascii="方正仿宋_GBK" w:hAnsi="仿宋_GB2312" w:cs="仿宋_GB2312"/>
          <w:color w:val="000000" w:themeColor="text1"/>
        </w:rPr>
      </w:pPr>
      <w:r>
        <w:rPr>
          <w:rFonts w:hint="eastAsia" w:ascii="方正仿宋_GBK" w:hAnsi="仿宋_GB2312" w:eastAsia="方正仿宋_GBK" w:cs="仿宋_GB2312"/>
          <w:color w:val="000000" w:themeColor="text1"/>
          <w:sz w:val="32"/>
          <w:szCs w:val="20"/>
        </w:rPr>
        <w:t>202</w:t>
      </w:r>
      <w:r>
        <w:rPr>
          <w:rFonts w:hint="eastAsia" w:ascii="方正仿宋_GBK" w:hAnsi="仿宋_GB2312" w:cs="仿宋_GB2312"/>
          <w:color w:val="000000" w:themeColor="text1"/>
          <w:sz w:val="32"/>
          <w:szCs w:val="20"/>
          <w:lang w:val="en-US" w:eastAsia="zh-CN"/>
        </w:rPr>
        <w:t>5</w:t>
      </w:r>
      <w:r>
        <w:rPr>
          <w:rFonts w:hint="eastAsia" w:ascii="方正仿宋_GBK" w:hAnsi="仿宋_GB2312" w:eastAsia="方正仿宋_GBK" w:cs="仿宋_GB2312"/>
          <w:color w:val="000000" w:themeColor="text1"/>
          <w:sz w:val="32"/>
          <w:szCs w:val="20"/>
        </w:rPr>
        <w:t>年“三公”经费预算</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rPr>
        <w:t>。其中：因公出国（境）费用</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lang w:eastAsia="zh-CN"/>
        </w:rPr>
        <w:t>；</w:t>
      </w:r>
      <w:r>
        <w:rPr>
          <w:rFonts w:hint="eastAsia" w:ascii="方正仿宋_GBK" w:hAnsi="仿宋_GB2312" w:eastAsia="方正仿宋_GBK" w:cs="仿宋_GB2312"/>
          <w:color w:val="000000" w:themeColor="text1"/>
          <w:sz w:val="32"/>
          <w:szCs w:val="20"/>
        </w:rPr>
        <w:t>公务接待费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cs="仿宋_GB2312"/>
          <w:color w:val="000000" w:themeColor="text1"/>
          <w:sz w:val="32"/>
          <w:szCs w:val="20"/>
          <w:lang w:eastAsia="zh-CN"/>
        </w:rPr>
        <w:t>；</w:t>
      </w:r>
      <w:r>
        <w:rPr>
          <w:rFonts w:hint="eastAsia" w:ascii="方正仿宋_GBK" w:hAnsi="仿宋_GB2312" w:eastAsia="方正仿宋_GBK" w:cs="仿宋_GB2312"/>
          <w:color w:val="000000" w:themeColor="text1"/>
          <w:sz w:val="32"/>
          <w:szCs w:val="20"/>
        </w:rPr>
        <w:t>公务用车运行维护费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rPr>
        <w:t>；公务用车购置费</w:t>
      </w:r>
      <w:r>
        <w:rPr>
          <w:rFonts w:hint="eastAsia" w:ascii="方正仿宋_GBK" w:hAnsi="仿宋_GB2312" w:cs="仿宋_GB2312"/>
          <w:color w:val="000000" w:themeColor="text1"/>
          <w:sz w:val="32"/>
          <w:szCs w:val="20"/>
          <w:lang w:val="en-US" w:eastAsia="zh-CN"/>
        </w:rPr>
        <w:t>0</w:t>
      </w:r>
      <w:r>
        <w:rPr>
          <w:rFonts w:hint="eastAsia" w:ascii="方正仿宋_GBK" w:hAnsi="仿宋_GB2312" w:eastAsia="方正仿宋_GBK" w:cs="仿宋_GB2312"/>
          <w:color w:val="000000" w:themeColor="text1"/>
          <w:sz w:val="32"/>
          <w:szCs w:val="20"/>
        </w:rPr>
        <w:t>万元，</w:t>
      </w:r>
      <w:r>
        <w:rPr>
          <w:rFonts w:hint="eastAsia" w:ascii="方正仿宋_GBK" w:hAnsi="仿宋_GB2312" w:cs="仿宋_GB2312"/>
          <w:color w:val="000000" w:themeColor="text1"/>
          <w:lang w:eastAsia="zh-CN"/>
        </w:rPr>
        <w:t>因</w:t>
      </w:r>
      <w:r>
        <w:rPr>
          <w:rFonts w:hint="eastAsia" w:ascii="方正仿宋_GBK" w:hAnsi="仿宋_GB2312" w:cs="仿宋_GB2312"/>
          <w:color w:val="000000" w:themeColor="text1"/>
          <w:sz w:val="32"/>
          <w:szCs w:val="20"/>
          <w:highlight w:val="none"/>
          <w:lang w:val="en-US" w:eastAsia="zh-CN"/>
        </w:rPr>
        <w:t>2024年机构改革后本单位为新设单位，故无上年同期数</w:t>
      </w:r>
      <w:r>
        <w:rPr>
          <w:rFonts w:hint="eastAsia" w:ascii="方正仿宋_GBK" w:hAnsi="仿宋_GB2312" w:eastAsia="方正仿宋_GBK" w:cs="仿宋_GB2312"/>
          <w:color w:val="000000" w:themeColor="text1"/>
          <w:sz w:val="32"/>
          <w:szCs w:val="20"/>
        </w:rPr>
        <w:t>。</w:t>
      </w:r>
    </w:p>
    <w:p w14:paraId="19A53228">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五、其他重要事项的情况说明</w:t>
      </w:r>
    </w:p>
    <w:p w14:paraId="62139C10">
      <w:pPr>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1.我单位不在机关运行经费统计范围之内。</w:t>
      </w:r>
    </w:p>
    <w:p w14:paraId="710C5436">
      <w:pPr>
        <w:ind w:firstLine="640" w:firstLineChars="200"/>
        <w:rPr>
          <w:rFonts w:hint="eastAsia" w:ascii="方正仿宋_GBK" w:hAnsi="仿宋_GB2312" w:cs="仿宋_GB2312"/>
          <w:color w:val="000000" w:themeColor="text1"/>
        </w:rPr>
      </w:pPr>
      <w:r>
        <w:rPr>
          <w:rFonts w:hint="eastAsia" w:ascii="方正仿宋_GBK" w:hAnsi="仿宋_GB2312" w:cs="仿宋_GB2312"/>
          <w:color w:val="000000" w:themeColor="text1"/>
        </w:rPr>
        <w:t>2.政府采购情况。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14:paraId="269E3807">
      <w:pPr>
        <w:ind w:firstLine="640" w:firstLineChars="200"/>
        <w:rPr>
          <w:rFonts w:ascii="方正仿宋_GBK" w:hAnsi="仿宋_GB2312" w:cs="仿宋_GB2312"/>
          <w:color w:val="000000" w:themeColor="text1"/>
        </w:rPr>
      </w:pPr>
      <w:r>
        <w:rPr>
          <w:rFonts w:hint="eastAsia" w:ascii="方正仿宋_GBK" w:hAnsi="仿宋_GB2312" w:cs="仿宋_GB2312"/>
          <w:bCs/>
          <w:color w:val="000000" w:themeColor="text1"/>
        </w:rPr>
        <w:t>3.绩效目标设置情况</w:t>
      </w:r>
      <w:r>
        <w:rPr>
          <w:rFonts w:hint="eastAsia" w:ascii="方正仿宋_GBK" w:hAnsi="仿宋_GB2312" w:cs="仿宋_GB2312"/>
          <w:color w:val="000000" w:themeColor="text1"/>
        </w:rPr>
        <w:t>。</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年项目支出均实行了绩效目标管理，涉及一般公共预算当年财政拨款</w:t>
      </w:r>
      <w:r>
        <w:rPr>
          <w:rFonts w:hint="eastAsia" w:ascii="方正仿宋_GBK" w:hAnsi="仿宋_GB2312" w:cs="仿宋_GB2312"/>
          <w:color w:val="000000" w:themeColor="text1"/>
          <w:lang w:val="en-US" w:eastAsia="zh-CN"/>
        </w:rPr>
        <w:t>128.57</w:t>
      </w:r>
      <w:r>
        <w:rPr>
          <w:rFonts w:hint="eastAsia" w:ascii="方正仿宋_GBK" w:hAnsi="仿宋_GB2312" w:cs="仿宋_GB2312"/>
          <w:color w:val="000000" w:themeColor="text1"/>
        </w:rPr>
        <w:t>万元。</w:t>
      </w:r>
    </w:p>
    <w:p w14:paraId="30DB7F5C">
      <w:pPr>
        <w:ind w:firstLine="640" w:firstLineChars="200"/>
        <w:rPr>
          <w:rFonts w:ascii="方正仿宋_GBK" w:hAnsi="仿宋_GB2312" w:cs="仿宋_GB2312"/>
          <w:color w:val="000000" w:themeColor="text1"/>
        </w:rPr>
      </w:pPr>
      <w:r>
        <w:rPr>
          <w:rFonts w:hint="eastAsia" w:ascii="方正仿宋_GBK" w:hAnsi="仿宋_GB2312" w:cs="仿宋_GB2312"/>
          <w:color w:val="000000" w:themeColor="text1"/>
        </w:rPr>
        <w:t>4.国有资产占有使用情况。</w:t>
      </w:r>
      <w:r>
        <w:rPr>
          <w:rFonts w:hint="eastAsia" w:ascii="方正仿宋_GBK" w:hAnsi="仿宋_GB2312" w:cs="仿宋_GB2312"/>
          <w:color w:val="000000" w:themeColor="text1"/>
          <w:lang w:eastAsia="zh-CN"/>
        </w:rPr>
        <w:t>截至</w:t>
      </w:r>
      <w:r>
        <w:rPr>
          <w:rFonts w:hint="eastAsia" w:ascii="方正仿宋_GBK" w:hAnsi="仿宋_GB2312" w:cs="仿宋_GB2312"/>
          <w:color w:val="000000" w:themeColor="text1"/>
        </w:rPr>
        <w:t>202</w:t>
      </w:r>
      <w:r>
        <w:rPr>
          <w:rFonts w:hint="eastAsia" w:ascii="方正仿宋_GBK" w:hAnsi="仿宋_GB2312" w:cs="仿宋_GB2312"/>
          <w:color w:val="000000" w:themeColor="text1"/>
          <w:lang w:val="en-US" w:eastAsia="zh-CN"/>
        </w:rPr>
        <w:t>4</w:t>
      </w:r>
      <w:r>
        <w:rPr>
          <w:rFonts w:hint="eastAsia" w:ascii="方正仿宋_GBK" w:hAnsi="仿宋_GB2312" w:cs="仿宋_GB2312"/>
          <w:color w:val="000000" w:themeColor="text1"/>
        </w:rPr>
        <w:t>年12月，本单位共有车辆0辆，其中一般公务用车0辆、执勤执法用车0辆。</w:t>
      </w:r>
      <w:r>
        <w:rPr>
          <w:rFonts w:hint="eastAsia" w:ascii="方正仿宋_GBK" w:hAnsi="仿宋_GB2312" w:cs="仿宋_GB2312"/>
          <w:color w:val="000000" w:themeColor="text1"/>
          <w:lang w:eastAsia="zh-CN"/>
        </w:rPr>
        <w:t>202</w:t>
      </w:r>
      <w:r>
        <w:rPr>
          <w:rFonts w:hint="eastAsia" w:ascii="方正仿宋_GBK" w:hAnsi="仿宋_GB2312" w:cs="仿宋_GB2312"/>
          <w:color w:val="000000" w:themeColor="text1"/>
          <w:lang w:val="en-US" w:eastAsia="zh-CN"/>
        </w:rPr>
        <w:t>5</w:t>
      </w:r>
      <w:r>
        <w:rPr>
          <w:rFonts w:hint="eastAsia" w:ascii="方正仿宋_GBK" w:hAnsi="仿宋_GB2312" w:cs="仿宋_GB2312"/>
          <w:color w:val="000000" w:themeColor="text1"/>
        </w:rPr>
        <w:t>年一般公共预算安排购置车辆0辆，其中一般公务用车0辆、执勤执法用车0辆。</w:t>
      </w:r>
    </w:p>
    <w:p w14:paraId="41D1AD66">
      <w:pPr>
        <w:spacing w:line="600" w:lineRule="exact"/>
        <w:ind w:firstLine="640" w:firstLineChars="200"/>
        <w:rPr>
          <w:rFonts w:ascii="方正黑体_GBK" w:hAnsi="黑体" w:eastAsia="方正黑体_GBK" w:cs="仿宋_GB2312"/>
          <w:color w:val="000000" w:themeColor="text1"/>
        </w:rPr>
      </w:pPr>
      <w:r>
        <w:rPr>
          <w:rFonts w:hint="eastAsia" w:ascii="方正黑体_GBK" w:hAnsi="黑体" w:eastAsia="方正黑体_GBK" w:cs="仿宋_GB2312"/>
          <w:color w:val="000000" w:themeColor="text1"/>
        </w:rPr>
        <w:t>六</w:t>
      </w:r>
      <w:r>
        <w:rPr>
          <w:rFonts w:ascii="方正黑体_GBK" w:hAnsi="黑体" w:eastAsia="方正黑体_GBK" w:cs="仿宋_GB2312"/>
          <w:color w:val="000000" w:themeColor="text1"/>
        </w:rPr>
        <w:t>、</w:t>
      </w:r>
      <w:r>
        <w:rPr>
          <w:rFonts w:hint="eastAsia" w:ascii="方正黑体_GBK" w:hAnsi="黑体" w:eastAsia="方正黑体_GBK" w:cs="仿宋_GB2312"/>
          <w:color w:val="000000" w:themeColor="text1"/>
        </w:rPr>
        <w:t>专业性名词解释</w:t>
      </w:r>
    </w:p>
    <w:p w14:paraId="353C50FD">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（一）财政拨款收入：指本年度从本级财政部门取得的财政拨款，包括一般公共预算财政拨款和政府性基金预算财政拨款。</w:t>
      </w:r>
    </w:p>
    <w:p w14:paraId="185096C5">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（二）其他收入：指单位取得的除“财政拨款收入”、“事业收入”、“经营收入”等以外的收入。</w:t>
      </w:r>
    </w:p>
    <w:p w14:paraId="12AEE7CE">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（三）基本支出：指为保障机构正常运转、完成日常工作任务而发生的人员经费和公用经费。</w:t>
      </w:r>
    </w:p>
    <w:p w14:paraId="77AE18D6">
      <w:pPr>
        <w:pStyle w:val="5"/>
        <w:tabs>
          <w:tab w:val="center" w:pos="4153"/>
          <w:tab w:val="left" w:pos="7275"/>
        </w:tabs>
        <w:spacing w:line="600" w:lineRule="exact"/>
        <w:ind w:firstLine="640"/>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（四）项目支出：指在基本支出之外为完成特定行政任务和事业发展目标所发生的支出。</w:t>
      </w:r>
    </w:p>
    <w:p w14:paraId="186BB101">
      <w:pPr>
        <w:ind w:firstLine="640" w:firstLineChars="200"/>
        <w:rPr>
          <w:rFonts w:ascii="方正仿宋_GBK" w:hAnsi="仿宋_GB2312" w:cs="仿宋_GB2312"/>
          <w:color w:val="000000" w:themeColor="text1"/>
        </w:rPr>
      </w:pPr>
      <w:r>
        <w:rPr>
          <w:rFonts w:hint="eastAsia" w:ascii="方正仿宋_GBK"/>
          <w:color w:val="000000" w:themeColor="text1"/>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962F631">
      <w:pPr>
        <w:ind w:firstLine="640" w:firstLineChars="200"/>
        <w:rPr>
          <w:rFonts w:ascii="方正仿宋_GBK" w:hAnsi="仿宋_GB2312" w:cs="仿宋_GB2312"/>
          <w:color w:val="000000" w:themeColor="text1"/>
        </w:rPr>
      </w:pPr>
    </w:p>
    <w:p w14:paraId="2686FCF9">
      <w:pPr>
        <w:ind w:firstLine="640" w:firstLineChars="200"/>
        <w:rPr>
          <w:rFonts w:ascii="方正仿宋_GBK" w:hAnsi="仿宋_GB2312" w:cs="仿宋_GB2312"/>
          <w:color w:val="000000" w:themeColor="text1"/>
        </w:rPr>
      </w:pPr>
    </w:p>
    <w:p w14:paraId="214754FE">
      <w:pPr>
        <w:ind w:firstLine="640" w:firstLineChars="200"/>
        <w:rPr>
          <w:rFonts w:ascii="方正仿宋_GBK" w:hAnsi="仿宋_GB2312" w:cs="仿宋_GB2312"/>
          <w:color w:val="000000" w:themeColor="text1"/>
        </w:rPr>
      </w:pPr>
    </w:p>
    <w:p w14:paraId="24037030">
      <w:pPr>
        <w:rPr>
          <w:rFonts w:ascii="方正仿宋_GBK"/>
          <w:szCs w:val="32"/>
        </w:rPr>
      </w:pPr>
      <w:r>
        <w:rPr>
          <w:rFonts w:hint="eastAsia" w:ascii="方正仿宋_GBK"/>
          <w:szCs w:val="32"/>
        </w:rPr>
        <w:t>部门预算公开联系人：戚茂娇  联系方式：023-65765797</w:t>
      </w:r>
    </w:p>
    <w:p w14:paraId="6DD3E1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23A8D2-233C-4F61-BC25-F1EC007452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7F79E9E-EA7B-4197-91EA-64983C6EF751}"/>
  </w:font>
  <w:font w:name="方正仿宋_GBK">
    <w:panose1 w:val="03000509000000000000"/>
    <w:charset w:val="86"/>
    <w:family w:val="script"/>
    <w:pitch w:val="default"/>
    <w:sig w:usb0="00000001" w:usb1="080E0000" w:usb2="00000000" w:usb3="00000000" w:csb0="00040000" w:csb1="00000000"/>
    <w:embedRegular r:id="rId3" w:fontKey="{61CCF94C-BAC0-422F-9C11-42FE3AD38A57}"/>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B1B49465-C14D-4383-A270-DDD962D96B4E}"/>
  </w:font>
  <w:font w:name="华文中宋">
    <w:altName w:val="宋体"/>
    <w:panose1 w:val="02010600040101010101"/>
    <w:charset w:val="86"/>
    <w:family w:val="auto"/>
    <w:pitch w:val="default"/>
    <w:sig w:usb0="00000000" w:usb1="00000000" w:usb2="00000000" w:usb3="00000000" w:csb0="0004009F" w:csb1="DFD70000"/>
    <w:embedRegular r:id="rId5" w:fontKey="{5DF755F8-D7E6-4C56-8BBC-EA4DB9365A0A}"/>
  </w:font>
  <w:font w:name="方正黑体_GBK">
    <w:panose1 w:val="02010600010101010101"/>
    <w:charset w:val="86"/>
    <w:family w:val="script"/>
    <w:pitch w:val="default"/>
    <w:sig w:usb0="00000001" w:usb1="080E0000" w:usb2="00000000" w:usb3="00000000" w:csb0="00040000" w:csb1="00000000"/>
    <w:embedRegular r:id="rId6" w:fontKey="{9921026D-F2D1-4187-B06F-12EB1D51D8D3}"/>
  </w:font>
  <w:font w:name="仿宋_GB2312">
    <w:altName w:val="仿宋"/>
    <w:panose1 w:val="00000000000000000000"/>
    <w:charset w:val="86"/>
    <w:family w:val="modern"/>
    <w:pitch w:val="default"/>
    <w:sig w:usb0="00000000" w:usb1="00000000" w:usb2="00000010" w:usb3="00000000" w:csb0="00040000" w:csb1="00000000"/>
    <w:embedRegular r:id="rId7" w:fontKey="{BE1A23DA-FF08-4086-89AD-D626E05583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71A2"/>
    <w:rsid w:val="00312421"/>
    <w:rsid w:val="005B6F56"/>
    <w:rsid w:val="00702FA3"/>
    <w:rsid w:val="009D2257"/>
    <w:rsid w:val="009D47E5"/>
    <w:rsid w:val="00AA7B8E"/>
    <w:rsid w:val="00AB370D"/>
    <w:rsid w:val="00F471A2"/>
    <w:rsid w:val="01DC6F3A"/>
    <w:rsid w:val="04667978"/>
    <w:rsid w:val="0707209E"/>
    <w:rsid w:val="096F621C"/>
    <w:rsid w:val="09EE7810"/>
    <w:rsid w:val="0A761798"/>
    <w:rsid w:val="0D4170AE"/>
    <w:rsid w:val="15D4A23F"/>
    <w:rsid w:val="17D940CB"/>
    <w:rsid w:val="19831E6C"/>
    <w:rsid w:val="19B9111F"/>
    <w:rsid w:val="1ADF0CC8"/>
    <w:rsid w:val="1B4B785C"/>
    <w:rsid w:val="1CA20F6B"/>
    <w:rsid w:val="21257BE1"/>
    <w:rsid w:val="241C6E07"/>
    <w:rsid w:val="2B59AB0B"/>
    <w:rsid w:val="2D0578E5"/>
    <w:rsid w:val="344E7C6B"/>
    <w:rsid w:val="39750D3E"/>
    <w:rsid w:val="3F3B3618"/>
    <w:rsid w:val="42860DA7"/>
    <w:rsid w:val="4F7D6304"/>
    <w:rsid w:val="500A7D66"/>
    <w:rsid w:val="586B6A4E"/>
    <w:rsid w:val="6BFF778B"/>
    <w:rsid w:val="6E886FF6"/>
    <w:rsid w:val="7B5E5DE9"/>
    <w:rsid w:val="A77F2D4D"/>
    <w:rsid w:val="BDE8B9D1"/>
    <w:rsid w:val="BEB5B71D"/>
    <w:rsid w:val="DFE70B47"/>
    <w:rsid w:val="E7F2FF03"/>
    <w:rsid w:val="EE67EE9B"/>
    <w:rsid w:val="EEFF8F3D"/>
    <w:rsid w:val="EFC745CF"/>
    <w:rsid w:val="FBDF1D0E"/>
    <w:rsid w:val="FFEF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 w:type="paragraph" w:styleId="5">
    <w:name w:val="List Paragraph"/>
    <w:basedOn w:val="1"/>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1504</Words>
  <Characters>1625</Characters>
  <Lines>9</Lines>
  <Paragraphs>2</Paragraphs>
  <TotalTime>1</TotalTime>
  <ScaleCrop>false</ScaleCrop>
  <LinksUpToDate>false</LinksUpToDate>
  <CharactersWithSpaces>1627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2022-04-22T07:33:00Z</dcterms:created>
  <dc:creator>Administrator</dc:creator>
  <cp:lastModifiedBy>silence</cp:lastModifiedBy>
  <cp:lastPrinted>2023-04-21T03:42:00Z</cp:lastPrinted>
  <dcterms:modified xsi:type="dcterms:W3CDTF">2025-05-07T03:10:53Z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E280C5447EE24D77947733642780972E</vt:lpwstr>
  </property>
  <property fmtid="{D5CDD505-2E9C-101B-9397-08002B2CF9AE}" pid="4" name="KSOTemplateDocerSaveRecord">
    <vt:lpwstr>eyJoZGlkIjoiZjRmYWUxOWJhMWE5OGFmZGQyNzA0NjBkZTNhOGRjMDEiLCJ1c2VySWQiOiIyNDg4ODMzNzUifQ==</vt:lpwstr>
  </property>
</Properties>
</file>