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石板镇劳动就业和社会保障服务所</w:t>
      </w: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default" w:ascii="方正小标宋_GBK" w:hAnsi="宋体" w:eastAsia="方正小标宋_GBK" w:cs="Times New Roman"/>
          <w:bCs/>
          <w:kern w:val="2"/>
          <w:sz w:val="44"/>
          <w:szCs w:val="44"/>
          <w:lang w:val="zh-CN"/>
        </w:rPr>
        <w:t>2024</w:t>
      </w:r>
      <w:r>
        <w:rPr>
          <w:rFonts w:hint="eastAsia" w:ascii="方正小标宋_GBK" w:hAnsi="宋体" w:eastAsia="方正小标宋_GBK" w:cs="Times New Roman"/>
          <w:bCs/>
          <w:kern w:val="2"/>
          <w:sz w:val="44"/>
          <w:szCs w:val="44"/>
          <w:lang w:val="zh-CN"/>
        </w:rPr>
        <w:t>年度决算公开说明</w:t>
      </w:r>
    </w:p>
    <w:p>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一、单位基本情况</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（一）职能职责</w:t>
      </w:r>
    </w:p>
    <w:p>
      <w:pPr>
        <w:pStyle w:val="16"/>
        <w:autoSpaceDE w:val="0"/>
        <w:spacing w:line="596" w:lineRule="exact"/>
        <w:ind w:firstLine="643"/>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石板镇劳动就业和社会保障服务所主要承担劳动就业、社会保障、政务服务等的事务性工作。</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（二）机构设置</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石板镇劳动就业和社会保障服务所独立核算机构为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个，单位类型为财政全额拨款的公益一类事业单位，一般公共预算财政拨款开支人数为3人。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二、单位决算收支情况说明</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（一）收入支出决算总体情况说明</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年度收入、支出总计均为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236.39</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与2023年度相比，增加96.13万元，增长68.5%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、增加计生奖扶特扶人员补助、低保特困人员补助等经费等。</w:t>
      </w:r>
    </w:p>
    <w:p>
      <w:pPr>
        <w:pStyle w:val="11"/>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1.收入情况。2024年度收入合计236.39万元，与2023年度相比，增加96.13万元，增长68.5%，主要原因是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、增加计生奖扶特扶人员补助、低保特困人员补助等经费等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。其中：财政拨款收入236.39万元，占100%；事业收入</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%；经营收入</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%；其他收入</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%。此外，使用非财政拨款结余（含专用结余）</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万元，年初结转和结余</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年度支出合计</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236.39</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与2023年度相比，增加96.13万元，增长68.5%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、增加计生奖扶特扶人员补助、低保特困人员补助等经费等。其中：基本支出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119.64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50.6%</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116.75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49.4%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；经营支出0万元，占0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。此外，结余分配0万元。</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年度年末结转和结余0万元，较上年决算数无增减。</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（二）财政拨款收入支出决算总体情况说明</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年度财政拨款收入、支出总计均为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236.39</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万元。与</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2023</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年度相比，</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财政拨款收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总计各增加96.13万元，增长68.5%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，增加计生奖扶特扶人员补助、低保特困人员补助等经费等。</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（三）一般公共预算财政拨款收入支出决算情况说明</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1.收入情况。2024年度一般公共预算财政拨款收入236.39万元，与2023年度相比，增加96.13万元，增长68.5%。主要原因是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、增加计生奖扶特扶人员补助、低保特困人员补助等经费等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。较年初预算数增加14.3万元，增长6.4%。主要原因是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增加计生奖扶特扶人员补助、低保特困人员补助等经费等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。此外，年初财政拨款结转和结余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2.支出情况。2024年度一般公共预算财政拨款支出236.39万元，与2023年度相比，增加96.13万元，增长68.5%。主要原因是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、增加计生奖扶特扶人员补助、低保特困人员补助等经费等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。较年初预算数增加14.3万元，增长6.4%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增加计生奖扶特扶人员补助、低保特困人员补助等经费等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1"/>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1</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）社会保障和就业支出188.12万元，占79.6%，较年初预算数增加46.93万元，增长33.2%，主要原因是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增加计生奖扶特扶人员补助等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）卫生健康支出44.86万元，占19%，较年初预算数减少32.63万元，下降42.1%，主要原因是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优化调整项目支出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3</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）住房保障支出3.41万元，占1.4%，较年初预算数无增减。</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3.结转结余情况。2024年度年末一般公共预算财政拨款结转和结余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较上年决算数无增减</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6"/>
        <w:keepNext w:val="0"/>
        <w:keepLines w:val="0"/>
        <w:pageBreakBefore w:val="0"/>
        <w:kinsoku/>
        <w:wordWrap/>
        <w:overflowPunct/>
        <w:topLinePunct w:val="0"/>
        <w:autoSpaceDE w:val="0"/>
        <w:autoSpaceDN/>
        <w:bidi w:val="0"/>
        <w:adjustRightInd/>
        <w:spacing w:line="600" w:lineRule="exact"/>
        <w:ind w:firstLine="643"/>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（四）一般公共预算财政拨款基本支出决算情况</w:t>
      </w:r>
      <w:r>
        <w:rPr>
          <w:rFonts w:hint="eastAsia" w:ascii="楷体" w:hAnsi="楷体" w:eastAsia="楷体" w:cs="楷体"/>
          <w:b/>
          <w:bCs/>
          <w:sz w:val="32"/>
          <w:szCs w:val="32"/>
          <w:shd w:val="clear" w:color="auto" w:fill="FFFFFF"/>
        </w:rPr>
        <w:t>说明</w:t>
      </w:r>
    </w:p>
    <w:p>
      <w:pPr>
        <w:pStyle w:val="11"/>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2024年度一般公共财政拨款基本支出119.64万元。其中：</w:t>
      </w:r>
    </w:p>
    <w:p>
      <w:pPr>
        <w:pStyle w:val="11"/>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人员经费109.51万元，与2023年度相比，增加14.46万元，增长15.2%，主要原因是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基本工资、津贴补贴、社会保障缴费、绩效工资、其他工资福利</w:t>
      </w:r>
      <w:bookmarkStart w:id="0" w:name="_GoBack"/>
      <w:bookmarkEnd w:id="0"/>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支出、对个人和家庭的补助支出等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公用经费10.13万元，与2023年度相比，减少4.6万元，下降31.2%，主要原因是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厉行节俭，压减一般性支出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。公用经费用途主要包括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办公费、印刷费、差旅费、维修（护）费、劳务费、邮电费、水费、电费、其他商品和服务支出、办公设备购置等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（五）政府性基金预算收支决算情况说明</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2024年度无政府性基金预算财政拨款收支。</w:t>
      </w:r>
    </w:p>
    <w:p>
      <w:pPr>
        <w:pStyle w:val="16"/>
        <w:keepNext w:val="0"/>
        <w:keepLines w:val="0"/>
        <w:pageBreakBefore w:val="0"/>
        <w:kinsoku/>
        <w:wordWrap/>
        <w:overflowPunct/>
        <w:topLinePunct w:val="0"/>
        <w:autoSpaceDE w:val="0"/>
        <w:autoSpaceDN/>
        <w:bidi w:val="0"/>
        <w:adjustRightInd/>
        <w:spacing w:line="600" w:lineRule="exact"/>
        <w:ind w:firstLine="643"/>
        <w:jc w:val="left"/>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2024年度无国有资本经营预算财政拨款支出。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三、财政拨款“三公”经费情况说明</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（一）“三公”经费支出总体情况说明</w:t>
      </w:r>
    </w:p>
    <w:p>
      <w:pPr>
        <w:pStyle w:val="22"/>
        <w:tabs>
          <w:tab w:val="center" w:pos="4153"/>
          <w:tab w:val="left" w:pos="7275"/>
        </w:tabs>
        <w:spacing w:line="596" w:lineRule="exact"/>
        <w:ind w:left="0" w:leftChars="0" w:firstLine="640" w:firstLineChars="200"/>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2024年度“三公”经费支出共计0万元，较年初预算数无增减</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，较上年支出数无增减。</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（二）“三公”经费分项支出情况</w:t>
      </w:r>
    </w:p>
    <w:p>
      <w:pPr>
        <w:pStyle w:val="22"/>
        <w:tabs>
          <w:tab w:val="center" w:pos="4153"/>
          <w:tab w:val="left" w:pos="7275"/>
        </w:tabs>
        <w:spacing w:line="596" w:lineRule="exact"/>
        <w:ind w:left="0" w:leftChars="0" w:firstLine="640" w:firstLineChars="200"/>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年度本单位因公出国（境）费用0万元，费用支出</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较年初预算数无增减</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较上年支出数无增减</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p>
    <w:p>
      <w:pPr>
        <w:pStyle w:val="22"/>
        <w:tabs>
          <w:tab w:val="center" w:pos="4153"/>
          <w:tab w:val="left" w:pos="7275"/>
        </w:tabs>
        <w:spacing w:line="596" w:lineRule="exact"/>
        <w:ind w:left="0" w:leftChars="0" w:firstLine="640" w:firstLineChars="200"/>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公务用车购置费0万元，费用支出</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较年初预算数无增减</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较上年支出数无增减</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p>
    <w:p>
      <w:pPr>
        <w:pStyle w:val="22"/>
        <w:tabs>
          <w:tab w:val="center" w:pos="4153"/>
          <w:tab w:val="left" w:pos="7275"/>
        </w:tabs>
        <w:spacing w:line="596" w:lineRule="exact"/>
        <w:ind w:left="0" w:leftChars="0" w:firstLine="640" w:firstLineChars="200"/>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公务用车运行维护费0万元，费用支出</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较年初预算数无增减</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较上年支出数无增减</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p>
    <w:p>
      <w:pPr>
        <w:pStyle w:val="22"/>
        <w:tabs>
          <w:tab w:val="center" w:pos="4153"/>
          <w:tab w:val="left" w:pos="7275"/>
        </w:tabs>
        <w:spacing w:line="596" w:lineRule="exact"/>
        <w:ind w:left="0" w:leftChars="0" w:firstLine="640" w:firstLineChars="200"/>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公务接待费0万元，费用支出</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较年初预算数无增减</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较上年支出数无增减</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（三）“三公”经费实物量情况</w:t>
      </w:r>
    </w:p>
    <w:p>
      <w:pPr>
        <w:pStyle w:val="22"/>
        <w:tabs>
          <w:tab w:val="center" w:pos="4153"/>
          <w:tab w:val="left" w:pos="7275"/>
        </w:tabs>
        <w:spacing w:line="596" w:lineRule="exact"/>
        <w:ind w:left="0" w:leftChars="0" w:firstLine="640" w:firstLineChars="200"/>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年度本单位因公出国（境）共计</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个团组，</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人；公务用车购置</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辆，公务车保有量为</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辆；国内公务接待</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批次</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人，其中：国内外事接待</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批次，</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人；国（境）外公务接待</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批次，</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人。</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年本单位人均接待费</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元，车均购置费</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万元，车均维护费</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四、其他需要说明的事项</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（一）财政拨款会议费、培训费和差旅费情况说明</w:t>
      </w:r>
    </w:p>
    <w:p>
      <w:pPr>
        <w:pStyle w:val="22"/>
        <w:tabs>
          <w:tab w:val="center" w:pos="4153"/>
          <w:tab w:val="left" w:pos="7275"/>
        </w:tabs>
        <w:spacing w:line="596" w:lineRule="exact"/>
        <w:ind w:left="0" w:leftChars="0" w:firstLine="640" w:firstLineChars="200"/>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本年度会议费支出</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万元，与2023年度相比，无增减。本年度培训费支出0.01万元，与2023年度相比，减少0.2万元，下降95.2%，主要原因是</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采用灵活培训方式，减少单位内部培训次数</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。本年度差旅费支出</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0</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万元，与2023年度相比，无增减。</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（二）机关运行经费情况说明</w:t>
      </w:r>
    </w:p>
    <w:p>
      <w:pPr>
        <w:pStyle w:val="22"/>
        <w:tabs>
          <w:tab w:val="center" w:pos="4153"/>
          <w:tab w:val="left" w:pos="7275"/>
        </w:tabs>
        <w:spacing w:line="596" w:lineRule="exact"/>
        <w:ind w:left="0" w:leftChars="0" w:firstLine="640" w:firstLineChars="200"/>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按照</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决算列报口径，我</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不在机关运行经费统计范围之内。</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（三）国有资产占用情况说明</w:t>
      </w:r>
    </w:p>
    <w:p>
      <w:pPr>
        <w:pStyle w:val="11"/>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截至2024年12月31日，本</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（四）政府采购支出情况说明</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638" w:leftChars="266" w:firstLine="0" w:firstLineChars="0"/>
        <w:jc w:val="both"/>
        <w:textAlignment w:val="auto"/>
        <w:rPr>
          <w:rFonts w:hint="eastAsia" w:ascii="方正黑体_GBK" w:hAnsi="方正黑体_GBK" w:eastAsia="方正黑体_GBK" w:cs="方正黑体_GBK"/>
          <w:b w:val="0"/>
          <w:bCs w:val="0"/>
          <w:kern w:val="2"/>
          <w:sz w:val="32"/>
          <w:szCs w:val="32"/>
          <w:lang w:val="zh-CN" w:eastAsia="zh-CN" w:bidi="ar-SA"/>
        </w:rPr>
      </w:pP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2024年度我</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单位</w:t>
      </w:r>
      <w:r>
        <w:rPr>
          <w:rStyle w:val="15"/>
          <w:rFonts w:hint="default"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未发生政府采购事项，无相关经费支出</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w:t>
      </w:r>
      <w:r>
        <w:rPr>
          <w:rFonts w:hint="eastAsia" w:ascii="方正黑体_GBK" w:hAnsi="方正黑体_GBK" w:eastAsia="方正黑体_GBK" w:cs="方正黑体_GBK"/>
          <w:b w:val="0"/>
          <w:bCs w:val="0"/>
          <w:kern w:val="2"/>
          <w:sz w:val="32"/>
          <w:szCs w:val="32"/>
          <w:lang w:val="zh-CN" w:eastAsia="zh-CN"/>
        </w:rPr>
        <w:t>五、2024年度预算绩效管理情况说明</w:t>
      </w:r>
    </w:p>
    <w:p>
      <w:pPr>
        <w:pStyle w:val="17"/>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（一）单位自评情况</w:t>
      </w:r>
    </w:p>
    <w:p>
      <w:pPr>
        <w:pStyle w:val="11"/>
        <w:snapToGrid w:val="0"/>
        <w:spacing w:before="0" w:beforeAutospacing="0" w:after="0" w:afterAutospacing="0" w:line="600" w:lineRule="exact"/>
        <w:ind w:firstLine="640" w:firstLineChars="200"/>
        <w:jc w:val="both"/>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根据预算绩效管理要求，我单位对7个二级项目开展了绩效自评，涉及财政拨款项目支出资金</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116.75</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万元。</w:t>
      </w:r>
    </w:p>
    <w:p>
      <w:pPr>
        <w:widowControl w:val="0"/>
        <w:autoSpaceDE w:val="0"/>
        <w:autoSpaceDN w:val="0"/>
        <w:adjustRightInd w:val="0"/>
        <w:spacing w:line="594" w:lineRule="exact"/>
        <w:ind w:firstLine="640" w:firstLineChars="200"/>
        <w:jc w:val="both"/>
        <w:rPr>
          <w:rFonts w:hint="eastAsia"/>
          <w:lang w:val="en-US" w:eastAsia="zh-CN"/>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项目支出绩效自评表1（二级项目）：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8"/>
                <w:szCs w:val="28"/>
              </w:rPr>
              <w:t>202</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“春风行动”专项经费</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50019324T000004379255</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“春风行动”专项经费，完成招聘会2场次以上。</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“春风行动”专项经费，完成招聘会2场次以上。</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开展“春风行动”，完成招聘会两场，促进辖区群众就业，维持社会稳定，民众满意率98%。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完成次数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场次</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完成时间</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月</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12</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完成率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98</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98</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满意率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98</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98</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bl>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p>
    <w:p>
      <w:pPr>
        <w:widowControl w:val="0"/>
        <w:autoSpaceDE w:val="0"/>
        <w:autoSpaceDN w:val="0"/>
        <w:adjustRightInd w:val="0"/>
        <w:spacing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项目支出绩效自评表2（二级项目）：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4"/>
                <w:szCs w:val="24"/>
              </w:rPr>
              <w:t>202</w:t>
            </w:r>
            <w:r>
              <w:rPr>
                <w:rFonts w:hint="eastAsia" w:ascii="方正仿宋_GBK" w:hAnsi="方正仿宋_GBK" w:eastAsia="方正仿宋_GBK" w:cs="方正仿宋_GBK"/>
                <w:b w:val="0"/>
                <w:bCs/>
                <w:color w:val="000000"/>
                <w:sz w:val="24"/>
                <w:szCs w:val="24"/>
                <w:lang w:val="en-US" w:eastAsia="zh-CN"/>
              </w:rPr>
              <w:t>4</w:t>
            </w:r>
            <w:r>
              <w:rPr>
                <w:rFonts w:hint="eastAsia" w:ascii="方正仿宋_GBK" w:hAnsi="方正仿宋_GBK" w:eastAsia="方正仿宋_GBK" w:cs="方正仿宋_GBK"/>
                <w:b w:val="0"/>
                <w:bCs/>
                <w:color w:val="000000"/>
                <w:sz w:val="24"/>
                <w:szCs w:val="24"/>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社会保障服务体系建设</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50019324T000004206083</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1.06</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1.06</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1.06</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方正仿宋_GBK" w:hAnsi="方正仿宋_GBK" w:eastAsia="方正仿宋_GBK" w:cs="方正仿宋_GBK"/>
                <w:b/>
                <w:bCs w:val="0"/>
                <w:color w:val="000000"/>
                <w:sz w:val="18"/>
                <w:szCs w:val="18"/>
                <w:lang w:val="en-US" w:eastAsia="zh-CN"/>
              </w:rPr>
              <w:t>1.06</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1.06</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1.06</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1.06</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1.06</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1.06</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rPr>
              <w:t>开展社保调研、人社培训、医保社保专用设备采购与维修、就业平台、招聘会等工作，服务辖区常住人口2.11万人，促进群众就业，帮助群众解决问题，改善群众生活质量水平，群众满意度达90%以上。</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开展社保调研、人社培训、医保社保专用设备采购与维修、就业平台、招聘会等工作，服务辖区常住人口2.11万人，促进群众就业，帮助群众解决问题，改善群众生活质量水平，群众满意度达90%以上。</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开展社保调研、人社培训、医保社保专用设备采购与维修、就业平台、招聘会等工作，服务辖区常住人口2.11万人，促进群众就业，帮助群众解决问题，改善群众生活质量水平，群众满意度达90%以上。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服务辖区人口数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万人</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2.11</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2.11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工作任务完成率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经费标准控制率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促进辖区就业</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人数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定性</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增长</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群众满意度</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bl>
    <w:p>
      <w:pPr>
        <w:pStyle w:val="17"/>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（二）部门绩效评价情况</w:t>
      </w:r>
    </w:p>
    <w:p>
      <w:pPr>
        <w:pStyle w:val="21"/>
        <w:keepNext w:val="0"/>
        <w:keepLines w:val="0"/>
        <w:pageBreakBefore w:val="0"/>
        <w:kinsoku/>
        <w:wordWrap/>
        <w:overflowPunct/>
        <w:topLinePunct w:val="0"/>
        <w:autoSpaceDE w:val="0"/>
        <w:autoSpaceDN/>
        <w:bidi w:val="0"/>
        <w:adjustRightInd/>
        <w:spacing w:line="600" w:lineRule="exact"/>
        <w:ind w:firstLine="643"/>
        <w:jc w:val="left"/>
        <w:textAlignment w:val="auto"/>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我单位未组织开展绩效评价。</w:t>
      </w:r>
    </w:p>
    <w:p>
      <w:pPr>
        <w:pStyle w:val="21"/>
        <w:keepNext w:val="0"/>
        <w:keepLines w:val="0"/>
        <w:pageBreakBefore w:val="0"/>
        <w:kinsoku/>
        <w:wordWrap/>
        <w:overflowPunct/>
        <w:topLinePunct w:val="0"/>
        <w:autoSpaceDE w:val="0"/>
        <w:autoSpaceDN/>
        <w:bidi w:val="0"/>
        <w:adjustRightInd/>
        <w:spacing w:line="600" w:lineRule="exact"/>
        <w:ind w:firstLine="643"/>
        <w:jc w:val="left"/>
        <w:textAlignment w:val="auto"/>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0"/>
          <w:sz w:val="32"/>
          <w:szCs w:val="32"/>
          <w:lang w:val="zh-CN" w:eastAsia="zh-CN" w:bidi="ar-SA"/>
        </w:rPr>
        <w:t>（三）财政绩效评价情况</w:t>
      </w:r>
    </w:p>
    <w:p>
      <w:pPr>
        <w:widowControl w:val="0"/>
        <w:autoSpaceDE w:val="0"/>
        <w:autoSpaceDN w:val="0"/>
        <w:adjustRightInd w:val="0"/>
        <w:spacing w:line="594" w:lineRule="exact"/>
        <w:ind w:firstLine="640" w:firstLineChars="200"/>
        <w:jc w:val="both"/>
        <w:rPr>
          <w:rFonts w:hint="eastAsia" w:ascii="方正仿宋_GBK" w:hAnsi="方正仿宋_GBK" w:eastAsia="方正仿宋_GBK" w:cs="方正仿宋_GBK"/>
          <w:sz w:val="32"/>
          <w:szCs w:val="32"/>
          <w:highlight w:val="yellow"/>
          <w:shd w:val="clear" w:color="auto" w:fill="FFFFFF"/>
          <w:lang w:eastAsia="zh-CN"/>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重庆高新区财政局未委托第三方对我部门开展绩效评价。</w:t>
      </w:r>
    </w:p>
    <w:p>
      <w:pPr>
        <w:pStyle w:val="17"/>
        <w:keepNext w:val="0"/>
        <w:keepLines w:val="0"/>
        <w:pageBreakBefore w:val="0"/>
        <w:kinsoku/>
        <w:wordWrap/>
        <w:overflowPunct/>
        <w:topLinePunct w:val="0"/>
        <w:autoSpaceDE w:val="0"/>
        <w:autoSpaceDN/>
        <w:bidi w:val="0"/>
        <w:adjustRightInd/>
        <w:spacing w:before="0" w:beforeAutospacing="0" w:after="0" w:afterAutospacing="0" w:line="600" w:lineRule="exact"/>
        <w:jc w:val="left"/>
        <w:textAlignment w:val="auto"/>
        <w:rPr>
          <w:rFonts w:hint="eastAsia" w:ascii="方正黑体_GBK" w:hAnsi="方正黑体_GBK" w:eastAsia="方正黑体_GBK" w:cs="方正黑体_GBK"/>
          <w:b w:val="0"/>
          <w:bCs w:val="0"/>
          <w:kern w:val="2"/>
          <w:sz w:val="32"/>
          <w:szCs w:val="32"/>
          <w:lang w:val="zh-CN" w:eastAsia="zh-CN" w:bidi="ar-SA"/>
        </w:rPr>
      </w:pPr>
      <w:r>
        <w:rPr>
          <w:rStyle w:val="18"/>
          <w:rFonts w:hint="eastAsia" w:ascii="方正仿宋_GBK" w:hAnsi="方正仿宋_GBK" w:eastAsia="方正仿宋_GBK" w:cs="方正仿宋_GBK"/>
          <w:sz w:val="32"/>
          <w:szCs w:val="32"/>
          <w:shd w:val="clear" w:color="auto" w:fill="FFFFFF"/>
        </w:rPr>
        <w:t xml:space="preserve">   </w:t>
      </w:r>
      <w:r>
        <w:rPr>
          <w:rStyle w:val="15"/>
          <w:rFonts w:hint="eastAsia" w:ascii="黑体" w:hAnsi="黑体" w:eastAsia="黑体" w:cs="黑体"/>
          <w:sz w:val="32"/>
          <w:szCs w:val="32"/>
          <w:shd w:val="clear" w:color="auto" w:fill="FFFFFF"/>
        </w:rPr>
        <w:t xml:space="preserve"> </w:t>
      </w:r>
      <w:r>
        <w:rPr>
          <w:rFonts w:hint="eastAsia" w:ascii="方正黑体_GBK" w:hAnsi="方正黑体_GBK" w:eastAsia="方正黑体_GBK" w:cs="方正黑体_GBK"/>
          <w:b w:val="0"/>
          <w:bCs w:val="0"/>
          <w:kern w:val="2"/>
          <w:sz w:val="32"/>
          <w:szCs w:val="32"/>
          <w:lang w:val="zh-CN" w:eastAsia="zh-CN" w:bidi="ar-SA"/>
        </w:rPr>
        <w:t>六、专业名词解释</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（一）财政拨款收入：</w:t>
      </w:r>
      <w:r>
        <w:rPr>
          <w:rFonts w:hint="eastAsia"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取得的经费，以及行政单位收到的财政专户管理资金反映在本项内。</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7"/>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17"/>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bidi="ar-SA"/>
        </w:rPr>
      </w:pPr>
      <w:r>
        <w:rPr>
          <w:rFonts w:hint="eastAsia" w:ascii="方正黑体_GBK" w:hAnsi="方正黑体_GBK" w:eastAsia="方正黑体_GBK" w:cs="方正黑体_GBK"/>
          <w:b w:val="0"/>
          <w:bCs w:val="0"/>
          <w:kern w:val="2"/>
          <w:sz w:val="32"/>
          <w:szCs w:val="32"/>
          <w:lang w:val="zh-CN" w:eastAsia="zh-CN" w:bidi="ar-SA"/>
        </w:rPr>
        <w:t>七、决算公开联系方式及信息反馈渠道</w:t>
      </w:r>
    </w:p>
    <w:p>
      <w:pPr>
        <w:widowControl w:val="0"/>
        <w:autoSpaceDE w:val="0"/>
        <w:autoSpaceDN w:val="0"/>
        <w:adjustRightInd w:val="0"/>
        <w:spacing w:line="594" w:lineRule="exact"/>
        <w:ind w:firstLine="640" w:firstLineChars="200"/>
        <w:jc w:val="both"/>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本单位决算公开信息反馈和联系方式：</w:t>
      </w:r>
      <w:r>
        <w:rPr>
          <w:rStyle w:val="15"/>
          <w:rFonts w:hint="eastAsia" w:ascii="方正仿宋_GBK" w:hAnsi="方正仿宋_GBK" w:eastAsia="方正仿宋_GBK" w:cs="方正仿宋_GBK"/>
          <w:b w:val="0"/>
          <w:bCs/>
          <w:sz w:val="32"/>
          <w:szCs w:val="32"/>
          <w:shd w:val="clear" w:color="auto" w:fill="FFFFFF"/>
          <w:lang w:val="en-US" w:eastAsia="zh-CN"/>
        </w:rPr>
        <w:t>023-65765797</w:t>
      </w:r>
      <w:r>
        <w:rPr>
          <w:rStyle w:val="15"/>
          <w:rFonts w:hint="eastAsia" w:ascii="方正仿宋_GBK" w:hAnsi="方正仿宋_GBK" w:eastAsia="方正仿宋_GBK" w:cs="方正仿宋_GBK"/>
          <w:b w:val="0"/>
          <w:bCs/>
          <w:sz w:val="32"/>
          <w:szCs w:val="32"/>
          <w:shd w:val="clear" w:color="auto" w:fill="FFFFFF"/>
        </w:rPr>
        <w:t>。</w:t>
      </w:r>
    </w:p>
    <w:p>
      <w:pPr>
        <w:pStyle w:val="2"/>
        <w:rPr>
          <w:rStyle w:val="15"/>
          <w:rFonts w:hint="eastAsia" w:ascii="方正仿宋_GBK" w:hAnsi="方正仿宋_GBK" w:eastAsia="方正仿宋_GBK" w:cs="方正仿宋_GBK"/>
          <w:b w:val="0"/>
          <w:bCs/>
          <w:sz w:val="32"/>
          <w:szCs w:val="32"/>
          <w:shd w:val="clear" w:color="auto" w:fill="FFFFFF"/>
        </w:rPr>
      </w:pPr>
    </w:p>
    <w:p>
      <w:pPr>
        <w:pStyle w:val="16"/>
        <w:keepNext w:val="0"/>
        <w:keepLines w:val="0"/>
        <w:pageBreakBefore w:val="0"/>
        <w:kinsoku/>
        <w:wordWrap/>
        <w:overflowPunct/>
        <w:topLinePunct w:val="0"/>
        <w:autoSpaceDE w:val="0"/>
        <w:autoSpaceDN/>
        <w:bidi w:val="0"/>
        <w:adjustRightInd/>
        <w:spacing w:line="600" w:lineRule="exact"/>
        <w:ind w:left="0" w:leftChars="0" w:firstLine="0" w:firstLineChars="0"/>
        <w:jc w:val="left"/>
        <w:textAlignment w:val="auto"/>
        <w:rPr>
          <w:rStyle w:val="15"/>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重庆市九龙坡区石板镇劳动就业和社会保障服务所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重庆市九龙坡区石板镇劳动就业和社会保障服务所</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236.39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236.39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其他民政管理事务支出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重庆市九龙坡区石板镇劳动就业和社会保障服务所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236.39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119.64</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116.75</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112.61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其他民政管理事务支出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其他民政管理事务支出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2"/>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109.51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2"/>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重庆市九龙坡区石板镇劳动就业和社会保障服务所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BEF31DA"/>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AF7D0CF"/>
    <w:rsid w:val="4B0502DF"/>
    <w:rsid w:val="4B135857"/>
    <w:rsid w:val="4B7951CB"/>
    <w:rsid w:val="4B7C315C"/>
    <w:rsid w:val="4CCF773C"/>
    <w:rsid w:val="4DAC4ACA"/>
    <w:rsid w:val="4DBE01D2"/>
    <w:rsid w:val="4EC92552"/>
    <w:rsid w:val="4EFC6D10"/>
    <w:rsid w:val="4F0C6BA3"/>
    <w:rsid w:val="4F10477D"/>
    <w:rsid w:val="4F186D58"/>
    <w:rsid w:val="4F5F78FB"/>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5FDABF8D"/>
    <w:rsid w:val="5FF20FE8"/>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EF8A67"/>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3DE1BCE"/>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BFE6AD"/>
    <w:rsid w:val="7DDDC614"/>
    <w:rsid w:val="7DE94331"/>
    <w:rsid w:val="7F446A19"/>
    <w:rsid w:val="7F504D37"/>
    <w:rsid w:val="7F7452B9"/>
    <w:rsid w:val="7F8401D1"/>
    <w:rsid w:val="7FAC32D7"/>
    <w:rsid w:val="BEFF3F4A"/>
    <w:rsid w:val="BEFF9125"/>
    <w:rsid w:val="BF2F4494"/>
    <w:rsid w:val="CEC199F8"/>
    <w:rsid w:val="D7FFAA87"/>
    <w:rsid w:val="EB9F5472"/>
    <w:rsid w:val="EEFFC38A"/>
    <w:rsid w:val="EFFBB948"/>
    <w:rsid w:val="FFFF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 w:type="paragraph" w:customStyle="1" w:styleId="22">
    <w:name w:val="List Paragraph"/>
    <w:basedOn w:val="1"/>
    <w:qFormat/>
    <w:uiPriority w:val="0"/>
    <w:pPr>
      <w:ind w:firstLine="420" w:firstLineChars="200"/>
    </w:pPr>
    <w:rPr>
      <w:rFonts w:hint="default" w:ascii="仿宋" w:hAnsi="仿宋" w:eastAsia="仿宋"/>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4051</Words>
  <Characters>23092</Characters>
  <Lines>192</Lines>
  <Paragraphs>54</Paragraphs>
  <TotalTime>0</TotalTime>
  <ScaleCrop>false</ScaleCrop>
  <LinksUpToDate>false</LinksUpToDate>
  <CharactersWithSpaces>27089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2025-06-27T23:40:00Z</dcterms:created>
  <dc:creator>Administrator</dc:creator>
  <cp:lastModifiedBy>sbz</cp:lastModifiedBy>
  <dcterms:modified xsi:type="dcterms:W3CDTF">2025-10-17T17:11:04Z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B4C49D72FB24434BA9B48518AE2530C8</vt:lpwstr>
  </property>
</Properties>
</file>