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/>
        <w:jc w:val="center"/>
        <w:textAlignment w:val="auto"/>
        <w:outlineLvl w:val="9"/>
        <w:rPr>
          <w:rFonts w:ascii="方正小标宋_GBK" w:hAnsi="Calibri" w:eastAsia="方正小标宋_GBK" w:cs="宋体"/>
          <w:color w:val="auto"/>
          <w:w w:val="9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/>
        <w:jc w:val="center"/>
        <w:textAlignment w:val="auto"/>
        <w:outlineLvl w:val="9"/>
        <w:rPr>
          <w:rFonts w:ascii="方正小标宋_GBK" w:hAnsi="Calibri" w:eastAsia="方正小标宋_GBK" w:cs="宋体"/>
          <w:color w:val="auto"/>
          <w:w w:val="9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/>
        <w:textAlignment w:val="auto"/>
        <w:outlineLvl w:val="9"/>
        <w:rPr>
          <w:rFonts w:ascii="方正小标宋_GBK" w:hAnsi="Calibri" w:eastAsia="方正小标宋_GBK" w:cs="宋体"/>
          <w:color w:val="auto"/>
          <w:w w:val="9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/>
        <w:textAlignment w:val="auto"/>
        <w:outlineLvl w:val="9"/>
        <w:rPr>
          <w:rFonts w:ascii="方正小标宋_GBK" w:hAnsi="Calibri" w:eastAsia="方正小标宋_GBK" w:cs="宋体"/>
          <w:color w:val="auto"/>
          <w:w w:val="9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/>
        <w:textAlignment w:val="auto"/>
        <w:outlineLvl w:val="9"/>
        <w:rPr>
          <w:rFonts w:ascii="方正小标宋_GBK" w:hAnsi="Calibri" w:eastAsia="方正小标宋_GBK" w:cs="宋体"/>
          <w:color w:val="auto"/>
          <w:w w:val="9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/>
        <w:textAlignment w:val="auto"/>
        <w:outlineLvl w:val="9"/>
        <w:rPr>
          <w:rFonts w:ascii="方正小标宋_GBK" w:hAnsi="Calibri" w:eastAsia="方正小标宋_GBK" w:cs="宋体"/>
          <w:color w:val="auto"/>
          <w:w w:val="9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lef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金凤府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 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22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〕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/>
        <w:textAlignment w:val="auto"/>
        <w:outlineLvl w:val="9"/>
        <w:rPr>
          <w:rFonts w:ascii="方正小标宋_GBK" w:hAnsi="Calibri" w:eastAsia="方正小标宋_GBK" w:cs="宋体"/>
          <w:color w:val="auto"/>
          <w:w w:val="9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/>
        <w:jc w:val="center"/>
        <w:textAlignment w:val="auto"/>
        <w:outlineLvl w:val="9"/>
        <w:rPr>
          <w:rFonts w:ascii="方正小标宋_GBK" w:hAnsi="Calibri" w:eastAsia="方正小标宋_GBK" w:cs="宋体"/>
          <w:color w:val="auto"/>
          <w:w w:val="9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宋体" w:eastAsia="方正小标宋_GBK" w:cs="Times New Roman"/>
          <w:b w:val="0"/>
          <w:bCs w:val="0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b w:val="0"/>
          <w:bCs w:val="0"/>
          <w:color w:val="000000"/>
          <w:kern w:val="32"/>
          <w:sz w:val="44"/>
          <w:szCs w:val="44"/>
          <w:lang w:val="en-US" w:eastAsia="zh-CN" w:bidi="ar-SA"/>
        </w:rPr>
        <w:t>重庆市九龙坡区金凤镇人民政府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宋体" w:eastAsia="方正小标宋_GBK" w:cs="Times New Roman"/>
          <w:b w:val="0"/>
          <w:bCs w:val="0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b w:val="0"/>
          <w:bCs w:val="0"/>
          <w:color w:val="000000"/>
          <w:kern w:val="32"/>
          <w:sz w:val="44"/>
          <w:szCs w:val="44"/>
          <w:lang w:val="en-US" w:eastAsia="zh-CN" w:bidi="ar-SA"/>
        </w:rPr>
        <w:t>关于印发《金凤镇2022年安全生产与自然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宋体" w:eastAsia="方正小标宋_GBK" w:cs="Times New Roman"/>
          <w:b w:val="0"/>
          <w:bCs w:val="0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b w:val="0"/>
          <w:bCs w:val="0"/>
          <w:color w:val="000000"/>
          <w:kern w:val="32"/>
          <w:sz w:val="44"/>
          <w:szCs w:val="44"/>
          <w:lang w:val="en-US" w:eastAsia="zh-CN" w:bidi="ar-SA"/>
        </w:rPr>
        <w:t>灾害防治工作考核办法》的通知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宋体" w:eastAsia="方正小标宋_GBK" w:cs="Times New Roman"/>
          <w:b w:val="0"/>
          <w:bCs w:val="0"/>
          <w:color w:val="000000"/>
          <w:kern w:val="3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各有关部门、各村社区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金凤镇2022年安全生产与自然灾害防治工作考核办法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》印发给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你们，请结合自身工作实际，认真组织实施和贯彻执行。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napToGrid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eastAsia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eastAsia="方正仿宋_GBK"/>
          <w:snapToGrid w:val="0"/>
          <w:kern w:val="0"/>
          <w:sz w:val="32"/>
          <w:szCs w:val="32"/>
          <w:highlight w:val="none"/>
        </w:rPr>
        <w:t xml:space="preserve">         </w:t>
      </w:r>
      <w:r>
        <w:rPr>
          <w:rFonts w:hint="eastAsia" w:eastAsia="方正仿宋_GBK"/>
          <w:snapToGrid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方正仿宋_GBK"/>
          <w:snapToGrid w:val="0"/>
          <w:kern w:val="0"/>
          <w:sz w:val="32"/>
          <w:szCs w:val="32"/>
          <w:highlight w:val="none"/>
        </w:rPr>
        <w:t>重庆市九龙坡区</w:t>
      </w:r>
      <w:r>
        <w:rPr>
          <w:rFonts w:hint="eastAsia" w:eastAsia="方正仿宋_GBK"/>
          <w:snapToGrid w:val="0"/>
          <w:kern w:val="0"/>
          <w:sz w:val="32"/>
          <w:szCs w:val="32"/>
          <w:highlight w:val="none"/>
          <w:lang w:eastAsia="zh-CN"/>
        </w:rPr>
        <w:t>金凤</w:t>
      </w:r>
      <w:r>
        <w:rPr>
          <w:rFonts w:hint="eastAsia" w:eastAsia="方正仿宋_GBK"/>
          <w:snapToGrid w:val="0"/>
          <w:kern w:val="0"/>
          <w:sz w:val="32"/>
          <w:szCs w:val="32"/>
          <w:highlight w:val="none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  <w:highlight w:val="none"/>
        </w:rPr>
        <w:t xml:space="preserve">             2022年</w:t>
      </w:r>
      <w:r>
        <w:rPr>
          <w:rFonts w:hint="eastAsia" w:eastAsia="方正仿宋_GBK"/>
          <w:snapToGrid w:val="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eastAsia="方正仿宋_GBK"/>
          <w:snapToGrid w:val="0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/>
          <w:snapToGrid w:val="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方正仿宋_GBK"/>
          <w:snapToGrid w:val="0"/>
          <w:kern w:val="0"/>
          <w:sz w:val="32"/>
          <w:szCs w:val="32"/>
          <w:highlight w:val="none"/>
        </w:rPr>
        <w:t xml:space="preserve">日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1531" w:gutter="0"/>
          <w:pgNumType w:fmt="decimal" w:start="1"/>
          <w:cols w:space="0" w:num="1"/>
          <w:rtlGutter w:val="0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金凤镇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年安全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生产与自然灾害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防治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工作考核办法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宋体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为落实安全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生产与自然灾害防治工作属地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责任，有效遏制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各类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事故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发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生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，促进全镇安全形势持续向好发展，严防各类安全事故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及自然灾害事故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发生。根据镇政府与各村（社区）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签订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方正仿宋_GBK" w:hAnsi="宋体" w:eastAsia="方正仿宋_GBK" w:cs="Times New Roman"/>
          <w:color w:val="000000"/>
          <w:sz w:val="32"/>
          <w:szCs w:val="32"/>
          <w:lang w:eastAsia="zh-CN"/>
        </w:rPr>
        <w:t>安全生产与自然灾害防治工作目标责任书，制定本办法。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一、考核内容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以《中华人民共和国安全生产法》《消防安全法》《重庆市安全生产条例》《地质灾害防治条例》和国务院《关于重特大安全事故行政责任追究的规定》《建设工程安全生产管理条例》《重庆市村镇规划建设管理条例》《中华人民共和国道路交通安全法》《</w:t>
      </w:r>
      <w:r>
        <w:rPr>
          <w:rFonts w:hint="eastAsia" w:ascii="方正仿宋_GBK" w:hAnsi="宋体" w:eastAsia="方正仿宋_GBK"/>
          <w:color w:val="000000"/>
          <w:sz w:val="32"/>
          <w:szCs w:val="32"/>
          <w:lang w:val="en-US" w:eastAsia="zh-CN"/>
        </w:rPr>
        <w:t>生产安全事故应急条例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》等有关法律法规和政策规定为依据，主要从安全生产、道路交通、消防安全、建筑安全、地质灾害、防汛抗旱、食药品和特种设备安全等方面进行考核。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二、考核对象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各有关部门、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各村（社区）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工作责任目标考核在镇党委领导下，由镇安委会组织实施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扎实贯彻执行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重庆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高新区安全生产与自然灾害防治工作要点要求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镇安委会办公室统筹执行。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各有关部门、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各村（社区）</w:t>
      </w:r>
      <w:r>
        <w:rPr>
          <w:rFonts w:hint="eastAsia" w:ascii="方正仿宋_GBK" w:hAnsi="宋体" w:eastAsia="方正仿宋_GBK"/>
          <w:color w:val="000000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按照今年镇政府确定的安全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生产与自然灾害防治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工作目标和任务抓好落实，对照《考核细则》认真自查自评，并将自评结果报镇安委办。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金凤镇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安全生产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与自然灾害防治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工作目标考核细则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sectPr>
          <w:footerReference r:id="rId4" w:type="default"/>
          <w:pgSz w:w="11906" w:h="16838"/>
          <w:pgMar w:top="2098" w:right="1531" w:bottom="1984" w:left="1531" w:header="851" w:footer="1531" w:gutter="0"/>
          <w:pgNumType w:fmt="decimal"/>
          <w:cols w:space="0" w:num="1"/>
          <w:rtlGutter w:val="0"/>
          <w:docGrid w:type="linesAndChars" w:linePitch="312" w:charSpace="0"/>
        </w:sect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金凤镇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2022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年安全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生产与自然灾害防治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工作目标考核细则</w:t>
      </w:r>
    </w:p>
    <w:p>
      <w:pPr>
        <w:pStyle w:val="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17"/>
        <w:gridCol w:w="6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8"/>
                <w:szCs w:val="28"/>
              </w:rPr>
              <w:t>考核项目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8"/>
                <w:szCs w:val="28"/>
              </w:rPr>
              <w:t>考核标准及要求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安全生产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建立健全安全生产工作目标责任制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1.村（社区）对社（组）实行安全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目标管理，层层落实安全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目标任务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2.落实辖区企业安全生产目标管理责任制，签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订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安全生产目标责任书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3.健全完善辖区企业单位基本情况台账和安全管理工作制度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安全生产工作管理措施和保障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每月至少研究一次安全生产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、防灾减灾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工作，研究解决辖区安全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生产、防灾减灾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突出问题。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2.每季度召开一次安全风险研判分析会，形成风险清单，落实责任和措施。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三轮车两轮车专项整治行动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、严禁燃放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烟花爆竹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高层消防安全整治等安全生产专项工作。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安全生产监督检查和事故隐患治理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针对本辖区安全监管重点，制定年度检查计划，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每月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至少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开展一次安全检查。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.按照属地管理原则，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针对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本辖区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安全监管重点行业领域、重点时段节点开展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日常安全巡查，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巡查范围包括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安全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、道路交通、消防安全、地质灾害、建筑施工、农村危旧房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、人员密集场所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强化辖区新进企业的审查及安全生产经营管理，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消除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新增企业安全隐患，遏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安全生产事故发生。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安全宣传教育和培训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开展“安全生产月”、“道路交通安全”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11.9消防安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全”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防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灾减灾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等相关的群众性教育宣传活动。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应急救援能力建设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结合辖区安全情况，制定事故应急救援处置预案，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成立一支不少于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10人的志愿者队伍，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并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按照应急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预案组织开展相应的应急演练。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事故控制目标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有效遏制亡人责任事故及火灾事故的发生。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道路交通安全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加强辖区乡村道路和交通安全监管，落实辖区路段的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日常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安全巡查，确保辖区各路段道路交通安全防护设施设备、标识标牌完好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；及时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更新辖区驾驶员及车辆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台帐。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消防安全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责任制及基础台帐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0" w:leftChars="0" w:hanging="240" w:hangingChars="100"/>
              <w:jc w:val="both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制定辖区消防安全责任落实制度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，建立基础台账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微型消防站建设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社区微型消防站落实管理制度，明确站内人员及职责，完善物资登记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详细记录好接出警记录；社区高层建筑逐栋确立楼栋长；街道低层小区、农村院落确立楼院宣传大使。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风险研判及消防应急能力建设</w:t>
            </w: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每季度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至少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开展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一次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风险研判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会和不少于一次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的消防应急演练。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地质灾害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每月开展辖区地质灾害危险区域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和安全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隐患巡查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定期开展地质灾害监测。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建筑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每月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开展建筑施工场所安全巡查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农村房屋建设安全日常巡查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及时协调解决安全生产中的重大问题，制止安全生产违法行为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防汛抗旱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和森林防火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6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编制防汛抗旱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和森林防火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应急预案、成立领导小组、应急抢险队伍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期和高温天气进行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安全巡查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每周1次，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雨量较大和防火期压力较大时，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增加巡查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频次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汛期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和森林防火期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值班纪律，严格24小时值班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值守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食药品和特种设备安全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持证率</w:t>
            </w:r>
          </w:p>
        </w:tc>
        <w:tc>
          <w:tcPr>
            <w:tcW w:w="6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方正仿宋_GBK" w:cs="Times New Roman"/>
                <w:color w:val="000000"/>
                <w:sz w:val="24"/>
                <w:szCs w:val="24"/>
                <w:lang w:val="en-US" w:eastAsia="zh-CN"/>
              </w:rPr>
              <w:t>全面掌握辖区内食药品单位情况，建立食药品安全监管台账。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方正仿宋_GBK" w:cs="Times New Roman"/>
                <w:color w:val="000000"/>
                <w:sz w:val="24"/>
                <w:szCs w:val="24"/>
                <w:lang w:val="en-US" w:eastAsia="zh-CN"/>
              </w:rPr>
              <w:t>督促辖区内从事食药品经营户办理食品流通及餐饮服务许可，持证率达到95%以上（含备案登记）。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方正仿宋_GBK" w:cs="Times New Roman"/>
                <w:color w:val="000000"/>
                <w:sz w:val="24"/>
                <w:szCs w:val="24"/>
                <w:lang w:val="en-US" w:eastAsia="zh-CN"/>
              </w:rPr>
              <w:t>从业人员健康证持证率达95%以上。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eastAsia="方正仿宋_GBK" w:cs="Times New Roman"/>
                <w:color w:val="000000"/>
                <w:sz w:val="24"/>
                <w:szCs w:val="24"/>
                <w:lang w:val="en-US" w:eastAsia="zh-CN"/>
              </w:rPr>
              <w:t>农村家宴管理</w:t>
            </w:r>
          </w:p>
        </w:tc>
        <w:tc>
          <w:tcPr>
            <w:tcW w:w="6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方正仿宋_GBK" w:cs="Times New Roman"/>
                <w:color w:val="000000"/>
                <w:sz w:val="24"/>
                <w:szCs w:val="24"/>
                <w:lang w:val="en-US" w:eastAsia="zh-CN"/>
              </w:rPr>
              <w:t>10桌以上农村家宴备案登记率达100%，分别与服务者和办宴席者签订责任书。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eastAsia="方正仿宋_GBK" w:cs="Times New Roman"/>
                <w:color w:val="000000"/>
                <w:sz w:val="24"/>
                <w:szCs w:val="24"/>
                <w:lang w:val="en-US" w:eastAsia="zh-CN"/>
              </w:rPr>
              <w:t>2.每月按时报送家宴报表。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配合检查执法</w:t>
            </w:r>
          </w:p>
        </w:tc>
        <w:tc>
          <w:tcPr>
            <w:tcW w:w="6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积极配合镇市场监管所对辖区内食药品单位开展安全监督检查，查处食药品违法违规案件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小标宋_GBK" w:eastAsia="方正小标宋_GBK"/>
                <w:color w:val="000000"/>
                <w:sz w:val="44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2.对辖区的食药品单位进行随机检查</w:t>
            </w: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每季度检查家数不少于总数的25%。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方正小标宋_GBK" w:eastAsia="方正小标宋_GBK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方正小标宋_GBK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-22" w:firstLine="280" w:firstLineChars="100"/>
        <w:jc w:val="left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重庆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市九龙坡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区金凤镇党政办公室  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pgSz w:w="11906" w:h="16838"/>
      <w:pgMar w:top="2098" w:right="1531" w:bottom="1984" w:left="1531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96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TQ5ODcyNTg2OTgyNDY2ZGU2NGQzM2Y1ZjFjNzMifQ=="/>
  </w:docVars>
  <w:rsids>
    <w:rsidRoot w:val="0BB34DD8"/>
    <w:rsid w:val="014001AC"/>
    <w:rsid w:val="09862E1C"/>
    <w:rsid w:val="0A7B58D0"/>
    <w:rsid w:val="0AC41565"/>
    <w:rsid w:val="0AE778EA"/>
    <w:rsid w:val="0B566E1B"/>
    <w:rsid w:val="0BB34DD8"/>
    <w:rsid w:val="0CD657B7"/>
    <w:rsid w:val="15AC3C0A"/>
    <w:rsid w:val="1BE157A9"/>
    <w:rsid w:val="1CB03FE0"/>
    <w:rsid w:val="21611D4D"/>
    <w:rsid w:val="23261882"/>
    <w:rsid w:val="2A4D466A"/>
    <w:rsid w:val="2B0B4AD7"/>
    <w:rsid w:val="2B1E4D61"/>
    <w:rsid w:val="2C7D1A05"/>
    <w:rsid w:val="2D960FD0"/>
    <w:rsid w:val="30AD2097"/>
    <w:rsid w:val="35414A4E"/>
    <w:rsid w:val="3E9A5940"/>
    <w:rsid w:val="3EDC1E3C"/>
    <w:rsid w:val="3EF40282"/>
    <w:rsid w:val="44366C11"/>
    <w:rsid w:val="4CC36B68"/>
    <w:rsid w:val="4DC53B24"/>
    <w:rsid w:val="4EB55A7E"/>
    <w:rsid w:val="4F4F388F"/>
    <w:rsid w:val="51120CE5"/>
    <w:rsid w:val="51EF46B3"/>
    <w:rsid w:val="52666F88"/>
    <w:rsid w:val="55A0213D"/>
    <w:rsid w:val="55E93AE3"/>
    <w:rsid w:val="56803B9E"/>
    <w:rsid w:val="5939640F"/>
    <w:rsid w:val="5ADF7263"/>
    <w:rsid w:val="64244193"/>
    <w:rsid w:val="66B617C0"/>
    <w:rsid w:val="67753429"/>
    <w:rsid w:val="69E21E00"/>
    <w:rsid w:val="6FDD600F"/>
    <w:rsid w:val="75473464"/>
    <w:rsid w:val="75B92F21"/>
    <w:rsid w:val="77CB0E43"/>
    <w:rsid w:val="78C170A9"/>
    <w:rsid w:val="7AA72E27"/>
    <w:rsid w:val="7D4B4885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Verdana" w:hAnsi="Verdana"/>
      <w:lang w:eastAsia="en-US"/>
    </w:rPr>
  </w:style>
  <w:style w:type="paragraph" w:styleId="4">
    <w:name w:val="Body Text Indent 2"/>
    <w:basedOn w:val="1"/>
    <w:qFormat/>
    <w:uiPriority w:val="0"/>
    <w:pPr>
      <w:ind w:firstLine="717" w:firstLineChars="224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2000</Words>
  <Characters>2065</Characters>
  <Lines>0</Lines>
  <Paragraphs>0</Paragraphs>
  <TotalTime>1</TotalTime>
  <ScaleCrop>false</ScaleCrop>
  <LinksUpToDate>false</LinksUpToDate>
  <CharactersWithSpaces>2109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2022-12-05T03:15:00Z</dcterms:created>
  <dc:creator>Administrator</dc:creator>
  <cp:lastModifiedBy>赵敏</cp:lastModifiedBy>
  <cp:lastPrinted>2022-12-22T02:42:00Z</cp:lastPrinted>
  <dcterms:modified xsi:type="dcterms:W3CDTF">2022-12-29T08:14:16Z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374D4FD4EEDD4F6C87B9BE2AE8C14B4E</vt:lpwstr>
  </property>
</Properties>
</file>