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0B653">
      <w:pPr>
        <w:spacing w:line="600" w:lineRule="exact"/>
        <w:jc w:val="center"/>
        <w:rPr>
          <w:rFonts w:hint="eastAsia" w:ascii="方正小标宋_GBK" w:hAnsi="华文中宋" w:eastAsia="方正小标宋_GBK" w:cs="华文中宋"/>
          <w:color w:val="0D0D0D"/>
          <w:sz w:val="44"/>
          <w:szCs w:val="44"/>
        </w:rPr>
      </w:pPr>
      <w:r>
        <w:rPr>
          <w:rFonts w:hint="eastAsia" w:ascii="方正小标宋_GBK" w:hAnsi="华文中宋" w:eastAsia="方正小标宋_GBK" w:cs="华文中宋"/>
          <w:color w:val="0D0D0D"/>
          <w:sz w:val="44"/>
          <w:szCs w:val="44"/>
        </w:rPr>
        <w:t>金凤镇村居事务服务中心</w:t>
      </w:r>
    </w:p>
    <w:p w14:paraId="376DCB78">
      <w:pPr>
        <w:spacing w:line="600" w:lineRule="exact"/>
        <w:jc w:val="center"/>
        <w:rPr>
          <w:rFonts w:hint="eastAsia" w:ascii="方正小标宋_GBK" w:hAnsi="华文中宋" w:eastAsia="方正小标宋_GBK" w:cs="华文中宋"/>
          <w:color w:val="0D0D0D"/>
          <w:sz w:val="44"/>
          <w:szCs w:val="44"/>
        </w:rPr>
      </w:pPr>
      <w:r>
        <w:rPr>
          <w:rFonts w:hint="eastAsia" w:ascii="方正小标宋_GBK" w:hAnsi="华文中宋" w:eastAsia="方正小标宋_GBK" w:cs="华文中宋"/>
          <w:color w:val="0D0D0D"/>
          <w:sz w:val="44"/>
          <w:szCs w:val="44"/>
        </w:rPr>
        <w:t>2026年部门预算情况说明</w:t>
      </w:r>
    </w:p>
    <w:p w14:paraId="7C045AF4">
      <w:pPr>
        <w:spacing w:line="600" w:lineRule="exact"/>
        <w:jc w:val="center"/>
        <w:rPr>
          <w:rFonts w:ascii="方正小标宋_GBK" w:hAnsi="华文中宋" w:eastAsia="方正小标宋_GBK" w:cs="华文中宋"/>
          <w:color w:val="0D0D0D"/>
          <w:sz w:val="44"/>
          <w:szCs w:val="44"/>
        </w:rPr>
      </w:pPr>
    </w:p>
    <w:p w14:paraId="40CF9853">
      <w:pPr>
        <w:spacing w:line="600" w:lineRule="exact"/>
        <w:ind w:left="640"/>
        <w:rPr>
          <w:rFonts w:ascii="方正黑体_GBK" w:hAnsi="黑体" w:eastAsia="方正黑体_GBK" w:cs="仿宋_GB2312"/>
          <w:color w:val="0D0D0D"/>
        </w:rPr>
      </w:pPr>
      <w:r>
        <w:rPr>
          <w:rFonts w:hint="eastAsia" w:ascii="方正黑体_GBK" w:hAnsi="黑体" w:eastAsia="方正黑体_GBK" w:cs="仿宋_GB2312"/>
          <w:color w:val="0D0D0D"/>
        </w:rPr>
        <w:t>一、单位基本情况</w:t>
      </w:r>
    </w:p>
    <w:p w14:paraId="23B9ADFC">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（一）职能职责</w:t>
      </w:r>
    </w:p>
    <w:p w14:paraId="09933DC1">
      <w:pPr>
        <w:pStyle w:val="6"/>
        <w:tabs>
          <w:tab w:val="center" w:pos="4153"/>
          <w:tab w:val="left" w:pos="7275"/>
        </w:tabs>
        <w:spacing w:line="600" w:lineRule="exact"/>
        <w:ind w:firstLine="640"/>
        <w:jc w:val="left"/>
        <w:rPr>
          <w:rFonts w:ascii="方正仿宋_GBK" w:hAnsi="仿宋_GB2312" w:eastAsia="方正仿宋_GBK" w:cs="仿宋_GB2312"/>
          <w:color w:val="0D0D0D"/>
          <w:sz w:val="32"/>
        </w:rPr>
      </w:pPr>
      <w:r>
        <w:rPr>
          <w:rFonts w:hint="eastAsia" w:ascii="方正仿宋_GBK" w:hAnsi="仿宋_GB2312" w:eastAsia="方正仿宋_GBK" w:cs="仿宋_GB2312"/>
          <w:color w:val="0D0D0D"/>
          <w:sz w:val="32"/>
        </w:rPr>
        <w:t>金凤镇村居事务服务中心的主要职责：负责村镇规划、建设和实施的具体事务性工</w:t>
      </w:r>
      <w:bookmarkStart w:id="0" w:name="_GoBack"/>
      <w:bookmarkEnd w:id="0"/>
      <w:r>
        <w:rPr>
          <w:rFonts w:hint="eastAsia" w:ascii="方正仿宋_GBK" w:hAnsi="仿宋_GB2312" w:eastAsia="方正仿宋_GBK" w:cs="仿宋_GB2312"/>
          <w:color w:val="0D0D0D"/>
          <w:sz w:val="32"/>
        </w:rPr>
        <w:t>作，负责生态环境宣传教育、污染防治、水资源节约保护、环境整治等相关事务性工作，负责市政公用、市容环卫等事务性工作。</w:t>
      </w:r>
    </w:p>
    <w:p w14:paraId="74497EA4">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（二）单位构成：</w:t>
      </w:r>
      <w:r>
        <w:rPr>
          <w:rFonts w:hint="eastAsia" w:ascii="方正仿宋_GBK" w:hAnsi="仿宋_GB2312" w:cs="仿宋_GB2312"/>
        </w:rPr>
        <w:t>是全额拨款事业单位。</w:t>
      </w:r>
    </w:p>
    <w:p w14:paraId="17ED0BD5">
      <w:pPr>
        <w:spacing w:line="600" w:lineRule="exact"/>
        <w:ind w:left="640"/>
        <w:rPr>
          <w:rFonts w:ascii="方正仿宋_GBK" w:hAnsi="黑体" w:cs="仿宋_GB2312"/>
          <w:color w:val="0D0D0D"/>
        </w:rPr>
      </w:pPr>
      <w:r>
        <w:rPr>
          <w:rFonts w:hint="eastAsia" w:ascii="方正黑体_GBK" w:hAnsi="黑体" w:eastAsia="方正黑体_GBK" w:cs="仿宋_GB2312"/>
          <w:color w:val="0D0D0D"/>
        </w:rPr>
        <w:t>二、单位收支总体情况</w:t>
      </w:r>
    </w:p>
    <w:p w14:paraId="5523C92D">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一）收入预算：2026年年初预算数455.49万元，其中：一般公共预算拨款455.49万元，政府性基金预算拨款0万元，国有资本经营预算收入0万元，事业收入0万元，事业单位经营收入0万元，其他收入0万元。收入较2025年增加11.39万元，主要是增加了社保等基本支出及抑尘服务费项目预算11.39万元。</w:t>
      </w:r>
    </w:p>
    <w:p w14:paraId="23D3DDF2">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二）支出预算：2026年年初预算数455.49万元，其中：社会保障和就业支出预算16.33万元，卫生健康支出预算6.4万元，城乡社区支出329.74万元，节能环保支出预算97.18万元，住房保障支出预算5.82万元。支出预算较2025年增加11.39万元，主要是基本支出预算增加4.5万元，项目支出预算增加6.88万元。</w:t>
      </w:r>
    </w:p>
    <w:p w14:paraId="68F257C0">
      <w:pPr>
        <w:spacing w:line="600" w:lineRule="exact"/>
        <w:ind w:left="640"/>
        <w:rPr>
          <w:rFonts w:ascii="方正黑体_GBK" w:hAnsi="黑体" w:eastAsia="方正黑体_GBK" w:cs="仿宋_GB2312"/>
          <w:color w:val="0D0D0D"/>
        </w:rPr>
      </w:pPr>
      <w:r>
        <w:rPr>
          <w:rFonts w:hint="eastAsia" w:ascii="方正黑体_GBK" w:hAnsi="黑体" w:eastAsia="方正黑体_GBK" w:cs="仿宋_GB2312"/>
          <w:color w:val="0D0D0D"/>
        </w:rPr>
        <w:t>三、单位预算情况说明</w:t>
      </w:r>
    </w:p>
    <w:p w14:paraId="683B1DBD">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2026年一般公共预算财政拨款收入455.49万元，一般公共预算财政拨款支出455.49万元，比2025年增加11.39万元。其中：基本支出125.59万元，比2025年增加4.5万元，主要原因保险基数调整等,主要用于保障在职人员工资福利及社会保险缴费等，保障单位正常运转的各项商品服务支出；项目支出329.9万元，比2025年增加6.88万元，主要原因是增加了抑尘服务费项目预算6.88万元，主要用于城乡建设及市政维护等重点工作。</w:t>
      </w:r>
    </w:p>
    <w:p w14:paraId="38E24938">
      <w:pPr>
        <w:spacing w:line="600" w:lineRule="exact"/>
        <w:ind w:firstLine="640" w:firstLineChars="200"/>
        <w:rPr>
          <w:rFonts w:ascii="方正仿宋_GBK" w:hAnsi="仿宋_GB2312" w:cs="仿宋_GB2312"/>
        </w:rPr>
      </w:pPr>
      <w:r>
        <w:rPr>
          <w:rFonts w:hint="eastAsia" w:ascii="方正仿宋_GBK" w:hAnsi="仿宋_GB2312" w:cs="仿宋_GB2312"/>
          <w:color w:val="0D0D0D"/>
        </w:rPr>
        <w:t>村居事务服务中心</w:t>
      </w:r>
      <w:r>
        <w:rPr>
          <w:rFonts w:hint="eastAsia" w:ascii="方正仿宋_GBK" w:hAnsi="仿宋_GB2312" w:cs="仿宋_GB2312"/>
        </w:rPr>
        <w:t>2026年无使用政府性基金预算拨款安排的支出。</w:t>
      </w:r>
    </w:p>
    <w:p w14:paraId="67A002B3">
      <w:pPr>
        <w:spacing w:line="600" w:lineRule="exact"/>
        <w:ind w:left="640"/>
        <w:rPr>
          <w:rFonts w:ascii="方正仿宋_GBK" w:hAnsi="黑体" w:cs="仿宋_GB2312"/>
          <w:color w:val="0D0D0D"/>
        </w:rPr>
      </w:pPr>
      <w:r>
        <w:rPr>
          <w:rFonts w:hint="eastAsia" w:ascii="方正黑体_GBK" w:hAnsi="黑体" w:eastAsia="方正黑体_GBK" w:cs="仿宋_GB2312"/>
          <w:color w:val="0D0D0D"/>
        </w:rPr>
        <w:t>四、“三公”经费情况说明</w:t>
      </w:r>
    </w:p>
    <w:p w14:paraId="698B3028">
      <w:pPr>
        <w:spacing w:line="600" w:lineRule="exact"/>
        <w:ind w:firstLine="600"/>
        <w:rPr>
          <w:rFonts w:ascii="方正黑体_GBK" w:hAnsi="黑体" w:eastAsia="方正黑体_GBK" w:cs="仿宋_GB2312"/>
          <w:color w:val="0D0D0D"/>
        </w:rPr>
      </w:pPr>
      <w:r>
        <w:rPr>
          <w:rFonts w:hint="eastAsia" w:ascii="方正仿宋_GBK" w:hAnsi="仿宋_GB2312" w:cs="仿宋_GB2312"/>
          <w:color w:val="0D0D0D"/>
        </w:rPr>
        <w:t>村居事务服务中心</w:t>
      </w:r>
      <w:r>
        <w:rPr>
          <w:rFonts w:hint="eastAsia" w:ascii="方正仿宋_GBK" w:hAnsi="仿宋_GB2312" w:cs="仿宋_GB2312"/>
        </w:rPr>
        <w:t>2026年无“三公”经费预算。</w:t>
      </w:r>
    </w:p>
    <w:p w14:paraId="421CD05B">
      <w:pPr>
        <w:spacing w:line="600" w:lineRule="exact"/>
        <w:ind w:left="640"/>
        <w:rPr>
          <w:rFonts w:ascii="方正黑体_GBK" w:hAnsi="黑体" w:eastAsia="方正黑体_GBK" w:cs="仿宋_GB2312"/>
          <w:color w:val="0D0D0D"/>
        </w:rPr>
      </w:pPr>
      <w:r>
        <w:rPr>
          <w:rFonts w:hint="eastAsia" w:ascii="方正黑体_GBK" w:hAnsi="黑体" w:eastAsia="方正黑体_GBK" w:cs="仿宋_GB2312"/>
          <w:color w:val="0D0D0D"/>
        </w:rPr>
        <w:t>五、其他重要事项的情况说明</w:t>
      </w:r>
    </w:p>
    <w:p w14:paraId="0E16D484">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（一）我单位不在机关运行经费统计范围之内。</w:t>
      </w:r>
    </w:p>
    <w:p w14:paraId="159FD99C">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（二）政府采购情况。我单位无政府采购预算。</w:t>
      </w:r>
    </w:p>
    <w:p w14:paraId="5D6A0DBB">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（三）绩效目标设置情况。2026年项目支出均实行了绩效目标管理，涉及一般公共预算当年财政拨款455.49万元。</w:t>
      </w:r>
    </w:p>
    <w:p w14:paraId="6B9DFE69">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（四）国有资产占有使用情况。</w:t>
      </w:r>
      <w:r>
        <w:rPr>
          <w:rFonts w:hint="eastAsia" w:ascii="方正仿宋_GBK" w:hAnsi="仿宋_GB2312" w:cs="仿宋_GB2312"/>
          <w:color w:val="0D0D0D"/>
          <w:lang w:eastAsia="zh-CN"/>
        </w:rPr>
        <w:t>截至</w:t>
      </w:r>
      <w:r>
        <w:rPr>
          <w:rFonts w:hint="eastAsia" w:ascii="方正仿宋_GBK" w:hAnsi="仿宋_GB2312" w:cs="仿宋_GB2312"/>
          <w:color w:val="0D0D0D"/>
        </w:rPr>
        <w:t>2025年12月，我单位共有车辆0辆。</w:t>
      </w:r>
    </w:p>
    <w:p w14:paraId="2CA8E73C">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（五）委托业务费情况。2026年委托业务费涉及财拨资金103.74万元，主要用于工程项目的二类费用、抑尘服务、环保监测等支出。</w:t>
      </w:r>
    </w:p>
    <w:p w14:paraId="04ED65E0">
      <w:pPr>
        <w:spacing w:line="600" w:lineRule="exact"/>
        <w:ind w:left="640"/>
        <w:rPr>
          <w:rFonts w:ascii="方正黑体_GBK" w:hAnsi="黑体" w:eastAsia="方正黑体_GBK" w:cs="仿宋_GB2312"/>
          <w:color w:val="0D0D0D"/>
        </w:rPr>
      </w:pPr>
      <w:r>
        <w:rPr>
          <w:rFonts w:hint="eastAsia" w:ascii="方正黑体_GBK" w:hAnsi="黑体" w:eastAsia="方正黑体_GBK" w:cs="仿宋_GB2312"/>
          <w:color w:val="0D0D0D"/>
        </w:rPr>
        <w:t>六、专业性名词解释</w:t>
      </w:r>
    </w:p>
    <w:p w14:paraId="2CEB5E07">
      <w:pPr>
        <w:pStyle w:val="6"/>
        <w:tabs>
          <w:tab w:val="center" w:pos="4153"/>
          <w:tab w:val="left" w:pos="7275"/>
        </w:tabs>
        <w:adjustRightInd w:val="0"/>
        <w:snapToGrid w:val="0"/>
        <w:spacing w:line="600" w:lineRule="exact"/>
        <w:ind w:firstLine="640"/>
        <w:jc w:val="left"/>
        <w:rPr>
          <w:rFonts w:ascii="方正仿宋_GBK" w:eastAsia="方正仿宋_GBK"/>
          <w:color w:val="0D0D0D"/>
          <w:sz w:val="32"/>
          <w:szCs w:val="32"/>
        </w:rPr>
      </w:pPr>
      <w:r>
        <w:rPr>
          <w:rFonts w:hint="eastAsia" w:ascii="方正仿宋_GBK" w:eastAsia="方正仿宋_GBK"/>
          <w:color w:val="0D0D0D"/>
          <w:sz w:val="32"/>
          <w:szCs w:val="32"/>
        </w:rPr>
        <w:t>（一）财政拨款收入：指本年度从本级财政部门取得的财政拨款，包括一般公共预算财政拨款和政府性基金预算财政拨款。</w:t>
      </w:r>
    </w:p>
    <w:p w14:paraId="3D8613EC">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（二）财政专户管理资金收入：指缴入财政专户、实行专项管理的高中以上学费、住宿费、高校委托培养费、函大、电大、夜大及短训班培训费等教育收费。单位根据教育收费标准、学生人数等合理预计。</w:t>
      </w:r>
    </w:p>
    <w:p w14:paraId="4A26CA85">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0A986F72">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（四）上级补助收入：指从主管部门或上级单位取得的财政拨款以外的其他补助收入。单位结合上年度上级补助收入等情况进行预计。</w:t>
      </w:r>
    </w:p>
    <w:p w14:paraId="6FD15187">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0D5038DE">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29217215">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（七）其他收入：指债务收入、投资收益等收入，单位根据情况合理预计，全部编入预算。</w:t>
      </w:r>
    </w:p>
    <w:p w14:paraId="04C637B8">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600C8545">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E1ECC96">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（十）项目支出：指在基本支出之外为完成特定行政任务和事业发展目标所发生的支出。</w:t>
      </w:r>
    </w:p>
    <w:p w14:paraId="5641DAD0">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7AFB55D">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72307E21">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（十三）工资福利支出（支出经济分类科目类级）：反映单位开支的在职职工和编制外长期聘用人员的各类劳动报酬，以及为上述人员缴纳的各项社会保险费等。</w:t>
      </w:r>
    </w:p>
    <w:p w14:paraId="086459CB">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（十四）商品和服务支出（支出经济分类科目类级）：反映单位购买商品和服务的支出（不包括用于购置固定资产的支出、战略性和应急储备支出）。</w:t>
      </w:r>
    </w:p>
    <w:p w14:paraId="260715C7">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（十五）对个人和家庭的补助（支出经济分类科目类级）：反映用于对个人和家庭的补助支出。</w:t>
      </w:r>
    </w:p>
    <w:p w14:paraId="25991FDA">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4C66CFC1">
      <w:pPr>
        <w:tabs>
          <w:tab w:val="center" w:pos="4153"/>
          <w:tab w:val="left" w:pos="7275"/>
        </w:tabs>
        <w:spacing w:line="600" w:lineRule="exact"/>
        <w:jc w:val="left"/>
        <w:rPr>
          <w:rFonts w:ascii="方正仿宋_GBK"/>
          <w:color w:val="0D0D0D"/>
          <w:szCs w:val="32"/>
        </w:rPr>
      </w:pPr>
    </w:p>
    <w:p w14:paraId="3C69C84E">
      <w:pPr>
        <w:spacing w:line="600" w:lineRule="exact"/>
        <w:rPr>
          <w:rFonts w:ascii="方正仿宋_GBK"/>
          <w:color w:val="0D0D0D"/>
        </w:rPr>
      </w:pPr>
      <w:r>
        <w:rPr>
          <w:rFonts w:hint="eastAsia" w:ascii="方正仿宋_GBK" w:hAnsi="仿宋_GB2312" w:cs="仿宋_GB2312"/>
          <w:color w:val="0D0D0D"/>
        </w:rPr>
        <w:t>单位预算公开联系人：肖洒洒，联系方式：</w:t>
      </w:r>
      <w:r>
        <w:rPr>
          <w:rFonts w:hint="eastAsia" w:ascii="方正仿宋_GBK"/>
        </w:rPr>
        <w:t>023-65740214</w:t>
      </w:r>
    </w:p>
    <w:p w14:paraId="61E07201">
      <w:pPr>
        <w:ind w:firstLine="640" w:firstLineChars="200"/>
        <w:rPr>
          <w:rFonts w:ascii="方正仿宋_GBK"/>
          <w:color w:val="0D0D0D"/>
        </w:rPr>
      </w:pPr>
    </w:p>
    <w:p w14:paraId="5AD6D7FA"/>
    <w:sectPr>
      <w:footerReference r:id="rId3" w:type="default"/>
      <w:footerReference r:id="rId4" w:type="even"/>
      <w:pgSz w:w="11906" w:h="16838"/>
      <w:pgMar w:top="2098" w:right="1531" w:bottom="1701" w:left="1531" w:header="851" w:footer="1474" w:gutter="0"/>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A0A34B-2F8D-4532-AD2D-146E7847FA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2" w:fontKey="{11765858-793E-4645-AF76-1E7A46F52C02}"/>
  </w:font>
  <w:font w:name="仿宋">
    <w:panose1 w:val="02010609060101010101"/>
    <w:charset w:val="86"/>
    <w:family w:val="modern"/>
    <w:pitch w:val="default"/>
    <w:sig w:usb0="800002BF" w:usb1="38CF7CFA" w:usb2="00000016" w:usb3="00000000" w:csb0="00040001" w:csb1="00000000"/>
    <w:embedRegular r:id="rId3" w:fontKey="{7553D32B-05CB-42C2-85AA-2546AB8CE6C4}"/>
  </w:font>
  <w:font w:name="方正小标宋_GBK">
    <w:panose1 w:val="02000000000000000000"/>
    <w:charset w:val="86"/>
    <w:family w:val="script"/>
    <w:pitch w:val="default"/>
    <w:sig w:usb0="A00002BF" w:usb1="38CF7CFA" w:usb2="00082016" w:usb3="00000000" w:csb0="00040001" w:csb1="00000000"/>
    <w:embedRegular r:id="rId4" w:fontKey="{66929A60-B2AE-46DC-822B-8916C706B2BD}"/>
  </w:font>
  <w:font w:name="华文中宋">
    <w:altName w:val="宋体"/>
    <w:panose1 w:val="02010600040101010101"/>
    <w:charset w:val="86"/>
    <w:family w:val="auto"/>
    <w:pitch w:val="default"/>
    <w:sig w:usb0="00000000" w:usb1="00000000" w:usb2="00000000" w:usb3="00000000" w:csb0="0004009F" w:csb1="DFD70000"/>
    <w:embedRegular r:id="rId5" w:fontKey="{DA51D4EB-BBD7-41AF-A19C-75B8E1992C5F}"/>
  </w:font>
  <w:font w:name="方正黑体_GBK">
    <w:panose1 w:val="02010600010101010101"/>
    <w:charset w:val="86"/>
    <w:family w:val="script"/>
    <w:pitch w:val="default"/>
    <w:sig w:usb0="00000001" w:usb1="080E0000" w:usb2="00000000" w:usb3="00000000" w:csb0="00040000" w:csb1="00000000"/>
    <w:embedRegular r:id="rId6" w:fontKey="{2C7EC873-D76A-4531-99D0-D8F15BEC4D18}"/>
  </w:font>
  <w:font w:name="仿宋_GB2312">
    <w:altName w:val="仿宋"/>
    <w:panose1 w:val="00000000000000000000"/>
    <w:charset w:val="86"/>
    <w:family w:val="modern"/>
    <w:pitch w:val="default"/>
    <w:sig w:usb0="00000000" w:usb1="00000000" w:usb2="00000000" w:usb3="00000000" w:csb0="00040000" w:csb1="00000000"/>
    <w:embedRegular r:id="rId7" w:fontKey="{87FF010E-682D-4505-93C6-DDE0059230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A6AE9">
    <w:pPr>
      <w:pStyle w:val="2"/>
      <w:framePr w:wrap="around" w:vAnchor="text" w:hAnchor="margin" w:xAlign="outside" w:y="1"/>
      <w:ind w:right="320" w:rightChars="100"/>
      <w:rPr>
        <w:rStyle w:val="5"/>
        <w:rFonts w:ascii="宋体" w:hAnsi="宋体" w:eastAsia="宋体"/>
        <w:sz w:val="28"/>
        <w:szCs w:val="28"/>
      </w:rPr>
    </w:pPr>
    <w:r>
      <w:rPr>
        <w:rStyle w:val="5"/>
        <w:rFonts w:hint="eastAsia" w:ascii="宋体" w:hAnsi="宋体" w:eastAsia="宋体"/>
        <w:sz w:val="28"/>
        <w:szCs w:val="28"/>
      </w:rPr>
      <w:t xml:space="preserve">— </w:t>
    </w:r>
    <w:r>
      <w:rPr>
        <w:rStyle w:val="5"/>
        <w:rFonts w:eastAsia="宋体"/>
        <w:sz w:val="28"/>
        <w:szCs w:val="28"/>
      </w:rPr>
      <w:fldChar w:fldCharType="begin"/>
    </w:r>
    <w:r>
      <w:rPr>
        <w:rStyle w:val="5"/>
        <w:rFonts w:eastAsia="宋体"/>
        <w:sz w:val="28"/>
        <w:szCs w:val="28"/>
      </w:rPr>
      <w:instrText xml:space="preserve">PAGE  </w:instrText>
    </w:r>
    <w:r>
      <w:rPr>
        <w:rStyle w:val="5"/>
        <w:rFonts w:eastAsia="宋体"/>
        <w:sz w:val="28"/>
        <w:szCs w:val="28"/>
      </w:rPr>
      <w:fldChar w:fldCharType="separate"/>
    </w:r>
    <w:r>
      <w:rPr>
        <w:rStyle w:val="5"/>
        <w:rFonts w:eastAsia="宋体"/>
        <w:sz w:val="28"/>
        <w:szCs w:val="28"/>
      </w:rPr>
      <w:t>6</w:t>
    </w:r>
    <w:r>
      <w:rPr>
        <w:rStyle w:val="5"/>
        <w:rFonts w:eastAsia="宋体"/>
        <w:sz w:val="28"/>
        <w:szCs w:val="28"/>
      </w:rPr>
      <w:fldChar w:fldCharType="end"/>
    </w:r>
    <w:r>
      <w:rPr>
        <w:rStyle w:val="5"/>
        <w:rFonts w:hint="eastAsia" w:ascii="宋体" w:hAnsi="宋体" w:eastAsia="宋体"/>
        <w:sz w:val="28"/>
        <w:szCs w:val="28"/>
      </w:rPr>
      <w:t xml:space="preserve"> —</w:t>
    </w:r>
  </w:p>
  <w:p w14:paraId="040E6F43">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EDD3A">
    <w:pPr>
      <w:pStyle w:val="2"/>
      <w:framePr w:wrap="around" w:vAnchor="text" w:hAnchor="margin" w:xAlign="outside" w:y="1"/>
      <w:ind w:left="320" w:leftChars="100"/>
      <w:rPr>
        <w:rStyle w:val="5"/>
        <w:rFonts w:ascii="宋体" w:hAnsi="宋体" w:eastAsia="宋体"/>
        <w:sz w:val="28"/>
        <w:szCs w:val="28"/>
      </w:rPr>
    </w:pPr>
    <w:r>
      <w:rPr>
        <w:rStyle w:val="5"/>
        <w:rFonts w:hint="eastAsia" w:ascii="宋体" w:hAnsi="宋体" w:eastAsia="宋体"/>
        <w:sz w:val="28"/>
        <w:szCs w:val="28"/>
      </w:rPr>
      <w:t xml:space="preserve">— </w:t>
    </w:r>
    <w:r>
      <w:rPr>
        <w:rStyle w:val="5"/>
        <w:rFonts w:ascii="宋体" w:hAnsi="宋体" w:eastAsia="宋体"/>
        <w:sz w:val="28"/>
        <w:szCs w:val="28"/>
      </w:rPr>
      <w:fldChar w:fldCharType="begin"/>
    </w:r>
    <w:r>
      <w:rPr>
        <w:rStyle w:val="5"/>
        <w:rFonts w:ascii="宋体" w:hAnsi="宋体" w:eastAsia="宋体"/>
        <w:sz w:val="28"/>
        <w:szCs w:val="28"/>
      </w:rPr>
      <w:instrText xml:space="preserve">PAGE  </w:instrText>
    </w:r>
    <w:r>
      <w:rPr>
        <w:rStyle w:val="5"/>
        <w:rFonts w:ascii="宋体" w:hAnsi="宋体" w:eastAsia="宋体"/>
        <w:sz w:val="28"/>
        <w:szCs w:val="28"/>
      </w:rPr>
      <w:fldChar w:fldCharType="separate"/>
    </w:r>
    <w:r>
      <w:rPr>
        <w:rStyle w:val="5"/>
        <w:rFonts w:ascii="宋体" w:hAnsi="宋体" w:eastAsia="宋体"/>
        <w:sz w:val="28"/>
        <w:szCs w:val="28"/>
      </w:rPr>
      <w:t>10</w:t>
    </w:r>
    <w:r>
      <w:rPr>
        <w:rStyle w:val="5"/>
        <w:rFonts w:ascii="宋体" w:hAnsi="宋体" w:eastAsia="宋体"/>
        <w:sz w:val="28"/>
        <w:szCs w:val="28"/>
      </w:rPr>
      <w:fldChar w:fldCharType="end"/>
    </w:r>
    <w:r>
      <w:rPr>
        <w:rStyle w:val="5"/>
        <w:rFonts w:hint="eastAsia" w:ascii="宋体" w:hAnsi="宋体" w:eastAsia="宋体"/>
        <w:sz w:val="28"/>
        <w:szCs w:val="28"/>
      </w:rPr>
      <w:t xml:space="preserve"> —</w:t>
    </w:r>
  </w:p>
  <w:p w14:paraId="43054519">
    <w:pPr>
      <w:pStyle w:val="2"/>
      <w:framePr w:wrap="around" w:vAnchor="text" w:hAnchor="margin" w:xAlign="outside" w:y="1"/>
      <w:ind w:left="640" w:leftChars="200" w:right="640" w:rightChars="200" w:firstLine="360"/>
      <w:rPr>
        <w:rStyle w:val="5"/>
        <w:rFonts w:ascii="宋体" w:hAnsi="宋体" w:eastAsia="宋体"/>
        <w:sz w:val="28"/>
        <w:szCs w:val="28"/>
      </w:rPr>
    </w:pPr>
  </w:p>
  <w:p w14:paraId="12AB90F9">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90F61"/>
    <w:rsid w:val="00141A26"/>
    <w:rsid w:val="003A6B41"/>
    <w:rsid w:val="00535581"/>
    <w:rsid w:val="005D3983"/>
    <w:rsid w:val="006D0CFA"/>
    <w:rsid w:val="00826BEF"/>
    <w:rsid w:val="00827DDB"/>
    <w:rsid w:val="00862B3B"/>
    <w:rsid w:val="00947BE2"/>
    <w:rsid w:val="00DA32AB"/>
    <w:rsid w:val="082D2502"/>
    <w:rsid w:val="191C4D06"/>
    <w:rsid w:val="1BD66A7F"/>
    <w:rsid w:val="26FD3E39"/>
    <w:rsid w:val="3A032FB9"/>
    <w:rsid w:val="3FFF9494"/>
    <w:rsid w:val="4F542757"/>
    <w:rsid w:val="51B12BAF"/>
    <w:rsid w:val="69990F61"/>
    <w:rsid w:val="6DB7B58B"/>
    <w:rsid w:val="6DE14DF6"/>
    <w:rsid w:val="72AFA397"/>
    <w:rsid w:val="747E5782"/>
    <w:rsid w:val="7B3E3AC2"/>
    <w:rsid w:val="7E65374F"/>
    <w:rsid w:val="7E95795E"/>
    <w:rsid w:val="A76E7094"/>
    <w:rsid w:val="AEDD6238"/>
    <w:rsid w:val="BE4ED28D"/>
    <w:rsid w:val="DADE46D3"/>
    <w:rsid w:val="F1774C39"/>
    <w:rsid w:val="F6D7E4BF"/>
    <w:rsid w:val="FEF2A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qFormat/>
    <w:uiPriority w:val="0"/>
  </w:style>
  <w:style w:type="paragraph" w:styleId="6">
    <w:name w:val="List Paragraph"/>
    <w:basedOn w:val="1"/>
    <w:qFormat/>
    <w:uiPriority w:val="34"/>
    <w:pPr>
      <w:ind w:firstLine="420" w:firstLineChars="200"/>
    </w:pPr>
    <w:rPr>
      <w:rFonts w:ascii="仿宋" w:hAnsi="仿宋" w:eastAsia="仿宋"/>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2392</Words>
  <Characters>2537</Characters>
  <Lines>18</Lines>
  <Paragraphs>5</Paragraphs>
  <TotalTime>3</TotalTime>
  <ScaleCrop>false</ScaleCrop>
  <LinksUpToDate>false</LinksUpToDate>
  <CharactersWithSpaces>2537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2025-03-31T20:09:00Z</dcterms:created>
  <dc:creator>Administrator</dc:creator>
  <cp:lastModifiedBy>silence</cp:lastModifiedBy>
  <dcterms:modified xsi:type="dcterms:W3CDTF">2026-07-07T03:01:39Z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4EBDFBB4DB01B829219CC3694B900928_43</vt:lpwstr>
  </property>
  <property fmtid="{D5CDD505-2E9C-101B-9397-08002B2CF9AE}" pid="4" name="KSOTemplateDocerSaveRecord">
    <vt:lpwstr>eyJoZGlkIjoiZjRmYWUxOWJhMWE5OGFmZGQyNzA0NjBkZTNhOGRjMDEiLCJ1c2VySWQiOiIyNDg4ODMzNzUifQ==</vt:lpwstr>
  </property>
</Properties>
</file>