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31ABA">
      <w:pPr>
        <w:spacing w:line="600" w:lineRule="exact"/>
        <w:jc w:val="center"/>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金凤镇产业发展服务中心</w:t>
      </w:r>
    </w:p>
    <w:p w14:paraId="4C1CE92D">
      <w:pPr>
        <w:spacing w:line="600" w:lineRule="exact"/>
        <w:jc w:val="center"/>
        <w:rPr>
          <w:rFonts w:hint="eastAsia" w:ascii="方正小标宋_GBK" w:hAnsi="方正小标宋_GBK" w:eastAsia="方正小标宋_GBK" w:cs="方正小标宋_GBK"/>
          <w:color w:val="0D0D0D"/>
          <w:sz w:val="44"/>
          <w:szCs w:val="44"/>
        </w:rPr>
      </w:pPr>
      <w:r>
        <w:rPr>
          <w:rFonts w:hint="eastAsia" w:ascii="方正小标宋_GBK" w:hAnsi="方正小标宋_GBK" w:eastAsia="方正小标宋_GBK" w:cs="方正小标宋_GBK"/>
          <w:color w:val="0D0D0D"/>
          <w:sz w:val="44"/>
          <w:szCs w:val="44"/>
        </w:rPr>
        <w:t>2026年单位预算情况说明</w:t>
      </w:r>
    </w:p>
    <w:p w14:paraId="28DF1803">
      <w:pPr>
        <w:spacing w:line="600" w:lineRule="exact"/>
        <w:jc w:val="center"/>
        <w:rPr>
          <w:rFonts w:ascii="方正小标宋_GBK" w:hAnsi="方正小标宋_GBK" w:eastAsia="方正小标宋_GBK" w:cs="方正小标宋_GBK"/>
          <w:color w:val="0D0D0D"/>
          <w:sz w:val="44"/>
          <w:szCs w:val="44"/>
        </w:rPr>
      </w:pPr>
    </w:p>
    <w:p w14:paraId="44A7EBF6">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21D4346C">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（一）职能职责</w:t>
      </w:r>
    </w:p>
    <w:p w14:paraId="001C5EBE">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金凤镇产业发展服务中心的主要职责：负责产业规划，产业的招引、培育、落地、</w:t>
      </w:r>
      <w:bookmarkStart w:id="0" w:name="_GoBack"/>
      <w:bookmarkEnd w:id="0"/>
      <w:r>
        <w:rPr>
          <w:rFonts w:hint="eastAsia" w:ascii="方正仿宋_GBK" w:hAnsi="仿宋_GB2312" w:cs="仿宋_GB2312"/>
          <w:color w:val="0D0D0D"/>
        </w:rPr>
        <w:t>技术支持等产业发展全链条服务性工作，协助推进重大项目建设等工作。</w:t>
      </w:r>
    </w:p>
    <w:p w14:paraId="5A4A4BE2">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（二）单位构成：</w:t>
      </w:r>
      <w:r>
        <w:rPr>
          <w:rFonts w:hint="eastAsia" w:ascii="方正仿宋_GBK" w:hAnsi="仿宋_GB2312" w:cs="仿宋_GB2312"/>
        </w:rPr>
        <w:t>是全额拨款事业单位。</w:t>
      </w:r>
    </w:p>
    <w:p w14:paraId="18C22723">
      <w:pPr>
        <w:spacing w:line="600" w:lineRule="exact"/>
        <w:ind w:left="640"/>
        <w:rPr>
          <w:rFonts w:ascii="方正仿宋_GBK" w:hAnsi="黑体" w:cs="仿宋_GB2312"/>
          <w:color w:val="0D0D0D"/>
        </w:rPr>
      </w:pPr>
      <w:r>
        <w:rPr>
          <w:rFonts w:hint="eastAsia" w:ascii="方正黑体_GBK" w:hAnsi="黑体" w:eastAsia="方正黑体_GBK" w:cs="仿宋_GB2312"/>
          <w:color w:val="0D0D0D"/>
        </w:rPr>
        <w:t>二、单位收支总体情况</w:t>
      </w:r>
    </w:p>
    <w:p w14:paraId="3AF63C8B">
      <w:pPr>
        <w:spacing w:line="600" w:lineRule="exact"/>
        <w:ind w:firstLine="640" w:firstLineChars="200"/>
        <w:rPr>
          <w:rFonts w:ascii="方正仿宋_GBK" w:hAnsi="仿宋_GB2312" w:cs="仿宋_GB2312"/>
          <w:color w:val="C00000"/>
        </w:rPr>
      </w:pPr>
      <w:r>
        <w:rPr>
          <w:rFonts w:hint="eastAsia" w:ascii="方正仿宋_GBK" w:hAnsi="仿宋_GB2312" w:cs="仿宋_GB2312"/>
          <w:color w:val="0D0D0D"/>
        </w:rPr>
        <w:t>（一）收入预算：2026年年初预算数248.78万元，其中：一般公共预算拨款248.78万元，政府性基金预算拨款0万元，国有资本经营预算收入0万元，事业收入0万元，事业单位经营收入0万元，其他收入0万元。较</w:t>
      </w:r>
      <w:r>
        <w:rPr>
          <w:rFonts w:hint="eastAsia" w:ascii="方正仿宋_GBK" w:hAnsi="仿宋_GB2312" w:cs="仿宋_GB2312"/>
        </w:rPr>
        <w:t>2025年增加32.54万元，主要原因是购买1辆公务用车及增人增资等。</w:t>
      </w:r>
    </w:p>
    <w:p w14:paraId="6FEED5CD">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2026年年初预算数248.78万元，其中：一般公共服务支出预算131.59万元，社会保障和就业支出预算44.5万元，卫生健康支出预算7.05万元，农林水支出预算27.4万元，住房保障支出预算6.23万元，灾害防治及应急管理支出预算32万元。支出预算较2025年</w:t>
      </w:r>
      <w:r>
        <w:rPr>
          <w:rFonts w:hint="eastAsia" w:ascii="方正仿宋_GBK" w:hAnsi="仿宋_GB2312" w:cs="仿宋_GB2312"/>
        </w:rPr>
        <w:t>增加32.54</w:t>
      </w:r>
      <w:r>
        <w:rPr>
          <w:rFonts w:hint="eastAsia" w:ascii="方正仿宋_GBK" w:hAnsi="仿宋_GB2312" w:cs="仿宋_GB2312"/>
          <w:color w:val="0D0D0D"/>
        </w:rPr>
        <w:t>万元，主要是基本支出预算增加43.44万元，项目支出预算减少10.9万元。</w:t>
      </w:r>
    </w:p>
    <w:p w14:paraId="1136B72E">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三、单位预算情况说明</w:t>
      </w:r>
    </w:p>
    <w:p w14:paraId="09F6C78B">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2026年一般公共预算财政拨款收入248.78万元，一般公共预算财政拨款支出248.78万元，比</w:t>
      </w:r>
      <w:r>
        <w:rPr>
          <w:rFonts w:hint="eastAsia" w:ascii="方正仿宋_GBK" w:hAnsi="仿宋_GB2312" w:cs="仿宋_GB2312"/>
        </w:rPr>
        <w:t>2025年增加32.54万元。</w:t>
      </w:r>
      <w:r>
        <w:rPr>
          <w:rFonts w:hint="eastAsia" w:ascii="方正仿宋_GBK" w:hAnsi="仿宋_GB2312" w:cs="仿宋_GB2312"/>
          <w:color w:val="0D0D0D"/>
        </w:rPr>
        <w:t>其中：基本支出189.38万元，比2025年增加43.44万元，主要原因是</w:t>
      </w:r>
      <w:r>
        <w:rPr>
          <w:rFonts w:hint="eastAsia" w:ascii="方正仿宋_GBK" w:hAnsi="仿宋_GB2312" w:cs="仿宋_GB2312"/>
        </w:rPr>
        <w:t>购买1辆公务用车及增人增资</w:t>
      </w:r>
      <w:r>
        <w:rPr>
          <w:rFonts w:hint="eastAsia" w:ascii="方正仿宋_GBK" w:hAnsi="仿宋_GB2312" w:cs="仿宋_GB2312"/>
          <w:color w:val="0D0D0D"/>
        </w:rPr>
        <w:t>等，主要用于在职人员工资福利及社会保险缴费，退休人员补助等，保障单位正常运转的各项商品服务支出；项目支出59.4万元，比2025年减少10.9万元，主要原因是</w:t>
      </w:r>
      <w:r>
        <w:rPr>
          <w:rFonts w:hint="eastAsia" w:ascii="方正仿宋_GBK" w:hAnsi="仿宋_GB2312" w:cs="仿宋_GB2312"/>
        </w:rPr>
        <w:t>落实过紧日子要求，压缩预算</w:t>
      </w:r>
      <w:r>
        <w:rPr>
          <w:rFonts w:hint="eastAsia" w:ascii="方正仿宋_GBK" w:hAnsi="仿宋_GB2312" w:cs="仿宋_GB2312"/>
          <w:color w:val="0D0D0D"/>
        </w:rPr>
        <w:t>等，主要用于乡村振兴等重点工作。</w:t>
      </w:r>
    </w:p>
    <w:p w14:paraId="0C36A9CE">
      <w:pPr>
        <w:spacing w:line="600" w:lineRule="exact"/>
        <w:ind w:firstLine="640" w:firstLineChars="200"/>
        <w:rPr>
          <w:rFonts w:ascii="方正仿宋_GBK" w:hAnsi="仿宋_GB2312" w:cs="仿宋_GB2312"/>
        </w:rPr>
      </w:pPr>
      <w:r>
        <w:rPr>
          <w:rFonts w:hint="eastAsia" w:ascii="方正仿宋_GBK" w:hAnsi="仿宋_GB2312" w:cs="仿宋_GB2312"/>
          <w:color w:val="0D0D0D"/>
        </w:rPr>
        <w:t>产业发展服务中心</w:t>
      </w:r>
      <w:r>
        <w:rPr>
          <w:rFonts w:hint="eastAsia" w:ascii="方正仿宋_GBK" w:hAnsi="仿宋_GB2312" w:cs="仿宋_GB2312"/>
        </w:rPr>
        <w:t>2026年无使用政府性基金预算拨款安排的支出。</w:t>
      </w:r>
    </w:p>
    <w:p w14:paraId="2212A35D">
      <w:pPr>
        <w:spacing w:line="600" w:lineRule="exact"/>
        <w:ind w:left="640"/>
        <w:rPr>
          <w:rFonts w:ascii="方正仿宋_GBK" w:hAnsi="黑体" w:cs="仿宋_GB2312"/>
          <w:color w:val="0D0D0D"/>
        </w:rPr>
      </w:pPr>
      <w:r>
        <w:rPr>
          <w:rFonts w:hint="eastAsia" w:ascii="方正黑体_GBK" w:hAnsi="黑体" w:eastAsia="方正黑体_GBK" w:cs="仿宋_GB2312"/>
          <w:color w:val="0D0D0D"/>
        </w:rPr>
        <w:t>四、“三公”经费情况说明</w:t>
      </w:r>
    </w:p>
    <w:p w14:paraId="58140A34">
      <w:pPr>
        <w:adjustRightInd w:val="0"/>
        <w:snapToGrid w:val="0"/>
        <w:spacing w:line="600" w:lineRule="exact"/>
        <w:ind w:firstLine="600"/>
        <w:rPr>
          <w:rFonts w:ascii="方正仿宋_GBK" w:hAnsi="仿宋_GB2312" w:cs="仿宋_GB2312"/>
          <w:color w:val="0D0D0D"/>
        </w:rPr>
      </w:pPr>
      <w:r>
        <w:rPr>
          <w:rFonts w:hint="eastAsia" w:ascii="方正仿宋_GBK" w:hAnsi="仿宋_GB2312" w:cs="仿宋_GB2312"/>
          <w:color w:val="0D0D0D"/>
        </w:rPr>
        <w:t>2026年“三公”经费预算22.5万元，比2025年增加18万元。其中：因公出国（境）费用0万元，</w:t>
      </w:r>
      <w:r>
        <w:rPr>
          <w:rFonts w:hint="eastAsia" w:ascii="方正仿宋_GBK" w:hAnsi="仿宋_GB2312" w:cs="仿宋_GB2312"/>
        </w:rPr>
        <w:t>与2025年预算持平</w:t>
      </w:r>
      <w:r>
        <w:rPr>
          <w:rFonts w:hint="eastAsia" w:ascii="方正仿宋_GBK" w:hAnsi="仿宋_GB2312" w:cs="仿宋_GB2312"/>
          <w:color w:val="0D0D0D"/>
        </w:rPr>
        <w:t>；公务接待费0万元，</w:t>
      </w:r>
      <w:r>
        <w:rPr>
          <w:rFonts w:hint="eastAsia" w:ascii="方正仿宋_GBK" w:hAnsi="仿宋_GB2312" w:cs="仿宋_GB2312"/>
        </w:rPr>
        <w:t>与2025年预算持平</w:t>
      </w:r>
      <w:r>
        <w:rPr>
          <w:rFonts w:hint="eastAsia" w:ascii="方正仿宋_GBK" w:hAnsi="仿宋_GB2312" w:cs="仿宋_GB2312"/>
          <w:color w:val="0D0D0D"/>
        </w:rPr>
        <w:t>；公务用车运行维护费4.5万元，</w:t>
      </w:r>
      <w:r>
        <w:rPr>
          <w:rFonts w:hint="eastAsia" w:ascii="方正仿宋_GBK" w:hAnsi="仿宋_GB2312" w:cs="仿宋_GB2312"/>
        </w:rPr>
        <w:t>与2025年预算持平</w:t>
      </w:r>
      <w:r>
        <w:rPr>
          <w:rFonts w:hint="eastAsia" w:ascii="方正仿宋_GBK" w:hAnsi="仿宋_GB2312" w:cs="仿宋_GB2312"/>
          <w:color w:val="0D0D0D"/>
        </w:rPr>
        <w:t>；公务用车购置费18万元，比2025年增加18万元；主要原因是</w:t>
      </w:r>
      <w:r>
        <w:rPr>
          <w:rFonts w:hint="eastAsia" w:ascii="方正仿宋_GBK" w:hAnsi="仿宋_GB2312" w:cs="仿宋_GB2312"/>
        </w:rPr>
        <w:t>购买1辆公务用车</w:t>
      </w:r>
      <w:r>
        <w:rPr>
          <w:rFonts w:hint="eastAsia" w:ascii="方正仿宋_GBK" w:hAnsi="仿宋_GB2312" w:cs="仿宋_GB2312"/>
          <w:color w:val="0D0D0D"/>
        </w:rPr>
        <w:t>。</w:t>
      </w:r>
    </w:p>
    <w:p w14:paraId="6ADB0B53">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727F2FED">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（一）我单位不在机关运行经费统计范围之内。</w:t>
      </w:r>
    </w:p>
    <w:p w14:paraId="48601AEE">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（二）政府采购情况。我单位无政府采购预算。</w:t>
      </w:r>
    </w:p>
    <w:p w14:paraId="6507F216">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（三）绩效目标设置情况。2026年项目支出均实行了绩效目标管理，涉及一般公共预算当年财政拨款248.78万元。</w:t>
      </w:r>
    </w:p>
    <w:p w14:paraId="20CAC40D">
      <w:pPr>
        <w:spacing w:line="600" w:lineRule="exact"/>
        <w:ind w:firstLine="640" w:firstLineChars="200"/>
        <w:rPr>
          <w:rFonts w:ascii="方正仿宋_GBK" w:hAnsi="仿宋_GB2312" w:cs="仿宋_GB2312"/>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rFonts w:hint="eastAsia" w:ascii="方正仿宋_GBK" w:hAnsi="仿宋_GB2312" w:cs="仿宋_GB2312"/>
          <w:color w:val="0D0D0D"/>
        </w:rPr>
        <w:t>2025年12月</w:t>
      </w:r>
      <w:r>
        <w:rPr>
          <w:rFonts w:hint="eastAsia" w:ascii="方正仿宋_GBK" w:hAnsi="仿宋_GB2312" w:cs="仿宋_GB2312"/>
        </w:rPr>
        <w:t>，我单位共有车辆1辆，其中一般公务用车1辆、执勤执法用车0辆。</w:t>
      </w:r>
    </w:p>
    <w:p w14:paraId="5278B25E">
      <w:pPr>
        <w:adjustRightInd w:val="0"/>
        <w:snapToGrid w:val="0"/>
        <w:spacing w:line="600" w:lineRule="exact"/>
        <w:ind w:firstLine="640" w:firstLineChars="200"/>
        <w:rPr>
          <w:rFonts w:ascii="方正仿宋_GBK" w:hAnsi="仿宋_GB2312" w:cs="仿宋_GB2312"/>
        </w:rPr>
      </w:pPr>
      <w:r>
        <w:rPr>
          <w:rFonts w:hint="eastAsia" w:ascii="方正仿宋_GBK" w:hAnsi="仿宋_GB2312" w:cs="仿宋_GB2312"/>
          <w:color w:val="0D0D0D"/>
        </w:rPr>
        <w:t>（五）委托业务费情况。2026年委托业务费涉及财拨资金58万元，主要用于工程二类费用、动物防疫等支出。</w:t>
      </w:r>
    </w:p>
    <w:p w14:paraId="4B2DEB2B">
      <w:pPr>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2CEB5E07">
      <w:pPr>
        <w:pStyle w:val="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3D8613E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A26CA8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A986F7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（四）上级补助收入：指从主管部门或上级单位取得的财政拨款以外的其他补助收入。单位结合上年度上级补助收入等情况进行预计。</w:t>
      </w:r>
    </w:p>
    <w:p w14:paraId="6FD15187">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D5038DE">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2921721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（七）其他收入：指债务收入、投资收益等收入，单位根据情况合理预计，全部编入预算。</w:t>
      </w:r>
    </w:p>
    <w:p w14:paraId="04C637B8">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00C854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E1ECC9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（十）项目支出：指在基本支出之外为完成特定行政任务和事业发展目标所发生的支出。</w:t>
      </w:r>
    </w:p>
    <w:p w14:paraId="5641DAD0">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AFB55D">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2307E21">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（十三）工资福利支出（支出经济分类科目类级）：反映单位开支的在职职工和编制外长期聘用人员的各类劳动报酬，以及为上述人员缴纳的各项社会保险费等。</w:t>
      </w:r>
    </w:p>
    <w:p w14:paraId="086459CB">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（十四）商品和服务支出（支出经济分类科目类级）：反映单位购买商品和服务的支出（不包括用于购置固定资产的支出、战略性和应急储备支出）。</w:t>
      </w:r>
    </w:p>
    <w:p w14:paraId="260715C7">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（十五）对个人和家庭的补助（支出经济分类科目类级）：反映用于对个人和家庭的补助支出。</w:t>
      </w:r>
    </w:p>
    <w:p w14:paraId="25991FDA">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0E13B82C">
      <w:pPr>
        <w:pStyle w:val="6"/>
        <w:tabs>
          <w:tab w:val="center" w:pos="4153"/>
          <w:tab w:val="left" w:pos="7275"/>
        </w:tabs>
        <w:spacing w:line="600" w:lineRule="exact"/>
        <w:ind w:firstLine="640"/>
        <w:jc w:val="left"/>
        <w:rPr>
          <w:rFonts w:ascii="方正仿宋_GBK" w:eastAsia="方正仿宋_GBK"/>
          <w:color w:val="0D0D0D"/>
          <w:sz w:val="32"/>
          <w:szCs w:val="32"/>
        </w:rPr>
      </w:pPr>
    </w:p>
    <w:p w14:paraId="64ADB4BB">
      <w:pPr>
        <w:ind w:firstLine="640" w:firstLineChars="200"/>
        <w:rPr>
          <w:rFonts w:ascii="方正仿宋_GBK" w:hAnsi="仿宋_GB2312" w:cs="仿宋_GB2312"/>
          <w:color w:val="0D0D0D"/>
        </w:rPr>
      </w:pPr>
    </w:p>
    <w:p w14:paraId="3C69C84E">
      <w:pPr>
        <w:spacing w:line="600" w:lineRule="exact"/>
        <w:rPr>
          <w:rFonts w:ascii="方正仿宋_GBK"/>
          <w:color w:val="0D0D0D"/>
        </w:rPr>
      </w:pPr>
      <w:r>
        <w:rPr>
          <w:rFonts w:hint="eastAsia" w:ascii="方正仿宋_GBK" w:hAnsi="仿宋_GB2312" w:cs="仿宋_GB2312"/>
          <w:color w:val="0D0D0D"/>
        </w:rPr>
        <w:t>单位预算公开联系人：肖洒洒，联系方式：</w:t>
      </w:r>
      <w:r>
        <w:rPr>
          <w:rFonts w:hint="eastAsia" w:ascii="方正仿宋_GBK"/>
        </w:rPr>
        <w:t>023-65740214</w:t>
      </w:r>
    </w:p>
    <w:p w14:paraId="0E5D8128">
      <w:pPr>
        <w:ind w:firstLine="640" w:firstLineChars="200"/>
        <w:rPr>
          <w:rFonts w:ascii="方正仿宋_GBK"/>
          <w:color w:val="0D0D0D"/>
        </w:rPr>
      </w:pPr>
    </w:p>
    <w:p w14:paraId="0B20FB89"/>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7EE7F7-2368-4B35-8459-AA62921CC9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9E8EAED8-F629-472D-8F87-9FD0DC7A5837}"/>
  </w:font>
  <w:font w:name="仿宋">
    <w:panose1 w:val="02010609060101010101"/>
    <w:charset w:val="86"/>
    <w:family w:val="modern"/>
    <w:pitch w:val="default"/>
    <w:sig w:usb0="800002BF" w:usb1="38CF7CFA" w:usb2="00000016" w:usb3="00000000" w:csb0="00040001" w:csb1="00000000"/>
    <w:embedRegular r:id="rId3" w:fontKey="{8193680C-B410-4300-9B51-3BA271B39B71}"/>
  </w:font>
  <w:font w:name="方正小标宋_GBK">
    <w:panose1 w:val="02000000000000000000"/>
    <w:charset w:val="86"/>
    <w:family w:val="script"/>
    <w:pitch w:val="default"/>
    <w:sig w:usb0="A00002BF" w:usb1="38CF7CFA" w:usb2="00082016" w:usb3="00000000" w:csb0="00040001" w:csb1="00000000"/>
    <w:embedRegular r:id="rId4" w:fontKey="{3CBA7AC2-C948-4F40-9AE6-CDF1D873FDCD}"/>
  </w:font>
  <w:font w:name="方正黑体_GBK">
    <w:panose1 w:val="02010600010101010101"/>
    <w:charset w:val="86"/>
    <w:family w:val="script"/>
    <w:pitch w:val="default"/>
    <w:sig w:usb0="00000001" w:usb1="080E0000" w:usb2="00000000" w:usb3="00000000" w:csb0="00040000" w:csb1="00000000"/>
    <w:embedRegular r:id="rId5" w:fontKey="{41CB444A-4AB0-4157-BB5A-8DA4123B2642}"/>
  </w:font>
  <w:font w:name="仿宋_GB2312">
    <w:altName w:val="仿宋"/>
    <w:panose1 w:val="00000000000000000000"/>
    <w:charset w:val="86"/>
    <w:family w:val="modern"/>
    <w:pitch w:val="default"/>
    <w:sig w:usb0="00000000" w:usb1="00000000" w:usb2="00000000" w:usb3="00000000" w:csb0="00040000" w:csb1="00000000"/>
    <w:embedRegular r:id="rId6" w:fontKey="{CE683DCB-5A6C-4A1F-ADE2-DD16636745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D6D3">
    <w:pPr>
      <w:pStyle w:val="2"/>
      <w:framePr w:wrap="around" w:vAnchor="text" w:hAnchor="margin" w:xAlign="outside" w:y="1"/>
      <w:ind w:right="320" w:righ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eastAsia="宋体"/>
        <w:sz w:val="28"/>
        <w:szCs w:val="28"/>
      </w:rPr>
      <w:fldChar w:fldCharType="begin"/>
    </w:r>
    <w:r>
      <w:rPr>
        <w:rStyle w:val="5"/>
        <w:rFonts w:eastAsia="宋体"/>
        <w:sz w:val="28"/>
        <w:szCs w:val="28"/>
      </w:rPr>
      <w:instrText xml:space="preserve">PAGE  </w:instrText>
    </w:r>
    <w:r>
      <w:rPr>
        <w:rStyle w:val="5"/>
        <w:rFonts w:eastAsia="宋体"/>
        <w:sz w:val="28"/>
        <w:szCs w:val="28"/>
      </w:rPr>
      <w:fldChar w:fldCharType="separate"/>
    </w:r>
    <w:r>
      <w:rPr>
        <w:rStyle w:val="5"/>
        <w:rFonts w:eastAsia="宋体"/>
        <w:sz w:val="28"/>
        <w:szCs w:val="28"/>
      </w:rPr>
      <w:t>6</w:t>
    </w:r>
    <w:r>
      <w:rPr>
        <w:rStyle w:val="5"/>
        <w:rFonts w:eastAsia="宋体"/>
        <w:sz w:val="28"/>
        <w:szCs w:val="28"/>
      </w:rPr>
      <w:fldChar w:fldCharType="end"/>
    </w:r>
    <w:r>
      <w:rPr>
        <w:rStyle w:val="5"/>
        <w:rFonts w:hint="eastAsia" w:ascii="宋体" w:hAnsi="宋体" w:eastAsia="宋体"/>
        <w:sz w:val="28"/>
        <w:szCs w:val="28"/>
      </w:rPr>
      <w:t xml:space="preserve"> —</w:t>
    </w:r>
  </w:p>
  <w:p w14:paraId="04D9FF90">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FDE77">
    <w:pPr>
      <w:pStyle w:val="2"/>
      <w:framePr w:wrap="around" w:vAnchor="text" w:hAnchor="margin" w:xAlign="outside" w:y="1"/>
      <w:ind w:left="320" w:lef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10</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14:paraId="355F832A">
    <w:pPr>
      <w:pStyle w:val="2"/>
      <w:framePr w:wrap="around" w:vAnchor="text" w:hAnchor="margin" w:xAlign="outside" w:y="1"/>
      <w:ind w:left="640" w:leftChars="200" w:right="640" w:rightChars="200" w:firstLine="360"/>
      <w:rPr>
        <w:rStyle w:val="5"/>
        <w:rFonts w:ascii="宋体" w:hAnsi="宋体" w:eastAsia="宋体"/>
        <w:sz w:val="28"/>
        <w:szCs w:val="28"/>
      </w:rPr>
    </w:pPr>
  </w:p>
  <w:p w14:paraId="106FABB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42120"/>
    <w:rsid w:val="004E3691"/>
    <w:rsid w:val="005502D6"/>
    <w:rsid w:val="006B4E9A"/>
    <w:rsid w:val="00781A28"/>
    <w:rsid w:val="00B2172F"/>
    <w:rsid w:val="00C53E37"/>
    <w:rsid w:val="00CB3850"/>
    <w:rsid w:val="00FD5A82"/>
    <w:rsid w:val="00FD6D74"/>
    <w:rsid w:val="10736D7D"/>
    <w:rsid w:val="178B5C74"/>
    <w:rsid w:val="1F9A6D43"/>
    <w:rsid w:val="21042120"/>
    <w:rsid w:val="2ED647A1"/>
    <w:rsid w:val="35DD52BF"/>
    <w:rsid w:val="41332533"/>
    <w:rsid w:val="42361A61"/>
    <w:rsid w:val="69BFD81B"/>
    <w:rsid w:val="6AE30487"/>
    <w:rsid w:val="6FFCB051"/>
    <w:rsid w:val="6FFFF9FC"/>
    <w:rsid w:val="7A704EF2"/>
    <w:rsid w:val="7C9D1544"/>
    <w:rsid w:val="7DFF8C92"/>
    <w:rsid w:val="7DFFF2E6"/>
    <w:rsid w:val="7E65374F"/>
    <w:rsid w:val="CEFF08A1"/>
    <w:rsid w:val="D3771F3F"/>
    <w:rsid w:val="D67F0E30"/>
    <w:rsid w:val="F7EFD943"/>
    <w:rsid w:val="FB96DC15"/>
    <w:rsid w:val="FFBD9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2496</Words>
  <Characters>2656</Characters>
  <Lines>19</Lines>
  <Paragraphs>5</Paragraphs>
  <TotalTime>0</TotalTime>
  <ScaleCrop>false</ScaleCrop>
  <LinksUpToDate>false</LinksUpToDate>
  <CharactersWithSpaces>2656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2025-04-01T03:48:00Z</dcterms:created>
  <dc:creator>Administrator</dc:creator>
  <cp:lastModifiedBy>silence</cp:lastModifiedBy>
  <dcterms:modified xsi:type="dcterms:W3CDTF">2026-07-06T07:18:14Z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11A40E9525D3A9493E95C3695BCB9CB9_43</vt:lpwstr>
  </property>
  <property fmtid="{D5CDD505-2E9C-101B-9397-08002B2CF9AE}" pid="4" name="KSOTemplateDocerSaveRecord">
    <vt:lpwstr>eyJoZGlkIjoiZjRmYWUxOWJhMWE5OGFmZGQyNzA0NjBkZTNhOGRjMDEiLCJ1c2VySWQiOiIyNDg4ODMzNzUifQ==</vt:lpwstr>
  </property>
</Properties>
</file>