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9B82C">
      <w:pPr>
        <w:spacing w:line="600" w:lineRule="exact"/>
        <w:jc w:val="center"/>
        <w:rPr>
          <w:rFonts w:hint="eastAsia" w:ascii="方正小标宋_GBK" w:hAnsi="华文中宋" w:eastAsia="方正小标宋_GBK" w:cs="华文中宋"/>
          <w:sz w:val="44"/>
          <w:szCs w:val="44"/>
        </w:rPr>
      </w:pPr>
      <w:r>
        <w:rPr>
          <w:rFonts w:hint="eastAsia" w:ascii="方正小标宋_GBK" w:hAnsi="华文中宋" w:eastAsia="方正小标宋_GBK" w:cs="华文中宋"/>
          <w:sz w:val="44"/>
          <w:szCs w:val="44"/>
        </w:rPr>
        <w:t>金凤镇综合行政执法大队</w:t>
      </w:r>
    </w:p>
    <w:p w14:paraId="57A24FFB">
      <w:pPr>
        <w:spacing w:line="600" w:lineRule="exact"/>
        <w:jc w:val="center"/>
        <w:rPr>
          <w:rFonts w:hint="eastAsia" w:ascii="方正小标宋_GBK" w:hAnsi="华文中宋" w:eastAsia="方正小标宋_GBK" w:cs="华文中宋"/>
          <w:sz w:val="44"/>
          <w:szCs w:val="44"/>
        </w:rPr>
      </w:pPr>
      <w:r>
        <w:rPr>
          <w:rFonts w:hint="eastAsia" w:ascii="方正小标宋_GBK" w:hAnsi="华文中宋" w:eastAsia="方正小标宋_GBK" w:cs="华文中宋"/>
          <w:sz w:val="44"/>
          <w:szCs w:val="44"/>
        </w:rPr>
        <w:t>2026年单位预算情况说明</w:t>
      </w:r>
    </w:p>
    <w:p w14:paraId="64C83365">
      <w:pPr>
        <w:spacing w:line="600" w:lineRule="exact"/>
        <w:jc w:val="center"/>
        <w:rPr>
          <w:rFonts w:ascii="方正小标宋_GBK" w:hAnsi="华文中宋" w:eastAsia="方正小标宋_GBK" w:cs="华文中宋"/>
          <w:sz w:val="44"/>
          <w:szCs w:val="44"/>
        </w:rPr>
      </w:pPr>
    </w:p>
    <w:p w14:paraId="3BCB05E6">
      <w:pPr>
        <w:spacing w:line="600" w:lineRule="exact"/>
        <w:ind w:left="640"/>
        <w:rPr>
          <w:rFonts w:ascii="方正黑体_GBK" w:hAnsi="黑体" w:eastAsia="方正黑体_GBK" w:cs="仿宋_GB2312"/>
        </w:rPr>
      </w:pPr>
      <w:r>
        <w:rPr>
          <w:rFonts w:hint="eastAsia" w:ascii="方正黑体_GBK" w:hAnsi="黑体" w:eastAsia="方正黑体_GBK" w:cs="仿宋_GB2312"/>
        </w:rPr>
        <w:t>一、单位基本情况</w:t>
      </w:r>
    </w:p>
    <w:p w14:paraId="7E401F6E">
      <w:pPr>
        <w:spacing w:line="600" w:lineRule="exact"/>
        <w:ind w:firstLine="640" w:firstLineChars="200"/>
        <w:rPr>
          <w:rFonts w:ascii="方正仿宋_GBK" w:hAnsi="仿宋_GB2312" w:cs="仿宋_GB2312"/>
        </w:rPr>
      </w:pPr>
      <w:r>
        <w:rPr>
          <w:rFonts w:hint="eastAsia" w:ascii="方正仿宋_GBK" w:hAnsi="仿宋_GB2312" w:cs="仿宋_GB2312"/>
        </w:rPr>
        <w:t>（一）职能职责</w:t>
      </w:r>
    </w:p>
    <w:p w14:paraId="029A3B35">
      <w:pPr>
        <w:pStyle w:val="6"/>
        <w:tabs>
          <w:tab w:val="center" w:pos="4153"/>
          <w:tab w:val="left" w:pos="7275"/>
        </w:tabs>
        <w:spacing w:line="600" w:lineRule="exact"/>
        <w:ind w:firstLine="640"/>
        <w:jc w:val="left"/>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金凤镇综合行政</w:t>
      </w:r>
      <w:bookmarkStart w:id="0" w:name="_GoBack"/>
      <w:bookmarkEnd w:id="0"/>
      <w:r>
        <w:rPr>
          <w:rFonts w:hint="eastAsia" w:ascii="方正仿宋_GBK" w:hAnsi="仿宋_GB2312" w:eastAsia="方正仿宋_GBK" w:cs="仿宋_GB2312"/>
          <w:sz w:val="32"/>
          <w:szCs w:val="20"/>
        </w:rPr>
        <w:t>执法大队的主要职责：负责集中行使本镇法定行政执法事项、赋权行政执法事项和委托行政执法事项的行政执法权。负责开展所涉执法领域的普法宣传、协同联动执法等工作。</w:t>
      </w:r>
    </w:p>
    <w:p w14:paraId="32F2A859">
      <w:pPr>
        <w:spacing w:line="600" w:lineRule="exact"/>
        <w:ind w:firstLine="640" w:firstLineChars="200"/>
        <w:rPr>
          <w:rFonts w:ascii="方正仿宋_GBK" w:hAnsi="仿宋_GB2312" w:cs="仿宋_GB2312"/>
        </w:rPr>
      </w:pPr>
      <w:r>
        <w:rPr>
          <w:rFonts w:hint="eastAsia" w:ascii="方正仿宋_GBK" w:hAnsi="仿宋_GB2312" w:cs="仿宋_GB2312"/>
        </w:rPr>
        <w:t>（二）单位构成</w:t>
      </w:r>
      <w:r>
        <w:rPr>
          <w:rFonts w:hint="eastAsia" w:ascii="方正仿宋_GBK" w:hAnsi="仿宋_GB2312" w:cs="仿宋_GB2312"/>
          <w:szCs w:val="22"/>
        </w:rPr>
        <w:t>：是全额拨款事业单位</w:t>
      </w:r>
      <w:r>
        <w:rPr>
          <w:rFonts w:hint="eastAsia" w:ascii="方正仿宋_GBK" w:hAnsi="仿宋_GB2312" w:cs="仿宋_GB2312"/>
        </w:rPr>
        <w:t>。</w:t>
      </w:r>
    </w:p>
    <w:p w14:paraId="024D577E">
      <w:pPr>
        <w:spacing w:line="600" w:lineRule="exact"/>
        <w:ind w:left="640"/>
        <w:rPr>
          <w:rFonts w:ascii="方正仿宋_GBK" w:hAnsi="黑体" w:cs="仿宋_GB2312"/>
        </w:rPr>
      </w:pPr>
      <w:r>
        <w:rPr>
          <w:rFonts w:hint="eastAsia" w:ascii="方正黑体_GBK" w:hAnsi="黑体" w:eastAsia="方正黑体_GBK" w:cs="仿宋_GB2312"/>
        </w:rPr>
        <w:t>二、单位收支总体情况</w:t>
      </w:r>
    </w:p>
    <w:p w14:paraId="33EABF02">
      <w:pPr>
        <w:spacing w:line="600" w:lineRule="exact"/>
        <w:ind w:firstLine="640" w:firstLineChars="200"/>
        <w:rPr>
          <w:rFonts w:ascii="方正仿宋_GBK" w:hAnsi="仿宋_GB2312" w:cs="仿宋_GB2312"/>
          <w:color w:val="C00000"/>
        </w:rPr>
      </w:pPr>
      <w:r>
        <w:rPr>
          <w:rFonts w:hint="eastAsia" w:ascii="方正仿宋_GBK" w:hAnsi="仿宋_GB2312" w:cs="仿宋_GB2312"/>
        </w:rPr>
        <w:t>（一）收入预算：2026年年初预算数375.61万元，其中：一般公共预算拨款375.61万元，政府性基金预算拨款0万元，国有资本经营预算收入0万元，事业收入0万元，事业单位经营收入0万元，其他收入0万元。收入较2025年增加251.01万元，主要是增加了镇街安全巡防专项工作经费预算248.6万元。</w:t>
      </w:r>
    </w:p>
    <w:p w14:paraId="0F500150">
      <w:pPr>
        <w:spacing w:line="600" w:lineRule="exact"/>
        <w:ind w:firstLine="640" w:firstLineChars="200"/>
        <w:rPr>
          <w:rFonts w:ascii="方正仿宋_GBK" w:hAnsi="仿宋_GB2312" w:cs="仿宋_GB2312"/>
        </w:rPr>
      </w:pPr>
      <w:r>
        <w:rPr>
          <w:rFonts w:hint="eastAsia" w:ascii="方正仿宋_GBK" w:hAnsi="仿宋_GB2312" w:cs="仿宋_GB2312"/>
        </w:rPr>
        <w:t>（二）支出预算：2026年年初预算数375.61万元，其中：一般公共服务支出预算92.81万元，社会保障和就业支出预算22.81万元，卫生健康支出预算6.02万元，农林水支出预算248.60万元，住房保障支出5.37万元。支出预算较2025年增加251.01万元，主要是基本支出预算增加25.81万元，项目支出预算增加225.2万元。</w:t>
      </w:r>
    </w:p>
    <w:p w14:paraId="3673A6B7">
      <w:pPr>
        <w:spacing w:line="600" w:lineRule="exact"/>
        <w:ind w:left="640"/>
        <w:rPr>
          <w:rFonts w:ascii="方正黑体_GBK" w:hAnsi="黑体" w:eastAsia="方正黑体_GBK" w:cs="仿宋_GB2312"/>
        </w:rPr>
      </w:pPr>
      <w:r>
        <w:rPr>
          <w:rFonts w:hint="eastAsia" w:ascii="方正黑体_GBK" w:hAnsi="黑体" w:eastAsia="方正黑体_GBK" w:cs="仿宋_GB2312"/>
        </w:rPr>
        <w:t>三、部门预算情况说明</w:t>
      </w:r>
    </w:p>
    <w:p w14:paraId="59755E2E">
      <w:pPr>
        <w:spacing w:line="600" w:lineRule="exact"/>
        <w:ind w:firstLine="640" w:firstLineChars="200"/>
        <w:rPr>
          <w:rFonts w:ascii="方正仿宋_GBK" w:hAnsi="仿宋_GB2312" w:cs="仿宋_GB2312"/>
        </w:rPr>
      </w:pPr>
      <w:r>
        <w:rPr>
          <w:rFonts w:hint="eastAsia" w:ascii="方正仿宋_GBK" w:hAnsi="仿宋_GB2312" w:cs="仿宋_GB2312"/>
        </w:rPr>
        <w:t>2026年一般公共预算财政拨款收入375.61万元，一般公共预算财政拨款支出375.61万元，比2025年增加251.01万元。其中：基本支出127.01万元，比2025年增加25.81万元，主要原因是增人增资等，主要用于保障</w:t>
      </w:r>
      <w:r>
        <w:rPr>
          <w:rFonts w:hint="eastAsia" w:ascii="方正仿宋_GBK" w:hAnsi="仿宋_GB2312" w:cs="仿宋_GB2312"/>
          <w:color w:val="0D0D0D"/>
        </w:rPr>
        <w:t>在职人员工资福利及社会保险缴费，退休人员补助等，保障单位正常运转的各项商品服务支出</w:t>
      </w:r>
      <w:r>
        <w:rPr>
          <w:rFonts w:hint="eastAsia" w:ascii="方正仿宋_GBK" w:hAnsi="仿宋_GB2312" w:cs="仿宋_GB2312"/>
        </w:rPr>
        <w:t>；项目支出248.6万元，比2025年增加225.2万元，主要原因是增加了镇街安全巡防专项工作经费预算248.6万元，</w:t>
      </w:r>
      <w:r>
        <w:rPr>
          <w:rFonts w:hint="eastAsia" w:ascii="方正仿宋_GBK" w:hAnsi="仿宋_GB2312" w:cs="仿宋_GB2312"/>
          <w:color w:val="0D0D0D"/>
        </w:rPr>
        <w:t>主要用于综合巡防、执法等重点工作。</w:t>
      </w:r>
    </w:p>
    <w:p w14:paraId="4D62CEB2">
      <w:pPr>
        <w:spacing w:line="600" w:lineRule="exact"/>
        <w:ind w:firstLine="640" w:firstLineChars="200"/>
        <w:rPr>
          <w:rFonts w:ascii="方正仿宋_GBK" w:hAnsi="仿宋_GB2312" w:cs="仿宋_GB2312"/>
        </w:rPr>
      </w:pPr>
      <w:r>
        <w:rPr>
          <w:rFonts w:hint="eastAsia" w:ascii="方正仿宋_GBK" w:hAnsi="仿宋_GB2312" w:cs="仿宋_GB2312"/>
        </w:rPr>
        <w:t>综合行政执法大队2026年无使用政府性基金预算拨款安排的支出。</w:t>
      </w:r>
    </w:p>
    <w:p w14:paraId="1E32AFB0">
      <w:pPr>
        <w:spacing w:line="600" w:lineRule="exact"/>
        <w:ind w:left="640"/>
        <w:rPr>
          <w:rFonts w:ascii="方正仿宋_GBK" w:hAnsi="黑体" w:cs="仿宋_GB2312"/>
        </w:rPr>
      </w:pPr>
      <w:r>
        <w:rPr>
          <w:rFonts w:hint="eastAsia" w:ascii="方正黑体_GBK" w:hAnsi="黑体" w:eastAsia="方正黑体_GBK" w:cs="仿宋_GB2312"/>
        </w:rPr>
        <w:t>四、“三公”经费情况说明</w:t>
      </w:r>
    </w:p>
    <w:p w14:paraId="56EC23AF">
      <w:pPr>
        <w:spacing w:line="600" w:lineRule="exact"/>
        <w:ind w:firstLine="600"/>
        <w:rPr>
          <w:rFonts w:ascii="方正仿宋_GBK" w:hAnsi="仿宋_GB2312" w:cs="仿宋_GB2312"/>
        </w:rPr>
      </w:pPr>
      <w:r>
        <w:rPr>
          <w:rFonts w:hint="eastAsia" w:ascii="方正仿宋_GBK" w:hAnsi="仿宋_GB2312" w:cs="仿宋_GB2312"/>
        </w:rPr>
        <w:t>综合行政执法大队2026年无“三公”经费预算。</w:t>
      </w:r>
    </w:p>
    <w:p w14:paraId="2EB68B6D">
      <w:pPr>
        <w:spacing w:line="600" w:lineRule="exact"/>
        <w:ind w:left="640"/>
        <w:rPr>
          <w:rFonts w:ascii="方正黑体_GBK" w:hAnsi="黑体" w:eastAsia="方正黑体_GBK" w:cs="仿宋_GB2312"/>
        </w:rPr>
      </w:pPr>
      <w:r>
        <w:rPr>
          <w:rFonts w:hint="eastAsia" w:ascii="方正黑体_GBK" w:hAnsi="黑体" w:eastAsia="方正黑体_GBK" w:cs="仿宋_GB2312"/>
        </w:rPr>
        <w:t>五、其他重要事项的情况说明</w:t>
      </w:r>
    </w:p>
    <w:p w14:paraId="7F1E97A0">
      <w:pPr>
        <w:spacing w:line="600" w:lineRule="exact"/>
        <w:ind w:firstLine="640" w:firstLineChars="200"/>
        <w:rPr>
          <w:rFonts w:ascii="方正仿宋_GBK" w:hAnsi="仿宋_GB2312" w:cs="仿宋_GB2312"/>
        </w:rPr>
      </w:pPr>
      <w:r>
        <w:rPr>
          <w:rFonts w:hint="eastAsia" w:ascii="方正仿宋_GBK" w:hAnsi="仿宋_GB2312" w:cs="仿宋_GB2312"/>
          <w:color w:val="0D0D0D"/>
        </w:rPr>
        <w:t>（一）</w:t>
      </w:r>
      <w:r>
        <w:rPr>
          <w:rFonts w:hint="eastAsia" w:ascii="方正仿宋_GBK" w:hAnsi="仿宋_GB2312" w:cs="仿宋_GB2312"/>
        </w:rPr>
        <w:t>本单位不在机关运行经费统计范围之内。</w:t>
      </w:r>
    </w:p>
    <w:p w14:paraId="4B99826D">
      <w:pPr>
        <w:spacing w:line="600" w:lineRule="exact"/>
        <w:ind w:firstLine="640" w:firstLineChars="200"/>
        <w:rPr>
          <w:rFonts w:ascii="方正仿宋_GBK" w:hAnsi="仿宋_GB2312" w:cs="仿宋_GB2312"/>
        </w:rPr>
      </w:pPr>
      <w:r>
        <w:rPr>
          <w:rFonts w:hint="eastAsia" w:ascii="方正仿宋_GBK" w:hAnsi="仿宋_GB2312" w:cs="仿宋_GB2312"/>
          <w:color w:val="0D0D0D"/>
        </w:rPr>
        <w:t>（二）</w:t>
      </w:r>
      <w:r>
        <w:rPr>
          <w:rFonts w:hint="eastAsia" w:ascii="方正仿宋_GBK" w:hAnsi="仿宋_GB2312" w:cs="仿宋_GB2312"/>
        </w:rPr>
        <w:t>政府采购情况。本单位无政府采购预算。</w:t>
      </w:r>
    </w:p>
    <w:p w14:paraId="6CEF507F">
      <w:pPr>
        <w:spacing w:line="600" w:lineRule="exact"/>
        <w:ind w:firstLine="640" w:firstLineChars="200"/>
        <w:rPr>
          <w:rFonts w:ascii="方正仿宋_GBK" w:hAnsi="仿宋_GB2312" w:cs="仿宋_GB2312"/>
        </w:rPr>
      </w:pPr>
      <w:r>
        <w:rPr>
          <w:rFonts w:hint="eastAsia" w:ascii="方正仿宋_GBK" w:hAnsi="仿宋_GB2312" w:cs="仿宋_GB2312"/>
          <w:color w:val="0D0D0D"/>
        </w:rPr>
        <w:t>（三）</w:t>
      </w:r>
      <w:r>
        <w:rPr>
          <w:rFonts w:hint="eastAsia" w:ascii="方正仿宋_GBK" w:hAnsi="仿宋_GB2312" w:cs="仿宋_GB2312"/>
        </w:rPr>
        <w:t>绩效目标设置情况。2026年项目支出均实行了绩效目标管理，涉及一般公共预算当年财政拨款375.61万元。</w:t>
      </w:r>
    </w:p>
    <w:p w14:paraId="16DBD4D5">
      <w:pPr>
        <w:spacing w:line="600" w:lineRule="exact"/>
        <w:ind w:firstLine="640" w:firstLineChars="200"/>
        <w:rPr>
          <w:rFonts w:ascii="方正仿宋_GBK" w:hAnsi="仿宋_GB2312" w:cs="仿宋_GB2312"/>
        </w:rPr>
      </w:pPr>
      <w:r>
        <w:rPr>
          <w:rFonts w:hint="eastAsia" w:ascii="方正仿宋_GBK" w:hAnsi="仿宋_GB2312" w:cs="仿宋_GB2312"/>
          <w:color w:val="0D0D0D"/>
        </w:rPr>
        <w:t>（四）</w:t>
      </w:r>
      <w:r>
        <w:rPr>
          <w:rFonts w:hint="eastAsia" w:ascii="方正仿宋_GBK" w:hAnsi="仿宋_GB2312" w:cs="仿宋_GB2312"/>
        </w:rPr>
        <w:t>国有资产占有使用情况。</w:t>
      </w:r>
      <w:r>
        <w:rPr>
          <w:rFonts w:hint="eastAsia" w:ascii="方正仿宋_GBK" w:hAnsi="仿宋_GB2312" w:cs="仿宋_GB2312"/>
          <w:lang w:eastAsia="zh-CN"/>
        </w:rPr>
        <w:t>截至</w:t>
      </w:r>
      <w:r>
        <w:rPr>
          <w:rFonts w:hint="eastAsia" w:ascii="方正仿宋_GBK" w:hAnsi="仿宋_GB2312" w:cs="仿宋_GB2312"/>
        </w:rPr>
        <w:t>2025年12月，本单位共有车辆0辆。</w:t>
      </w:r>
    </w:p>
    <w:p w14:paraId="01E5F17C">
      <w:pPr>
        <w:adjustRightInd w:val="0"/>
        <w:snapToGrid w:val="0"/>
        <w:spacing w:line="600" w:lineRule="exact"/>
        <w:ind w:firstLine="640" w:firstLineChars="200"/>
        <w:rPr>
          <w:rFonts w:ascii="方正仿宋_GBK" w:hAnsi="仿宋_GB2312" w:cs="仿宋_GB2312"/>
        </w:rPr>
      </w:pPr>
      <w:r>
        <w:rPr>
          <w:rFonts w:hint="eastAsia" w:ascii="方正仿宋_GBK" w:hAnsi="仿宋_GB2312" w:cs="仿宋_GB2312"/>
          <w:color w:val="0D0D0D"/>
        </w:rPr>
        <w:t>（五）委托业务费情况。2026年委托业务费涉及财拨资金22.49万元，主要用于购买执法巡防物资、应急演练、森林防火专线等支出。</w:t>
      </w:r>
    </w:p>
    <w:p w14:paraId="1EBDD712">
      <w:pPr>
        <w:spacing w:line="600" w:lineRule="exact"/>
        <w:ind w:firstLine="640" w:firstLineChars="200"/>
        <w:rPr>
          <w:rFonts w:ascii="方正黑体_GBK" w:hAnsi="黑体" w:eastAsia="方正黑体_GBK" w:cs="仿宋_GB2312"/>
        </w:rPr>
      </w:pPr>
      <w:r>
        <w:rPr>
          <w:rFonts w:hint="eastAsia" w:ascii="方正黑体_GBK" w:hAnsi="黑体" w:eastAsia="方正黑体_GBK" w:cs="仿宋_GB2312"/>
        </w:rPr>
        <w:t>六、专业性名词解释</w:t>
      </w:r>
    </w:p>
    <w:p w14:paraId="2CEB5E07">
      <w:pPr>
        <w:pStyle w:val="6"/>
        <w:tabs>
          <w:tab w:val="center" w:pos="4153"/>
          <w:tab w:val="left" w:pos="7275"/>
        </w:tabs>
        <w:adjustRightInd w:val="0"/>
        <w:snapToGrid w:val="0"/>
        <w:spacing w:line="600" w:lineRule="exact"/>
        <w:ind w:firstLine="640"/>
        <w:jc w:val="left"/>
        <w:rPr>
          <w:rFonts w:ascii="方正仿宋_GBK" w:eastAsia="方正仿宋_GBK"/>
          <w:color w:val="0D0D0D"/>
          <w:sz w:val="32"/>
          <w:szCs w:val="32"/>
        </w:rPr>
      </w:pPr>
      <w:r>
        <w:rPr>
          <w:rFonts w:hint="eastAsia" w:ascii="方正仿宋_GBK" w:eastAsia="方正仿宋_GBK"/>
          <w:color w:val="0D0D0D"/>
          <w:sz w:val="32"/>
          <w:szCs w:val="32"/>
        </w:rPr>
        <w:t>（一）财政拨款收入：指本年度从本级财政部门取得的财政拨款，包括一般公共预算财政拨款和政府性基金预算财政拨款。</w:t>
      </w:r>
    </w:p>
    <w:p w14:paraId="3D8613EC">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14:paraId="4A26CA85">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0A986F72">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（四）上级补助收入：指从主管部门或上级单位取得的财政拨款以外的其他补助收入。单位结合上年度上级补助收入等情况进行预计。</w:t>
      </w:r>
    </w:p>
    <w:p w14:paraId="6FD15187">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0D5038DE">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29217215">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（七）其他收入：指债务收入、投资收益等收入，单位根据情况合理预计，全部编入预算。</w:t>
      </w:r>
    </w:p>
    <w:p w14:paraId="04C637B8">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600C8545">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E1ECC96">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（十）项目支出：指在基本支出之外为完成特定行政任务和事业发展目标所发生的支出。</w:t>
      </w:r>
    </w:p>
    <w:p w14:paraId="5641DAD0">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7AFB55D">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72307E21">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（十三）工资福利支出（支出经济分类科目类级）：反映单位开支的在职职工和编制外长期聘用人员的各类劳动报酬，以及为上述人员缴纳的各项社会保险费等。</w:t>
      </w:r>
    </w:p>
    <w:p w14:paraId="086459CB">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（十四）商品和服务支出（支出经济分类科目类级）：反映单位购买商品和服务的支出（不包括用于购置固定资产的支出、战略性和应急储备支出）。</w:t>
      </w:r>
    </w:p>
    <w:p w14:paraId="260715C7">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（十五）对个人和家庭的补助（支出经济分类科目类级）：反映用于对个人和家庭的补助支出。</w:t>
      </w:r>
    </w:p>
    <w:p w14:paraId="25991FDA">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327AA5EC">
      <w:pPr>
        <w:spacing w:line="600" w:lineRule="exact"/>
        <w:ind w:firstLine="640" w:firstLineChars="200"/>
        <w:rPr>
          <w:rFonts w:ascii="方正仿宋_GBK" w:hAnsi="仿宋_GB2312" w:cs="仿宋_GB2312"/>
        </w:rPr>
      </w:pPr>
    </w:p>
    <w:p w14:paraId="3C69C84E">
      <w:pPr>
        <w:spacing w:line="600" w:lineRule="exact"/>
        <w:rPr>
          <w:rFonts w:ascii="方正仿宋_GBK"/>
        </w:rPr>
      </w:pPr>
      <w:r>
        <w:rPr>
          <w:rFonts w:hint="eastAsia" w:ascii="方正仿宋_GBK" w:hAnsi="仿宋_GB2312" w:cs="仿宋_GB2312"/>
        </w:rPr>
        <w:t>单位预算公开联系人：肖洒洒，联系方式：</w:t>
      </w:r>
      <w:r>
        <w:rPr>
          <w:rFonts w:hint="eastAsia" w:ascii="方正仿宋_GBK"/>
        </w:rPr>
        <w:t>023-65740214</w:t>
      </w:r>
    </w:p>
    <w:p w14:paraId="67D16539">
      <w:pPr>
        <w:ind w:firstLine="640" w:firstLineChars="200"/>
        <w:rPr>
          <w:rFonts w:ascii="方正仿宋_GBK"/>
        </w:rPr>
      </w:pPr>
    </w:p>
    <w:p w14:paraId="71FA26E2"/>
    <w:sectPr>
      <w:footerReference r:id="rId3" w:type="default"/>
      <w:footerReference r:id="rId4" w:type="even"/>
      <w:pgSz w:w="11906" w:h="16838"/>
      <w:pgMar w:top="2098" w:right="1531" w:bottom="1701" w:left="1531" w:header="851" w:footer="1474" w:gutter="0"/>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CC6970-6D8B-414E-8C5C-4AC09AF017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2" w:fontKey="{FFA9D081-FA52-4617-9297-BB0CB411D2FE}"/>
  </w:font>
  <w:font w:name="仿宋">
    <w:panose1 w:val="02010609060101010101"/>
    <w:charset w:val="86"/>
    <w:family w:val="modern"/>
    <w:pitch w:val="default"/>
    <w:sig w:usb0="800002BF" w:usb1="38CF7CFA" w:usb2="00000016" w:usb3="00000000" w:csb0="00040001" w:csb1="00000000"/>
    <w:embedRegular r:id="rId3" w:fontKey="{1D3BDDD7-6DB3-4C6C-9853-ED3DC2AE9304}"/>
  </w:font>
  <w:font w:name="方正小标宋_GBK">
    <w:panose1 w:val="02000000000000000000"/>
    <w:charset w:val="86"/>
    <w:family w:val="script"/>
    <w:pitch w:val="default"/>
    <w:sig w:usb0="A00002BF" w:usb1="38CF7CFA" w:usb2="00082016" w:usb3="00000000" w:csb0="00040001" w:csb1="00000000"/>
    <w:embedRegular r:id="rId4" w:fontKey="{15CD8031-DEC1-409F-A2AF-EC9F874697C6}"/>
  </w:font>
  <w:font w:name="华文中宋">
    <w:altName w:val="宋体"/>
    <w:panose1 w:val="02010600040101010101"/>
    <w:charset w:val="86"/>
    <w:family w:val="auto"/>
    <w:pitch w:val="default"/>
    <w:sig w:usb0="00000000" w:usb1="00000000" w:usb2="00000000" w:usb3="00000000" w:csb0="0004009F" w:csb1="DFD70000"/>
    <w:embedRegular r:id="rId5" w:fontKey="{D6627E6A-FC17-42F2-AFF1-2E96437C426C}"/>
  </w:font>
  <w:font w:name="方正黑体_GBK">
    <w:panose1 w:val="02010600010101010101"/>
    <w:charset w:val="86"/>
    <w:family w:val="script"/>
    <w:pitch w:val="default"/>
    <w:sig w:usb0="00000001" w:usb1="080E0000" w:usb2="00000000" w:usb3="00000000" w:csb0="00040000" w:csb1="00000000"/>
    <w:embedRegular r:id="rId6" w:fontKey="{112ABB2F-C569-48CF-8162-419079AB8E0B}"/>
  </w:font>
  <w:font w:name="仿宋_GB2312">
    <w:altName w:val="仿宋"/>
    <w:panose1 w:val="00000000000000000000"/>
    <w:charset w:val="86"/>
    <w:family w:val="modern"/>
    <w:pitch w:val="default"/>
    <w:sig w:usb0="00000000" w:usb1="00000000" w:usb2="00000000" w:usb3="00000000" w:csb0="00040000" w:csb1="00000000"/>
    <w:embedRegular r:id="rId7" w:fontKey="{48CA12AE-F41D-4C79-9701-E381F8E61A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CDEE0">
    <w:pPr>
      <w:pStyle w:val="2"/>
      <w:framePr w:wrap="around" w:vAnchor="text" w:hAnchor="margin" w:xAlign="outside" w:y="1"/>
      <w:ind w:right="320" w:rightChars="100"/>
      <w:rPr>
        <w:rStyle w:val="5"/>
        <w:rFonts w:ascii="宋体" w:hAnsi="宋体" w:eastAsia="宋体"/>
        <w:sz w:val="28"/>
        <w:szCs w:val="28"/>
      </w:rPr>
    </w:pPr>
    <w:r>
      <w:rPr>
        <w:rStyle w:val="5"/>
        <w:rFonts w:hint="eastAsia" w:ascii="宋体" w:hAnsi="宋体" w:eastAsia="宋体"/>
        <w:sz w:val="28"/>
        <w:szCs w:val="28"/>
      </w:rPr>
      <w:t xml:space="preserve">— </w:t>
    </w:r>
    <w:r>
      <w:rPr>
        <w:rStyle w:val="5"/>
        <w:rFonts w:eastAsia="宋体"/>
        <w:sz w:val="28"/>
        <w:szCs w:val="28"/>
      </w:rPr>
      <w:fldChar w:fldCharType="begin"/>
    </w:r>
    <w:r>
      <w:rPr>
        <w:rStyle w:val="5"/>
        <w:rFonts w:eastAsia="宋体"/>
        <w:sz w:val="28"/>
        <w:szCs w:val="28"/>
      </w:rPr>
      <w:instrText xml:space="preserve">PAGE  </w:instrText>
    </w:r>
    <w:r>
      <w:rPr>
        <w:rStyle w:val="5"/>
        <w:rFonts w:eastAsia="宋体"/>
        <w:sz w:val="28"/>
        <w:szCs w:val="28"/>
      </w:rPr>
      <w:fldChar w:fldCharType="separate"/>
    </w:r>
    <w:r>
      <w:rPr>
        <w:rStyle w:val="5"/>
        <w:rFonts w:eastAsia="宋体"/>
        <w:sz w:val="28"/>
        <w:szCs w:val="28"/>
      </w:rPr>
      <w:t>6</w:t>
    </w:r>
    <w:r>
      <w:rPr>
        <w:rStyle w:val="5"/>
        <w:rFonts w:eastAsia="宋体"/>
        <w:sz w:val="28"/>
        <w:szCs w:val="28"/>
      </w:rPr>
      <w:fldChar w:fldCharType="end"/>
    </w:r>
    <w:r>
      <w:rPr>
        <w:rStyle w:val="5"/>
        <w:rFonts w:hint="eastAsia" w:ascii="宋体" w:hAnsi="宋体" w:eastAsia="宋体"/>
        <w:sz w:val="28"/>
        <w:szCs w:val="28"/>
      </w:rPr>
      <w:t xml:space="preserve"> —</w:t>
    </w:r>
  </w:p>
  <w:p w14:paraId="6888D06D">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FC396">
    <w:pPr>
      <w:pStyle w:val="2"/>
      <w:framePr w:wrap="around" w:vAnchor="text" w:hAnchor="margin" w:xAlign="outside" w:y="1"/>
      <w:ind w:left="320" w:leftChars="100"/>
      <w:rPr>
        <w:rStyle w:val="5"/>
        <w:rFonts w:ascii="宋体" w:hAnsi="宋体" w:eastAsia="宋体"/>
        <w:sz w:val="28"/>
        <w:szCs w:val="28"/>
      </w:rPr>
    </w:pPr>
    <w:r>
      <w:rPr>
        <w:rStyle w:val="5"/>
        <w:rFonts w:hint="eastAsia" w:ascii="宋体" w:hAnsi="宋体" w:eastAsia="宋体"/>
        <w:sz w:val="28"/>
        <w:szCs w:val="28"/>
      </w:rPr>
      <w:t xml:space="preserve">— </w:t>
    </w:r>
    <w:r>
      <w:rPr>
        <w:rStyle w:val="5"/>
        <w:rFonts w:ascii="宋体" w:hAnsi="宋体" w:eastAsia="宋体"/>
        <w:sz w:val="28"/>
        <w:szCs w:val="28"/>
      </w:rPr>
      <w:fldChar w:fldCharType="begin"/>
    </w:r>
    <w:r>
      <w:rPr>
        <w:rStyle w:val="5"/>
        <w:rFonts w:ascii="宋体" w:hAnsi="宋体" w:eastAsia="宋体"/>
        <w:sz w:val="28"/>
        <w:szCs w:val="28"/>
      </w:rPr>
      <w:instrText xml:space="preserve">PAGE  </w:instrText>
    </w:r>
    <w:r>
      <w:rPr>
        <w:rStyle w:val="5"/>
        <w:rFonts w:ascii="宋体" w:hAnsi="宋体" w:eastAsia="宋体"/>
        <w:sz w:val="28"/>
        <w:szCs w:val="28"/>
      </w:rPr>
      <w:fldChar w:fldCharType="separate"/>
    </w:r>
    <w:r>
      <w:rPr>
        <w:rStyle w:val="5"/>
        <w:rFonts w:ascii="宋体" w:hAnsi="宋体" w:eastAsia="宋体"/>
        <w:sz w:val="28"/>
        <w:szCs w:val="28"/>
      </w:rPr>
      <w:t>10</w:t>
    </w:r>
    <w:r>
      <w:rPr>
        <w:rStyle w:val="5"/>
        <w:rFonts w:ascii="宋体" w:hAnsi="宋体" w:eastAsia="宋体"/>
        <w:sz w:val="28"/>
        <w:szCs w:val="28"/>
      </w:rPr>
      <w:fldChar w:fldCharType="end"/>
    </w:r>
    <w:r>
      <w:rPr>
        <w:rStyle w:val="5"/>
        <w:rFonts w:hint="eastAsia" w:ascii="宋体" w:hAnsi="宋体" w:eastAsia="宋体"/>
        <w:sz w:val="28"/>
        <w:szCs w:val="28"/>
      </w:rPr>
      <w:t xml:space="preserve"> —</w:t>
    </w:r>
  </w:p>
  <w:p w14:paraId="08FF9901">
    <w:pPr>
      <w:pStyle w:val="2"/>
      <w:framePr w:wrap="around" w:vAnchor="text" w:hAnchor="margin" w:xAlign="outside" w:y="1"/>
      <w:ind w:left="640" w:leftChars="200" w:right="640" w:rightChars="200" w:firstLine="360"/>
      <w:rPr>
        <w:rStyle w:val="5"/>
        <w:rFonts w:ascii="宋体" w:hAnsi="宋体" w:eastAsia="宋体"/>
        <w:sz w:val="28"/>
        <w:szCs w:val="28"/>
      </w:rPr>
    </w:pPr>
  </w:p>
  <w:p w14:paraId="6E3B8057">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C065FE"/>
    <w:rsid w:val="00160E39"/>
    <w:rsid w:val="002F067F"/>
    <w:rsid w:val="006956FE"/>
    <w:rsid w:val="006C73A8"/>
    <w:rsid w:val="00750947"/>
    <w:rsid w:val="00E004E9"/>
    <w:rsid w:val="19AF4093"/>
    <w:rsid w:val="321B594D"/>
    <w:rsid w:val="359F4FD8"/>
    <w:rsid w:val="37D682A3"/>
    <w:rsid w:val="3D75DC08"/>
    <w:rsid w:val="3DDFD8CB"/>
    <w:rsid w:val="3EE95642"/>
    <w:rsid w:val="43F45646"/>
    <w:rsid w:val="54E2759B"/>
    <w:rsid w:val="55207628"/>
    <w:rsid w:val="61C065FE"/>
    <w:rsid w:val="6DF4BEFD"/>
    <w:rsid w:val="771C473B"/>
    <w:rsid w:val="7E65374F"/>
    <w:rsid w:val="7FE54B83"/>
    <w:rsid w:val="7FED4237"/>
    <w:rsid w:val="BB7ED2DB"/>
    <w:rsid w:val="BFE77382"/>
    <w:rsid w:val="DBD7A91E"/>
    <w:rsid w:val="DFF63D15"/>
    <w:rsid w:val="DFF765A5"/>
    <w:rsid w:val="E79FE86D"/>
    <w:rsid w:val="E7FFAF57"/>
    <w:rsid w:val="EFAFA822"/>
    <w:rsid w:val="F3F5EE7F"/>
    <w:rsid w:val="F7BFE2F6"/>
    <w:rsid w:val="F7FAB754"/>
    <w:rsid w:val="FE4F998F"/>
    <w:rsid w:val="FFEFE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qFormat/>
    <w:uiPriority w:val="0"/>
  </w:style>
  <w:style w:type="paragraph" w:styleId="6">
    <w:name w:val="List Paragraph"/>
    <w:basedOn w:val="1"/>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2391</Words>
  <Characters>2546</Characters>
  <Lines>18</Lines>
  <Paragraphs>5</Paragraphs>
  <TotalTime>0</TotalTime>
  <ScaleCrop>false</ScaleCrop>
  <LinksUpToDate>false</LinksUpToDate>
  <CharactersWithSpaces>2546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2025-04-01T05:04:00Z</dcterms:created>
  <dc:creator>Administrator</dc:creator>
  <cp:lastModifiedBy>silence</cp:lastModifiedBy>
  <dcterms:modified xsi:type="dcterms:W3CDTF">2026-07-06T07:16:30Z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AACCCE898ED042BD5230C26913069CBA_43</vt:lpwstr>
  </property>
  <property fmtid="{D5CDD505-2E9C-101B-9397-08002B2CF9AE}" pid="4" name="KSOTemplateDocerSaveRecord">
    <vt:lpwstr>eyJoZGlkIjoiZjRmYWUxOWJhMWE5OGFmZGQyNzA0NjBkZTNhOGRjMDEiLCJ1c2VySWQiOiIyNDg4ODMzNzUifQ==</vt:lpwstr>
  </property>
</Properties>
</file>