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BD06D">
      <w:pPr>
        <w:spacing w:line="600" w:lineRule="exact"/>
        <w:jc w:val="center"/>
        <w:rPr>
          <w:rFonts w:ascii="方正小标宋_GBK" w:hAnsi="华文中宋" w:eastAsia="方正小标宋_GBK" w:cs="华文中宋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华文中宋" w:eastAsia="方正小标宋_GBK" w:cs="华文中宋"/>
          <w:sz w:val="44"/>
          <w:szCs w:val="44"/>
        </w:rPr>
        <w:t>金凤镇综合行政执法大队2025年单位预算</w:t>
      </w:r>
    </w:p>
    <w:p w14:paraId="57A24FFB">
      <w:pPr>
        <w:spacing w:line="600" w:lineRule="exact"/>
        <w:jc w:val="center"/>
        <w:rPr>
          <w:rFonts w:ascii="方正小标宋_GBK" w:hAnsi="华文中宋" w:eastAsia="方正小标宋_GBK" w:cs="华文中宋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sz w:val="44"/>
          <w:szCs w:val="44"/>
        </w:rPr>
        <w:t>情况说明</w:t>
      </w:r>
    </w:p>
    <w:p w14:paraId="3BCB05E6">
      <w:pPr>
        <w:spacing w:line="600" w:lineRule="exact"/>
        <w:ind w:left="640"/>
        <w:rPr>
          <w:rFonts w:ascii="方正黑体_GBK" w:hAnsi="黑体" w:eastAsia="方正黑体_GBK" w:cs="仿宋_GB2312"/>
        </w:rPr>
      </w:pPr>
      <w:r>
        <w:rPr>
          <w:rFonts w:hint="eastAsia" w:ascii="方正黑体_GBK" w:hAnsi="黑体" w:eastAsia="方正黑体_GBK" w:cs="仿宋_GB2312"/>
        </w:rPr>
        <w:t>一、单位基本情况</w:t>
      </w:r>
    </w:p>
    <w:p w14:paraId="7E401F6E">
      <w:pPr>
        <w:spacing w:line="600" w:lineRule="exact"/>
        <w:ind w:firstLine="640" w:firstLineChars="200"/>
        <w:rPr>
          <w:rFonts w:ascii="方正仿宋_GBK" w:hAnsi="仿宋_GB2312" w:cs="仿宋_GB2312"/>
        </w:rPr>
      </w:pPr>
      <w:r>
        <w:rPr>
          <w:rFonts w:hint="eastAsia" w:ascii="方正仿宋_GBK" w:hAnsi="仿宋_GB2312" w:cs="仿宋_GB2312"/>
        </w:rPr>
        <w:t>（一）职能职责</w:t>
      </w:r>
    </w:p>
    <w:p w14:paraId="029A3B35">
      <w:pPr>
        <w:pStyle w:val="6"/>
        <w:tabs>
          <w:tab w:val="center" w:pos="4153"/>
          <w:tab w:val="left" w:pos="7275"/>
        </w:tabs>
        <w:spacing w:line="600" w:lineRule="exact"/>
        <w:ind w:firstLine="640"/>
        <w:jc w:val="left"/>
        <w:rPr>
          <w:rFonts w:ascii="方正仿宋_GBK" w:hAnsi="仿宋_GB2312" w:eastAsia="方正仿宋_GBK" w:cs="仿宋_GB2312"/>
          <w:sz w:val="32"/>
          <w:szCs w:val="20"/>
        </w:rPr>
      </w:pPr>
      <w:r>
        <w:rPr>
          <w:rFonts w:hint="eastAsia" w:ascii="方正仿宋_GBK" w:hAnsi="仿宋_GB2312" w:eastAsia="方正仿宋_GBK" w:cs="仿宋_GB2312"/>
          <w:sz w:val="32"/>
          <w:szCs w:val="20"/>
        </w:rPr>
        <w:t>金凤镇综合行政执法大队的主要职责：负责依法执法，严格按照行政执法“三项制度”要求，集中行使本镇法定执法事项、赋权执法事项和依法授权委托的农林水利、规划建设、环境保护、卫生健康、文化旅游、民政管理、城市管理、应急管理、安全生产、消防救援等领域行政执法权；负责加强与区级执法部门的联系，配合区级执法部门开展联合执法、专项执法等工作；负责推进行政执法信息化建设，加强综合行政执法队伍建设；负责拟定辖区普法、依法治理和法治宣传教育规划和年度计划并组织实施。落实“谁执法谁普法”的普法责任制；完成镇党委、政府交办的其他任务。</w:t>
      </w:r>
    </w:p>
    <w:p w14:paraId="32F2A859">
      <w:pPr>
        <w:spacing w:line="600" w:lineRule="exact"/>
        <w:ind w:firstLine="640" w:firstLineChars="200"/>
        <w:rPr>
          <w:rFonts w:ascii="方正仿宋_GBK" w:hAnsi="仿宋_GB2312" w:cs="仿宋_GB2312"/>
        </w:rPr>
      </w:pPr>
      <w:r>
        <w:rPr>
          <w:rFonts w:hint="eastAsia" w:ascii="方正仿宋_GBK" w:hAnsi="仿宋_GB2312" w:cs="仿宋_GB2312"/>
        </w:rPr>
        <w:t>（二）单位构成</w:t>
      </w:r>
      <w:r>
        <w:rPr>
          <w:rFonts w:hint="eastAsia" w:ascii="方正仿宋_GBK" w:hAnsi="仿宋_GB2312" w:cs="仿宋_GB2312"/>
          <w:szCs w:val="22"/>
        </w:rPr>
        <w:t>：是全额拨款事业单位</w:t>
      </w:r>
      <w:r>
        <w:rPr>
          <w:rFonts w:hint="eastAsia" w:ascii="方正仿宋_GBK" w:hAnsi="仿宋_GB2312" w:cs="仿宋_GB2312"/>
        </w:rPr>
        <w:t>。</w:t>
      </w:r>
    </w:p>
    <w:p w14:paraId="024D577E">
      <w:pPr>
        <w:spacing w:line="600" w:lineRule="exact"/>
        <w:ind w:left="640"/>
        <w:rPr>
          <w:rFonts w:ascii="方正仿宋_GBK" w:hAnsi="黑体" w:cs="仿宋_GB2312"/>
        </w:rPr>
      </w:pPr>
      <w:r>
        <w:rPr>
          <w:rFonts w:hint="eastAsia" w:ascii="方正黑体_GBK" w:hAnsi="黑体" w:eastAsia="方正黑体_GBK" w:cs="仿宋_GB2312"/>
        </w:rPr>
        <w:t>二、单位收支总体情况</w:t>
      </w:r>
    </w:p>
    <w:p w14:paraId="33EABF02">
      <w:pPr>
        <w:spacing w:line="600" w:lineRule="exact"/>
        <w:ind w:firstLine="640" w:firstLineChars="200"/>
        <w:rPr>
          <w:rFonts w:ascii="方正仿宋_GBK" w:hAnsi="仿宋_GB2312" w:cs="仿宋_GB2312"/>
        </w:rPr>
      </w:pPr>
      <w:r>
        <w:rPr>
          <w:rFonts w:hint="eastAsia" w:ascii="方正仿宋_GBK" w:hAnsi="仿宋_GB2312" w:cs="仿宋_GB2312"/>
        </w:rPr>
        <w:t>（一）收入预算：2025年年初预算数124.6万元，其中：一般公共预算拨款124.6万元，政府性基金预算拨款0万元，国有资本经营预算收入0万元，事业收入0万元，事业单位经营收入0万元，其他收入0万元。收入较2024年减少454.44万元，主要是因机构改革，去年本单位预算的市政环保卫生工作经费预算到了新成立的部门。</w:t>
      </w:r>
    </w:p>
    <w:p w14:paraId="0F500150">
      <w:pPr>
        <w:spacing w:line="600" w:lineRule="exact"/>
        <w:ind w:firstLine="640" w:firstLineChars="200"/>
        <w:rPr>
          <w:rFonts w:ascii="方正仿宋_GBK" w:hAnsi="仿宋_GB2312" w:cs="仿宋_GB2312"/>
        </w:rPr>
      </w:pPr>
      <w:r>
        <w:rPr>
          <w:rFonts w:hint="eastAsia" w:ascii="方正仿宋_GBK" w:hAnsi="仿宋_GB2312" w:cs="仿宋_GB2312"/>
        </w:rPr>
        <w:t>（二）支出预算：2025年年初预算数124.6万元，其中：一般公共服务支出预算73.33万元，社会保障和就业支出预算19.2万元，卫生健康支出预算4.62万元，农林水支出预算23.4万元，住房保障支出4.05万元。支出预算较2024年减少454.44万元，主要是基本支出预算增加22.66万元，项目支出预算减少477.1万元。</w:t>
      </w:r>
    </w:p>
    <w:p w14:paraId="3673A6B7">
      <w:pPr>
        <w:spacing w:line="600" w:lineRule="exact"/>
        <w:ind w:left="640"/>
        <w:rPr>
          <w:rFonts w:ascii="方正黑体_GBK" w:hAnsi="黑体" w:eastAsia="方正黑体_GBK" w:cs="仿宋_GB2312"/>
        </w:rPr>
      </w:pPr>
      <w:r>
        <w:rPr>
          <w:rFonts w:hint="eastAsia" w:ascii="方正黑体_GBK" w:hAnsi="黑体" w:eastAsia="方正黑体_GBK" w:cs="仿宋_GB2312"/>
        </w:rPr>
        <w:t>三、部门预算情况说明</w:t>
      </w:r>
    </w:p>
    <w:p w14:paraId="59755E2E">
      <w:pPr>
        <w:spacing w:line="600" w:lineRule="exact"/>
        <w:ind w:firstLine="640" w:firstLineChars="200"/>
        <w:rPr>
          <w:rFonts w:ascii="方正仿宋_GBK" w:hAnsi="仿宋_GB2312" w:cs="仿宋_GB2312"/>
        </w:rPr>
      </w:pPr>
      <w:r>
        <w:rPr>
          <w:rFonts w:hint="eastAsia" w:ascii="方正仿宋_GBK" w:hAnsi="仿宋_GB2312" w:cs="仿宋_GB2312"/>
        </w:rPr>
        <w:t>2025年一般公共预算财政拨款收入124.6万元，一般公共预算财政拨款支出124.6万元，比2024年减少454.44万元。其中：基本支出101.2万元，比2024年增加22.66万元，主要原因是</w:t>
      </w:r>
      <w:r>
        <w:rPr>
          <w:rFonts w:hint="eastAsia" w:ascii="方正仿宋_GBK" w:hAnsi="仿宋_GB2312" w:cs="仿宋_GB2312"/>
          <w:lang w:eastAsia="zh-CN"/>
        </w:rPr>
        <w:t>人员经费调整</w:t>
      </w:r>
      <w:r>
        <w:rPr>
          <w:rFonts w:hint="eastAsia" w:ascii="方正仿宋_GBK" w:hAnsi="仿宋_GB2312" w:cs="仿宋_GB2312"/>
        </w:rPr>
        <w:t>等，主要用于保障在职人员工资福利及社会保险缴费等；项目支出23.4万元，比2024年减少477.1万元，主要原因是因机构改革，去年本单位预算的市政环保卫生工作经费预算到了新成立的部门等，主要用于综合执法等重点工作。</w:t>
      </w:r>
    </w:p>
    <w:p w14:paraId="4D62CEB2">
      <w:pPr>
        <w:spacing w:line="600" w:lineRule="exact"/>
        <w:ind w:firstLine="640" w:firstLineChars="200"/>
        <w:rPr>
          <w:rFonts w:ascii="方正仿宋_GBK" w:hAnsi="仿宋_GB2312" w:cs="仿宋_GB2312"/>
        </w:rPr>
      </w:pPr>
      <w:r>
        <w:rPr>
          <w:rFonts w:hint="eastAsia" w:ascii="方正仿宋_GBK" w:hAnsi="仿宋_GB2312" w:cs="仿宋_GB2312"/>
        </w:rPr>
        <w:t>综合行政执法大队2025年无使用政府性基金预算拨款安排的支出。</w:t>
      </w:r>
    </w:p>
    <w:p w14:paraId="1E32AFB0">
      <w:pPr>
        <w:spacing w:line="600" w:lineRule="exact"/>
        <w:ind w:left="640"/>
        <w:rPr>
          <w:rFonts w:ascii="方正仿宋_GBK" w:hAnsi="黑体" w:cs="仿宋_GB2312"/>
        </w:rPr>
      </w:pPr>
      <w:r>
        <w:rPr>
          <w:rFonts w:hint="eastAsia" w:ascii="方正黑体_GBK" w:hAnsi="黑体" w:eastAsia="方正黑体_GBK" w:cs="仿宋_GB2312"/>
        </w:rPr>
        <w:t>四、“三公”经费情况说明</w:t>
      </w:r>
    </w:p>
    <w:p w14:paraId="56EC23AF">
      <w:pPr>
        <w:spacing w:line="600" w:lineRule="exact"/>
        <w:ind w:firstLine="600"/>
        <w:rPr>
          <w:rFonts w:ascii="方正仿宋_GBK" w:hAnsi="仿宋_GB2312" w:cs="仿宋_GB2312"/>
        </w:rPr>
      </w:pPr>
      <w:r>
        <w:rPr>
          <w:rFonts w:hint="eastAsia" w:ascii="方正仿宋_GBK" w:hAnsi="仿宋_GB2312" w:cs="仿宋_GB2312"/>
        </w:rPr>
        <w:t>综合行政执法大队2025年无“三公”经费预算。</w:t>
      </w:r>
    </w:p>
    <w:p w14:paraId="2EB68B6D">
      <w:pPr>
        <w:spacing w:line="600" w:lineRule="exact"/>
        <w:ind w:left="640"/>
        <w:rPr>
          <w:rFonts w:ascii="方正黑体_GBK" w:hAnsi="黑体" w:eastAsia="方正黑体_GBK" w:cs="仿宋_GB2312"/>
        </w:rPr>
      </w:pPr>
      <w:r>
        <w:rPr>
          <w:rFonts w:hint="eastAsia" w:ascii="方正黑体_GBK" w:hAnsi="黑体" w:eastAsia="方正黑体_GBK" w:cs="仿宋_GB2312"/>
        </w:rPr>
        <w:t>五、其他重要事项的情况说明</w:t>
      </w:r>
    </w:p>
    <w:p w14:paraId="7F1E97A0">
      <w:pPr>
        <w:spacing w:line="600" w:lineRule="exact"/>
        <w:ind w:firstLine="640" w:firstLineChars="200"/>
        <w:rPr>
          <w:rFonts w:ascii="方正仿宋_GBK" w:hAnsi="仿宋_GB2312" w:cs="仿宋_GB2312"/>
        </w:rPr>
      </w:pPr>
      <w:r>
        <w:rPr>
          <w:rFonts w:hint="eastAsia" w:ascii="方正仿宋_GBK" w:hAnsi="仿宋_GB2312" w:cs="仿宋_GB2312"/>
        </w:rPr>
        <w:t>1本单位不在机关运行经费统计范围之内。</w:t>
      </w:r>
    </w:p>
    <w:p w14:paraId="4B99826D">
      <w:pPr>
        <w:spacing w:line="600" w:lineRule="exact"/>
        <w:ind w:firstLine="640" w:firstLineChars="200"/>
        <w:rPr>
          <w:rFonts w:ascii="方正仿宋_GBK" w:hAnsi="仿宋_GB2312" w:cs="仿宋_GB2312"/>
        </w:rPr>
      </w:pPr>
      <w:r>
        <w:rPr>
          <w:rFonts w:hint="eastAsia" w:ascii="方正仿宋_GBK" w:hAnsi="仿宋_GB2312" w:cs="仿宋_GB2312"/>
        </w:rPr>
        <w:t>2、政府采购情况。本单位无政府采购预算。</w:t>
      </w:r>
    </w:p>
    <w:p w14:paraId="6CEF507F">
      <w:pPr>
        <w:spacing w:line="600" w:lineRule="exact"/>
        <w:ind w:firstLine="640" w:firstLineChars="200"/>
        <w:rPr>
          <w:rFonts w:ascii="方正仿宋_GBK" w:hAnsi="仿宋_GB2312" w:cs="仿宋_GB2312"/>
        </w:rPr>
      </w:pPr>
      <w:r>
        <w:rPr>
          <w:rFonts w:hint="eastAsia" w:ascii="方正仿宋_GBK" w:hAnsi="仿宋_GB2312" w:cs="仿宋_GB2312"/>
        </w:rPr>
        <w:t>3、绩效目标设置情况。2025年项目支出均实行了绩效目标管理，涉及一般公共预算当年财政拨款124.6万元。</w:t>
      </w:r>
    </w:p>
    <w:p w14:paraId="16DBD4D5">
      <w:pPr>
        <w:spacing w:line="600" w:lineRule="exact"/>
        <w:ind w:firstLine="640" w:firstLineChars="200"/>
        <w:rPr>
          <w:rFonts w:ascii="方正仿宋_GBK" w:hAnsi="仿宋_GB2312" w:cs="仿宋_GB2312"/>
        </w:rPr>
      </w:pPr>
      <w:r>
        <w:rPr>
          <w:rFonts w:hint="eastAsia" w:ascii="方正仿宋_GBK" w:hAnsi="仿宋_GB2312" w:cs="仿宋_GB2312"/>
        </w:rPr>
        <w:t>4、国有资产占有使用情况。</w:t>
      </w:r>
      <w:r>
        <w:rPr>
          <w:rFonts w:hint="eastAsia" w:ascii="方正仿宋_GBK" w:hAnsi="仿宋_GB2312" w:cs="仿宋_GB2312"/>
          <w:lang w:eastAsia="zh-CN"/>
        </w:rPr>
        <w:t>截至</w:t>
      </w:r>
      <w:r>
        <w:rPr>
          <w:rFonts w:hint="eastAsia" w:ascii="方正仿宋_GBK" w:hAnsi="仿宋_GB2312" w:cs="仿宋_GB2312"/>
        </w:rPr>
        <w:t>2024年12月，本单位共有车辆0辆。</w:t>
      </w:r>
    </w:p>
    <w:p w14:paraId="1EBDD712">
      <w:pPr>
        <w:spacing w:line="600" w:lineRule="exact"/>
        <w:ind w:firstLine="640" w:firstLineChars="200"/>
        <w:rPr>
          <w:rFonts w:ascii="方正黑体_GBK" w:hAnsi="黑体" w:eastAsia="方正黑体_GBK" w:cs="仿宋_GB2312"/>
        </w:rPr>
      </w:pPr>
      <w:r>
        <w:rPr>
          <w:rFonts w:hint="eastAsia" w:ascii="方正黑体_GBK" w:hAnsi="黑体" w:eastAsia="方正黑体_GBK" w:cs="仿宋_GB2312"/>
        </w:rPr>
        <w:t>六、专业性名词解释</w:t>
      </w:r>
    </w:p>
    <w:p w14:paraId="6EEBCD79">
      <w:pPr>
        <w:pStyle w:val="6"/>
        <w:tabs>
          <w:tab w:val="center" w:pos="4153"/>
          <w:tab w:val="left" w:pos="7275"/>
        </w:tabs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（一）财政拨款收入：指本年度从本级财政部门取得的财政拨款，包括一般公共预算财政拨款和政府性基金预算财政拨款。</w:t>
      </w:r>
    </w:p>
    <w:p w14:paraId="4431AB68">
      <w:pPr>
        <w:pStyle w:val="6"/>
        <w:tabs>
          <w:tab w:val="center" w:pos="4153"/>
          <w:tab w:val="left" w:pos="7275"/>
        </w:tabs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（二）基本支出：指为保障机构正常运转、完成日常工作任务而发生的人员经费和公用经费。</w:t>
      </w:r>
    </w:p>
    <w:p w14:paraId="0B3361FC">
      <w:pPr>
        <w:pStyle w:val="6"/>
        <w:tabs>
          <w:tab w:val="center" w:pos="4153"/>
          <w:tab w:val="left" w:pos="7275"/>
        </w:tabs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（三）项目支出：指在基本支出之外为完成特定行政任务和</w:t>
      </w:r>
      <w:r>
        <w:rPr>
          <w:rFonts w:hint="eastAsia" w:ascii="方正仿宋_GBK" w:hAnsi="仿宋_GB2312" w:eastAsia="方正仿宋_GBK" w:cs="仿宋_GB2312"/>
          <w:sz w:val="32"/>
          <w:szCs w:val="20"/>
        </w:rPr>
        <w:t>事业发展目标所发生的支出。</w:t>
      </w:r>
    </w:p>
    <w:p w14:paraId="53E94B3A">
      <w:pPr>
        <w:spacing w:line="600" w:lineRule="exact"/>
        <w:ind w:firstLine="640" w:firstLineChars="200"/>
        <w:rPr>
          <w:rFonts w:ascii="方正仿宋_GBK" w:hAnsi="仿宋_GB2312" w:cs="仿宋_GB2312"/>
        </w:rPr>
      </w:pPr>
      <w:r>
        <w:rPr>
          <w:rFonts w:hint="eastAsia" w:ascii="方正仿宋_GBK"/>
          <w:szCs w:val="32"/>
        </w:rPr>
        <w:t>（四）</w:t>
      </w:r>
      <w:r>
        <w:rPr>
          <w:rFonts w:hint="eastAsia" w:ascii="方正仿宋_GBK" w:hAnsi="仿宋_GB2312" w:cs="仿宋_GB2312"/>
        </w:rPr>
        <w:t>“三公”经费：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 w14:paraId="4FDB2C0D">
      <w:pPr>
        <w:spacing w:line="600" w:lineRule="exact"/>
        <w:ind w:firstLine="640" w:firstLineChars="200"/>
        <w:rPr>
          <w:rFonts w:ascii="方正仿宋_GBK" w:hAnsi="仿宋_GB2312" w:cs="仿宋_GB2312"/>
        </w:rPr>
      </w:pPr>
    </w:p>
    <w:p w14:paraId="3C69C84E">
      <w:pPr>
        <w:spacing w:line="600" w:lineRule="exact"/>
        <w:rPr>
          <w:rFonts w:ascii="方正仿宋_GBK"/>
        </w:rPr>
      </w:pPr>
      <w:r>
        <w:rPr>
          <w:rFonts w:hint="eastAsia" w:ascii="方正仿宋_GBK" w:hAnsi="仿宋_GB2312" w:cs="仿宋_GB2312"/>
        </w:rPr>
        <w:t>部门预算公开联系人：肖洒洒   联系方式：</w:t>
      </w:r>
      <w:r>
        <w:rPr>
          <w:rFonts w:hint="eastAsia" w:ascii="方正仿宋_GBK"/>
        </w:rPr>
        <w:t>023-65740214</w:t>
      </w:r>
    </w:p>
    <w:p w14:paraId="67D16539">
      <w:pPr>
        <w:ind w:firstLine="640" w:firstLineChars="200"/>
        <w:rPr>
          <w:rFonts w:ascii="方正仿宋_GBK"/>
        </w:rPr>
      </w:pPr>
    </w:p>
    <w:p w14:paraId="71FA26E2"/>
    <w:sectPr>
      <w:footerReference r:id="rId3" w:type="default"/>
      <w:footerReference r:id="rId4" w:type="even"/>
      <w:pgSz w:w="11906" w:h="16838"/>
      <w:pgMar w:top="2098" w:right="1531" w:bottom="1701" w:left="1531" w:header="851" w:footer="1474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43B48B-B551-430F-B18B-8173C49428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6874FF-6D22-427D-A220-72E56EDF54B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A9508A0-C525-4CF6-8F07-2E73891BDB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D32B783-A831-4F98-AF4B-A42C255EA8B8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9B19707F-53F1-461C-B7F8-9D53C335319D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6" w:fontKey="{71B89987-C735-4D54-8861-7F93DC69515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1389C26E-EC43-473E-84E4-BF976081A0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CDEE0">
    <w:pPr>
      <w:pStyle w:val="2"/>
      <w:framePr w:wrap="around" w:vAnchor="text" w:hAnchor="margin" w:xAlign="outside" w:y="1"/>
      <w:ind w:right="320" w:rightChars="100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eastAsia="宋体"/>
        <w:sz w:val="28"/>
        <w:szCs w:val="28"/>
      </w:rPr>
      <w:fldChar w:fldCharType="begin"/>
    </w:r>
    <w:r>
      <w:rPr>
        <w:rStyle w:val="5"/>
        <w:rFonts w:eastAsia="宋体"/>
        <w:sz w:val="28"/>
        <w:szCs w:val="28"/>
      </w:rPr>
      <w:instrText xml:space="preserve">PAGE  </w:instrText>
    </w:r>
    <w:r>
      <w:rPr>
        <w:rStyle w:val="5"/>
        <w:rFonts w:eastAsia="宋体"/>
        <w:sz w:val="28"/>
        <w:szCs w:val="28"/>
      </w:rPr>
      <w:fldChar w:fldCharType="separate"/>
    </w:r>
    <w:r>
      <w:rPr>
        <w:rStyle w:val="5"/>
        <w:rFonts w:eastAsia="宋体"/>
        <w:sz w:val="28"/>
        <w:szCs w:val="28"/>
      </w:rPr>
      <w:t>4</w:t>
    </w:r>
    <w:r>
      <w:rPr>
        <w:rStyle w:val="5"/>
        <w:rFonts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 w14:paraId="6888D06D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FC396">
    <w:pPr>
      <w:pStyle w:val="2"/>
      <w:framePr w:wrap="around" w:vAnchor="text" w:hAnchor="margin" w:xAlign="outside" w:y="1"/>
      <w:ind w:left="320" w:leftChars="100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10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 w14:paraId="08FF9901">
    <w:pPr>
      <w:pStyle w:val="2"/>
      <w:framePr w:wrap="around" w:vAnchor="text" w:hAnchor="margin" w:xAlign="outside" w:y="1"/>
      <w:ind w:left="640" w:leftChars="200" w:right="640" w:rightChars="200" w:firstLine="360"/>
      <w:rPr>
        <w:rStyle w:val="5"/>
        <w:rFonts w:ascii="宋体" w:hAnsi="宋体" w:eastAsia="宋体"/>
        <w:sz w:val="28"/>
        <w:szCs w:val="28"/>
      </w:rPr>
    </w:pPr>
  </w:p>
  <w:p w14:paraId="6E3B805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065FE"/>
    <w:rsid w:val="00160E39"/>
    <w:rsid w:val="002F067F"/>
    <w:rsid w:val="00750947"/>
    <w:rsid w:val="43F45646"/>
    <w:rsid w:val="5E362855"/>
    <w:rsid w:val="61C065FE"/>
    <w:rsid w:val="771C473B"/>
    <w:rsid w:val="7E65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仿宋" w:hAnsi="仿宋" w:eastAsia="仿宋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1333</Words>
  <Characters>1462</Characters>
  <Lines>10</Lines>
  <Paragraphs>2</Paragraphs>
  <TotalTime>19</TotalTime>
  <ScaleCrop>false</ScaleCrop>
  <LinksUpToDate>false</LinksUpToDate>
  <CharactersWithSpaces>1465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2025-03-31T13:04:00Z</dcterms:created>
  <dc:creator>Administrator</dc:creator>
  <cp:lastModifiedBy>silence</cp:lastModifiedBy>
  <dcterms:modified xsi:type="dcterms:W3CDTF">2025-05-07T02:58:27Z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ABF7E220CBBE4326A5BF7E815CB7FFC1_11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