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B6175">
      <w:pPr>
        <w:pStyle w:val="9"/>
        <w:spacing w:before="0" w:beforeAutospacing="0" w:after="0" w:afterAutospacing="0" w:line="596"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重庆市九龙坡区金凤镇社会管理信息服务中心</w:t>
      </w:r>
    </w:p>
    <w:p w14:paraId="0E3541AE">
      <w:pPr>
        <w:pStyle w:val="9"/>
        <w:spacing w:before="0" w:beforeAutospacing="0" w:after="0" w:afterAutospacing="0" w:line="596" w:lineRule="exact"/>
        <w:jc w:val="center"/>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09785AF3">
      <w:pPr>
        <w:pStyle w:val="9"/>
        <w:shd w:val="clear" w:color="auto" w:fill="FFFFFF"/>
        <w:spacing w:before="0" w:beforeAutospacing="0" w:after="0" w:afterAutospacing="0" w:line="596" w:lineRule="exact"/>
        <w:ind w:firstLine="540" w:firstLineChars="200"/>
        <w:rPr>
          <w:rFonts w:ascii="Times New Roman" w:hAnsi="Times New Roman"/>
          <w:sz w:val="27"/>
          <w:szCs w:val="27"/>
          <w:shd w:val="clear" w:color="auto" w:fill="FFFF00"/>
        </w:rPr>
      </w:pPr>
    </w:p>
    <w:p w14:paraId="493D1691">
      <w:pPr>
        <w:pStyle w:val="9"/>
        <w:shd w:val="clear" w:color="auto" w:fill="FFFFFF"/>
        <w:spacing w:before="0" w:beforeAutospacing="0" w:after="0" w:afterAutospacing="0" w:line="596" w:lineRule="exact"/>
        <w:ind w:firstLine="643" w:firstLineChars="200"/>
        <w:rPr>
          <w:rFonts w:hint="default" w:ascii="Times New Roman" w:hAnsi="Times New Roman"/>
          <w:sz w:val="27"/>
          <w:szCs w:val="27"/>
          <w:shd w:val="clear" w:color="auto" w:fill="FFFF00"/>
        </w:rPr>
      </w:pPr>
      <w:r>
        <w:rPr>
          <w:rStyle w:val="13"/>
          <w:rFonts w:ascii="Times New Roman" w:hAnsi="Times New Roman" w:eastAsia="黑体" w:cs="黑体"/>
          <w:sz w:val="32"/>
          <w:szCs w:val="32"/>
          <w:shd w:val="clear" w:color="auto" w:fill="FFFFFF"/>
        </w:rPr>
        <w:t>一、</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基本情况</w:t>
      </w:r>
    </w:p>
    <w:p w14:paraId="431ABA25">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cs="方正仿宋_GBK"/>
          <w:sz w:val="32"/>
          <w:szCs w:val="32"/>
        </w:rPr>
      </w:pPr>
      <w:r>
        <w:rPr>
          <w:rStyle w:val="13"/>
          <w:rFonts w:ascii="Times New Roman" w:hAnsi="Times New Roman" w:eastAsia="楷体" w:cs="楷体"/>
          <w:sz w:val="32"/>
          <w:szCs w:val="32"/>
          <w:shd w:val="clear" w:color="auto" w:fill="FFFFFF"/>
        </w:rPr>
        <w:t>（一）职能职责</w:t>
      </w:r>
    </w:p>
    <w:p w14:paraId="5D97578F">
      <w:pPr>
        <w:widowControl w:val="0"/>
        <w:shd w:val="clear" w:color="auto" w:fill="FFFFFF"/>
        <w:spacing w:line="600" w:lineRule="exact"/>
        <w:ind w:firstLine="640" w:firstLineChars="200"/>
        <w:textAlignment w:val="baseline"/>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金凤镇社会管理信息服务中心的主要职责：集中承担社会管理信息收集、排查、调度、上报等的事务性工作。</w:t>
      </w:r>
    </w:p>
    <w:p w14:paraId="1CDB8E13">
      <w:pPr>
        <w:pStyle w:val="9"/>
        <w:shd w:val="clear" w:color="auto" w:fill="FFFFFF"/>
        <w:spacing w:before="0" w:beforeAutospacing="0" w:after="0" w:afterAutospacing="0" w:line="596" w:lineRule="exact"/>
        <w:ind w:firstLine="643" w:firstLineChars="200"/>
        <w:rPr>
          <w:rFonts w:hint="default" w:ascii="Times New Roman" w:hAnsi="Times New Roman" w:eastAsia="楷体" w:cs="楷体"/>
          <w:sz w:val="32"/>
          <w:szCs w:val="32"/>
        </w:rPr>
      </w:pPr>
      <w:r>
        <w:rPr>
          <w:rStyle w:val="13"/>
          <w:rFonts w:ascii="Times New Roman" w:hAnsi="Times New Roman" w:eastAsia="楷体" w:cs="楷体"/>
          <w:sz w:val="32"/>
          <w:szCs w:val="32"/>
          <w:shd w:val="clear" w:color="auto" w:fill="FFFFFF"/>
        </w:rPr>
        <w:t>（二）机构设置</w:t>
      </w:r>
      <w:bookmarkStart w:id="0" w:name="_GoBack"/>
      <w:bookmarkEnd w:id="0"/>
    </w:p>
    <w:p w14:paraId="1497566E">
      <w:pPr>
        <w:widowControl w:val="0"/>
        <w:shd w:val="clear" w:color="auto" w:fill="FFFFFF"/>
        <w:spacing w:line="600" w:lineRule="exact"/>
        <w:ind w:firstLine="640" w:firstLineChars="200"/>
        <w:textAlignment w:val="baseline"/>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无。</w:t>
      </w:r>
    </w:p>
    <w:p w14:paraId="2FEA2704">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二、</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决算收支情况说明</w:t>
      </w:r>
    </w:p>
    <w:p w14:paraId="4771A1F8">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671C2091">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收、支与2023年度相比，增加16.51万元，增长17.4%</w:t>
      </w:r>
      <w:r>
        <w:rPr>
          <w:rFonts w:ascii="Times New Roman" w:hAnsi="Times New Roman" w:eastAsia="方正仿宋_GBK" w:cs="方正仿宋_GBK"/>
          <w:sz w:val="32"/>
          <w:szCs w:val="32"/>
          <w:shd w:val="clear" w:color="auto" w:fill="FFFFFF"/>
        </w:rPr>
        <w:t>，主要原因是新增2024年1-11月职业年金和养老保险基数调整后缴费差额。</w:t>
      </w:r>
    </w:p>
    <w:p w14:paraId="3507F78C">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与2023年度相比，增加16.51万元，增长17.4%</w:t>
      </w:r>
      <w:r>
        <w:rPr>
          <w:rFonts w:ascii="Times New Roman" w:hAnsi="Times New Roman" w:eastAsia="方正仿宋_GBK" w:cs="方正仿宋_GBK"/>
          <w:sz w:val="32"/>
          <w:szCs w:val="32"/>
          <w:shd w:val="clear" w:color="auto" w:fill="FFFFFF"/>
        </w:rPr>
        <w:t>，主要原因是新增2024年1-11月职业年金和养老保险基数调整后缴费差额。其中：财政拨款收入</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CBD9C72">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与2023年度相比，增加16.51万元，增长17.4%</w:t>
      </w:r>
      <w:r>
        <w:rPr>
          <w:rFonts w:ascii="Times New Roman" w:hAnsi="Times New Roman" w:eastAsia="方正仿宋_GBK" w:cs="方正仿宋_GBK"/>
          <w:sz w:val="32"/>
          <w:szCs w:val="32"/>
          <w:shd w:val="clear" w:color="auto" w:fill="FFFFFF"/>
        </w:rPr>
        <w:t>，主要原因是补缴了2024年1-11月职业年金和养老保险基数调整后缴费差额。其中：基本支出</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6C72A8C4">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rPr>
        <w:t>。</w:t>
      </w:r>
    </w:p>
    <w:p w14:paraId="3DE2D153">
      <w:pPr>
        <w:pStyle w:val="9"/>
        <w:snapToGrid w:val="0"/>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（二）财政拨款收入支出决算总体情况说明</w:t>
      </w:r>
    </w:p>
    <w:p w14:paraId="67AC79F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财政拨款收、支总计各增加16.51万元，增长17.4%</w:t>
      </w:r>
      <w:r>
        <w:rPr>
          <w:rFonts w:ascii="Times New Roman" w:hAnsi="Times New Roman" w:eastAsia="方正仿宋_GBK" w:cs="方正仿宋_GBK"/>
          <w:sz w:val="32"/>
          <w:szCs w:val="32"/>
          <w:shd w:val="clear" w:color="auto" w:fill="FFFFFF"/>
        </w:rPr>
        <w:t>。主要原因是新增2024年1-11月职业年金和养老保险基数调整后缴费差额。</w:t>
      </w:r>
    </w:p>
    <w:p w14:paraId="6939D8C8">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04467C45">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与2023年度相比，增加16.51万元，增长17.4%</w:t>
      </w: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主要原因是新增2024年1-11月社保基数调整后缴费金额。</w:t>
      </w:r>
      <w:r>
        <w:rPr>
          <w:rFonts w:hint="default" w:ascii="Times New Roman" w:hAnsi="Times New Roman" w:eastAsia="方正仿宋_GBK"/>
          <w:sz w:val="32"/>
          <w:szCs w:val="32"/>
          <w:shd w:val="clear" w:color="auto" w:fill="FFFFFF"/>
        </w:rPr>
        <w:t>较年初预算数增加47.60万元，增长74.7%</w:t>
      </w:r>
      <w:r>
        <w:rPr>
          <w:rFonts w:ascii="Times New Roman" w:hAnsi="Times New Roman" w:eastAsia="方正仿宋_GBK" w:cs="方正仿宋_GBK"/>
          <w:sz w:val="32"/>
          <w:szCs w:val="32"/>
          <w:shd w:val="clear" w:color="auto" w:fill="FFFFFF"/>
        </w:rPr>
        <w:t>。主要原因是人员职级晋升及社保基数增加。此外，年初财政拨款结转和结余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67B445D9">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与2023年度相比，增加16.51万元，增长17.4%</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2024年1-11月社保基数调整后增加缴费金额。</w:t>
      </w:r>
      <w:r>
        <w:rPr>
          <w:rFonts w:hint="default" w:ascii="Times New Roman" w:hAnsi="Times New Roman" w:eastAsia="方正仿宋_GBK"/>
          <w:sz w:val="32"/>
          <w:szCs w:val="32"/>
          <w:shd w:val="clear" w:color="auto" w:fill="FFFFFF"/>
        </w:rPr>
        <w:t>较年初预算数增加47.60万元，增长74.7%</w:t>
      </w:r>
      <w:r>
        <w:rPr>
          <w:rFonts w:ascii="Times New Roman" w:hAnsi="Times New Roman" w:eastAsia="方正仿宋_GBK" w:cs="方正仿宋_GBK"/>
          <w:sz w:val="32"/>
          <w:szCs w:val="32"/>
          <w:shd w:val="clear" w:color="auto" w:fill="FFFFFF"/>
        </w:rPr>
        <w:t>。主要原因是人员职级增资及社保基数增加。</w:t>
      </w:r>
    </w:p>
    <w:p w14:paraId="7E84984C">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285C389B">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97.39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87.5%</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较年初预算数增加45.21万元，增长86.6%</w:t>
      </w:r>
      <w:r>
        <w:rPr>
          <w:rFonts w:ascii="Times New Roman" w:hAnsi="Times New Roman" w:eastAsia="方正仿宋_GBK" w:cs="方正仿宋_GBK"/>
          <w:sz w:val="32"/>
          <w:szCs w:val="32"/>
          <w:shd w:val="clear" w:color="auto" w:fill="FFFFFF"/>
        </w:rPr>
        <w:t>，主要原因是人员职级增资。</w:t>
      </w:r>
    </w:p>
    <w:p w14:paraId="5D1C4D6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7.99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较年初预算数增加2.44万元，增长44.0%</w:t>
      </w:r>
      <w:r>
        <w:rPr>
          <w:rFonts w:ascii="Times New Roman" w:hAnsi="Times New Roman" w:eastAsia="方正仿宋_GBK"/>
          <w:sz w:val="32"/>
          <w:szCs w:val="32"/>
          <w:shd w:val="clear" w:color="auto" w:fill="FFFFFF"/>
        </w:rPr>
        <w:t>，主要原因是社保基数调整。</w:t>
      </w:r>
    </w:p>
    <w:p w14:paraId="58890960">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3.20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较年初预算数减少0.04万元，下降1.2%</w:t>
      </w:r>
      <w:r>
        <w:rPr>
          <w:rFonts w:ascii="Times New Roman" w:hAnsi="Times New Roman" w:eastAsia="方正仿宋_GBK" w:cs="方正仿宋_GBK"/>
          <w:sz w:val="32"/>
          <w:szCs w:val="32"/>
          <w:shd w:val="clear" w:color="auto" w:fill="FFFFFF"/>
        </w:rPr>
        <w:t>，主要原因是社保基数调整。</w:t>
      </w:r>
    </w:p>
    <w:p w14:paraId="5EC244AC">
      <w:pPr>
        <w:spacing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2.78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w:t>
      </w:r>
    </w:p>
    <w:p w14:paraId="25C9F1E8">
      <w:pPr>
        <w:pStyle w:val="9"/>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rPr>
        <w:t>。</w:t>
      </w:r>
    </w:p>
    <w:p w14:paraId="76916EA6">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510A5ECF">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111.35</w:t>
      </w:r>
      <w:r>
        <w:rPr>
          <w:rFonts w:ascii="Times New Roman" w:hAnsi="Times New Roman" w:eastAsia="方正仿宋_GBK" w:cs="方正仿宋_GBK"/>
          <w:sz w:val="32"/>
          <w:szCs w:val="32"/>
          <w:shd w:val="clear" w:color="auto" w:fill="FFFFFF"/>
        </w:rPr>
        <w:t>万元。</w:t>
      </w:r>
    </w:p>
    <w:p w14:paraId="6E26E968">
      <w:pPr>
        <w:pStyle w:val="9"/>
        <w:snapToGrid w:val="0"/>
        <w:spacing w:before="0" w:beforeAutospacing="0" w:after="0" w:afterAutospacing="0" w:line="596" w:lineRule="exact"/>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178CD1A1">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96.35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与2023年度相比，增加15.32万元，增长18.9%</w:t>
      </w:r>
      <w:r>
        <w:rPr>
          <w:rFonts w:ascii="Times New Roman" w:hAnsi="Times New Roman" w:eastAsia="方正仿宋_GBK" w:cs="方正仿宋_GBK"/>
          <w:sz w:val="32"/>
          <w:szCs w:val="32"/>
          <w:shd w:val="clear" w:color="auto" w:fill="FFFFFF"/>
        </w:rPr>
        <w:t>，主要原因是补缴了2024年1-11月职业年金和养老保险基数调整后缴费差额。人员</w:t>
      </w:r>
      <w:r>
        <w:rPr>
          <w:rFonts w:hint="eastAsia" w:ascii="Times New Roman" w:hAnsi="Times New Roman" w:eastAsia="方正仿宋_GBK" w:cs="方正仿宋_GBK"/>
          <w:sz w:val="32"/>
          <w:szCs w:val="32"/>
          <w:shd w:val="clear" w:color="auto" w:fill="FFFFFF"/>
          <w:lang w:eastAsia="zh-CN"/>
        </w:rPr>
        <w:t>经费用途主要包括人员</w:t>
      </w:r>
      <w:r>
        <w:rPr>
          <w:rFonts w:ascii="Times New Roman" w:hAnsi="Times New Roman" w:eastAsia="方正仿宋_GBK" w:cs="方正仿宋_GBK"/>
          <w:sz w:val="32"/>
          <w:szCs w:val="32"/>
        </w:rPr>
        <w:t>工资、社会保险及住房公积金缴费、体检费、医保垫底资金等。</w:t>
      </w:r>
    </w:p>
    <w:p w14:paraId="4A21E3D4">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与2023年度相比，增加1.18万元</w:t>
      </w:r>
      <w:r>
        <w:rPr>
          <w:rFonts w:hint="default" w:ascii="Times New Roman" w:hAnsi="Times New Roman" w:eastAsia="方正仿宋_GBK" w:cs="方正仿宋_GBK"/>
          <w:sz w:val="32"/>
          <w:szCs w:val="32"/>
          <w:shd w:val="clear" w:color="auto" w:fill="FFFFFF"/>
        </w:rPr>
        <w:t>，增长8.5%</w:t>
      </w:r>
      <w:r>
        <w:rPr>
          <w:rFonts w:ascii="Times New Roman" w:hAnsi="Times New Roman" w:eastAsia="方正仿宋_GBK" w:cs="方正仿宋_GBK"/>
          <w:sz w:val="32"/>
          <w:szCs w:val="32"/>
          <w:shd w:val="clear" w:color="auto" w:fill="FFFFFF"/>
        </w:rPr>
        <w:t>，主要原因是人员晋级增资增加福利费、职工教育费及工会经费提取基数。</w:t>
      </w:r>
      <w:r>
        <w:rPr>
          <w:rFonts w:hint="eastAsia" w:ascii="Times New Roman" w:hAnsi="Times New Roman" w:eastAsia="方正仿宋_GBK" w:cs="方正仿宋_GBK"/>
          <w:sz w:val="32"/>
          <w:szCs w:val="32"/>
          <w:shd w:val="clear" w:color="auto" w:fill="FFFFFF"/>
          <w:lang w:eastAsia="zh-CN"/>
        </w:rPr>
        <w:t>公用经费用途主要包括</w:t>
      </w:r>
      <w:r>
        <w:rPr>
          <w:rFonts w:ascii="Times New Roman" w:hAnsi="Times New Roman" w:eastAsia="方正仿宋_GBK" w:cs="方正仿宋_GBK"/>
          <w:sz w:val="32"/>
          <w:szCs w:val="32"/>
        </w:rPr>
        <w:t>办公费、水电费、维修费、劳务费等。</w:t>
      </w:r>
    </w:p>
    <w:p w14:paraId="1529A6E7">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71231F9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本单位2024年度政府性预算财政拨款收支。</w:t>
      </w:r>
    </w:p>
    <w:p w14:paraId="17CF02F6">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794706F0">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本单位2024年度国有资本经营预算财政拨款收支。</w:t>
      </w:r>
    </w:p>
    <w:p w14:paraId="7801F5BA">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三、财政拨款“三公”经费情况说明</w:t>
      </w:r>
    </w:p>
    <w:p w14:paraId="580397BE">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349682D1">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万元，较年初预算数和上年支出数都无增减，主要原因是本单位没有公务车辆保有量，接待费由政府本级统一核算，无因公出国费。</w:t>
      </w:r>
    </w:p>
    <w:p w14:paraId="65E584FC">
      <w:pPr>
        <w:pStyle w:val="9"/>
        <w:snapToGrid w:val="0"/>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（二）“三公”经费分项支出情况</w:t>
      </w:r>
    </w:p>
    <w:p w14:paraId="7400F55A">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本单位2024年未发生因公出国（境）支出。</w:t>
      </w:r>
    </w:p>
    <w:p w14:paraId="74D6D2A9">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本单位2024年未发生公务车购置支出。</w:t>
      </w:r>
    </w:p>
    <w:p w14:paraId="71A266A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本单位2024年未发生公务车运行维护费</w:t>
      </w:r>
      <w:r>
        <w:rPr>
          <w:rFonts w:ascii="Times New Roman" w:hAnsi="Times New Roman" w:eastAsia="方正仿宋_GBK" w:cs="方正仿宋_GBK"/>
          <w:sz w:val="32"/>
          <w:szCs w:val="32"/>
        </w:rPr>
        <w:t>支出。</w:t>
      </w:r>
    </w:p>
    <w:p w14:paraId="7481C335">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本单位2024年未发生公务接待费支出。</w:t>
      </w:r>
    </w:p>
    <w:p w14:paraId="03F97CF5">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73CDCC8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1E941A75">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四、其他需要说明的事项</w:t>
      </w:r>
    </w:p>
    <w:p w14:paraId="7733ED3B">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0FC898A5">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上年决算数无增减，主要原因是各单位会议由党政办公室统一组织，费用在政府本级中列支。本年度培训费支出0.3万元，较上年决算数增加0.15万元，增长100.00%，主要原因是人员晋级调资增加职工教育经费提取基数。本年度差旅费支出</w:t>
      </w:r>
      <w:r>
        <w:rPr>
          <w:rFonts w:hint="default" w:ascii="Times New Roman" w:hAnsi="Times New Roman" w:eastAsia="方正仿宋_GBK" w:cs="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cs="方正仿宋_GBK"/>
          <w:sz w:val="32"/>
          <w:szCs w:val="32"/>
          <w:shd w:val="clear" w:color="auto" w:fill="FFFFFF"/>
        </w:rPr>
        <w:t>与2023年度相比无变化</w:t>
      </w:r>
      <w:r>
        <w:rPr>
          <w:rFonts w:ascii="Times New Roman" w:hAnsi="Times New Roman" w:eastAsia="方正仿宋_GBK" w:cs="方正仿宋_GBK"/>
          <w:sz w:val="32"/>
          <w:szCs w:val="32"/>
          <w:shd w:val="clear" w:color="auto" w:fill="FFFFFF"/>
        </w:rPr>
        <w:t>。</w:t>
      </w:r>
    </w:p>
    <w:p w14:paraId="3442B944">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18E72F5E">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按照</w:t>
      </w:r>
      <w:r>
        <w:rPr>
          <w:rFonts w:hint="eastAsia" w:ascii="Times New Roman" w:hAnsi="Times New Roman" w:eastAsia="方正仿宋_GBK" w:cs="方正仿宋_GBK"/>
          <w:sz w:val="32"/>
          <w:szCs w:val="32"/>
          <w:shd w:val="clear" w:color="auto" w:fill="FFFFFF"/>
          <w:lang w:eastAsia="zh-CN"/>
        </w:rPr>
        <w:t>部门</w:t>
      </w:r>
      <w:r>
        <w:rPr>
          <w:rFonts w:ascii="Times New Roman" w:hAnsi="Times New Roman" w:eastAsia="方正仿宋_GBK" w:cs="方正仿宋_GBK"/>
          <w:sz w:val="32"/>
          <w:szCs w:val="32"/>
          <w:shd w:val="clear" w:color="auto" w:fill="FFFFFF"/>
        </w:rPr>
        <w:t>决算列报口径，我单位不在机关运行经费统计范围之内。</w:t>
      </w:r>
    </w:p>
    <w:p w14:paraId="3AB2BD3E">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34DF6F28">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2D54ED37">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6CD39D97">
      <w:pPr>
        <w:pStyle w:val="15"/>
        <w:spacing w:before="0" w:beforeAutospacing="0" w:after="0" w:afterAutospacing="0" w:line="596" w:lineRule="exact"/>
        <w:ind w:left="641" w:leftChars="267"/>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年我单位未发生政府采购事项，无相关经费支出</w:t>
      </w:r>
      <w:r>
        <w:rPr>
          <w:rFonts w:hint="eastAsia" w:ascii="Times New Roman" w:hAnsi="Times New Roman" w:eastAsia="方正仿宋_GBK" w:cs="方正仿宋_GBK"/>
          <w:sz w:val="32"/>
          <w:szCs w:val="32"/>
          <w:shd w:val="clear" w:color="auto" w:fill="FFFFFF"/>
          <w:lang w:eastAsia="zh-CN"/>
        </w:rPr>
        <w:t>。</w:t>
      </w:r>
    </w:p>
    <w:p w14:paraId="6CEC8BC9">
      <w:pPr>
        <w:pStyle w:val="15"/>
        <w:spacing w:before="0" w:beforeAutospacing="0" w:after="0" w:afterAutospacing="0" w:line="596" w:lineRule="exact"/>
        <w:ind w:left="641" w:leftChars="267"/>
        <w:rPr>
          <w:rStyle w:val="13"/>
          <w:rFonts w:ascii="Times New Roman" w:hAnsi="Times New Roman" w:eastAsia="黑体" w:cs="黑体"/>
          <w:sz w:val="32"/>
          <w:szCs w:val="32"/>
          <w:shd w:val="clear" w:color="auto" w:fill="FFFFFF"/>
        </w:rPr>
      </w:pPr>
      <w:r>
        <w:rPr>
          <w:rStyle w:val="13"/>
          <w:rFonts w:hint="eastAsia" w:ascii="Times New Roman" w:hAnsi="Times New Roman" w:eastAsia="黑体" w:cs="黑体"/>
          <w:sz w:val="32"/>
          <w:szCs w:val="32"/>
          <w:shd w:val="clear" w:color="auto" w:fill="FFFFFF"/>
        </w:rPr>
        <w:t>五、2024年度预算绩效管理情况说明</w:t>
      </w:r>
    </w:p>
    <w:p w14:paraId="3002329C">
      <w:pPr>
        <w:pStyle w:val="15"/>
        <w:autoSpaceDE w:val="0"/>
        <w:spacing w:before="0" w:beforeAutospacing="0" w:after="0" w:afterAutospacing="0" w:line="596" w:lineRule="exact"/>
        <w:ind w:firstLine="643" w:firstLineChars="200"/>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自评情况</w:t>
      </w:r>
    </w:p>
    <w:p w14:paraId="3D3B81F0">
      <w:pPr>
        <w:pStyle w:val="15"/>
        <w:widowControl w:val="0"/>
        <w:autoSpaceDE w:val="0"/>
        <w:spacing w:before="0" w:beforeAutospacing="0" w:after="0" w:afterAutospacing="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2024年度本单位无项目支出预算，不涉及项目绩效自评。</w:t>
      </w:r>
    </w:p>
    <w:p w14:paraId="5529C570">
      <w:pPr>
        <w:pStyle w:val="9"/>
        <w:widowControl w:val="0"/>
        <w:shd w:val="clear" w:color="auto" w:fill="FFFFFF"/>
        <w:spacing w:before="0" w:beforeAutospacing="0" w:after="0" w:afterAutospacing="0" w:line="600" w:lineRule="exact"/>
        <w:ind w:firstLine="643" w:firstLineChars="200"/>
        <w:rPr>
          <w:rStyle w:val="13"/>
          <w:rFonts w:hint="default" w:ascii="Times New Roman" w:hAnsi="Times New Roman" w:eastAsia="方正楷体_GBK" w:cs="方正楷体_GBK"/>
          <w:b w:val="0"/>
          <w:bCs/>
          <w:sz w:val="32"/>
          <w:szCs w:val="32"/>
          <w:shd w:val="clear" w:color="auto" w:fill="FFFFFF"/>
        </w:rPr>
      </w:pPr>
      <w:r>
        <w:rPr>
          <w:rStyle w:val="13"/>
          <w:rFonts w:ascii="Times New Roman" w:hAnsi="Times New Roman" w:eastAsia="方正楷体_GBK" w:cs="方正楷体_GBK"/>
          <w:bCs/>
          <w:sz w:val="32"/>
          <w:szCs w:val="32"/>
          <w:shd w:val="clear" w:color="auto" w:fill="FFFFFF"/>
        </w:rPr>
        <w:t>（二）单位绩效评价情况</w:t>
      </w:r>
    </w:p>
    <w:p w14:paraId="68A3206F">
      <w:pPr>
        <w:pStyle w:val="15"/>
        <w:widowControl w:val="0"/>
        <w:autoSpaceDE w:val="0"/>
        <w:spacing w:before="0" w:beforeAutospacing="0" w:after="0" w:afterAutospacing="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2024年度本单位未组织开展绩效评价。</w:t>
      </w:r>
    </w:p>
    <w:p w14:paraId="476956A7">
      <w:pPr>
        <w:pStyle w:val="9"/>
        <w:widowControl w:val="0"/>
        <w:shd w:val="clear" w:color="auto" w:fill="FFFFFF"/>
        <w:spacing w:before="0" w:beforeAutospacing="0" w:after="0" w:afterAutospacing="0" w:line="600" w:lineRule="exact"/>
        <w:ind w:firstLine="643" w:firstLineChars="200"/>
        <w:rPr>
          <w:rStyle w:val="13"/>
          <w:rFonts w:hint="default" w:ascii="Times New Roman" w:hAnsi="Times New Roman" w:eastAsia="方正楷体_GBK" w:cs="方正楷体_GBK"/>
          <w:b w:val="0"/>
          <w:bCs/>
          <w:sz w:val="32"/>
          <w:szCs w:val="32"/>
          <w:shd w:val="clear" w:color="auto" w:fill="FFFFFF"/>
        </w:rPr>
      </w:pPr>
      <w:r>
        <w:rPr>
          <w:rStyle w:val="13"/>
          <w:rFonts w:ascii="Times New Roman" w:hAnsi="Times New Roman" w:eastAsia="方正楷体_GBK" w:cs="方正楷体_GBK"/>
          <w:bCs/>
          <w:sz w:val="32"/>
          <w:szCs w:val="32"/>
          <w:shd w:val="clear" w:color="auto" w:fill="FFFFFF"/>
        </w:rPr>
        <w:t>（三）财政绩效评价情况</w:t>
      </w:r>
    </w:p>
    <w:p w14:paraId="735A42DF">
      <w:pPr>
        <w:pStyle w:val="14"/>
        <w:widowControl w:val="0"/>
        <w:autoSpaceDE w:val="0"/>
        <w:spacing w:line="600"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重庆高新区财政局未委托第三方对我单位开展绩效评价。</w:t>
      </w:r>
    </w:p>
    <w:p w14:paraId="1375438B">
      <w:pPr>
        <w:pStyle w:val="15"/>
        <w:autoSpaceDE w:val="0"/>
        <w:spacing w:before="0" w:beforeAutospacing="0" w:after="0" w:afterAutospacing="0" w:line="596" w:lineRule="exact"/>
        <w:rPr>
          <w:rFonts w:ascii="Times New Roman" w:hAnsi="Times New Roman" w:eastAsia="方正仿宋_GBK" w:cs="方正仿宋_GBK"/>
          <w:sz w:val="32"/>
          <w:szCs w:val="32"/>
        </w:rPr>
      </w:pPr>
      <w:r>
        <w:rPr>
          <w:rStyle w:val="16"/>
          <w:rFonts w:hint="eastAsia" w:ascii="Times New Roman" w:hAnsi="Times New Roman" w:eastAsia="方正仿宋_GBK" w:cs="方正仿宋_GBK"/>
          <w:sz w:val="32"/>
          <w:szCs w:val="32"/>
          <w:shd w:val="clear" w:color="auto" w:fill="FFFFFF"/>
        </w:rPr>
        <w:t xml:space="preserve">   </w:t>
      </w:r>
      <w:r>
        <w:rPr>
          <w:rStyle w:val="13"/>
          <w:rFonts w:hint="eastAsia" w:ascii="Times New Roman" w:hAnsi="Times New Roman" w:eastAsia="黑体" w:cs="黑体"/>
          <w:sz w:val="32"/>
          <w:szCs w:val="32"/>
          <w:shd w:val="clear" w:color="auto" w:fill="FFFFFF"/>
        </w:rPr>
        <w:t xml:space="preserve"> 六、专业名词解释</w:t>
      </w:r>
    </w:p>
    <w:p w14:paraId="31FFE266">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取得的财政拨款，包括一般公共预算财政拨款和政府性基金预算财政拨款。</w:t>
      </w:r>
    </w:p>
    <w:p w14:paraId="031C884B">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（二）年初结转和结余：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0D18FFBA">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（三）年末结转和结余：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250C4A2B">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（四）基本支出：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3E2959">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（五）项目支出：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489E8F9D">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（六） “三公”经费：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FFCAED">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（七）机关运行经费：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AD6C3E8">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（八）工资福利支出（支出经济分类科目类级）：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47170E0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（九）商品和服务支出（支出经济分类科目类级）：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6B064EFA">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0AB9E635">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（十一）其他资本性支出（支出经济分类科目类级）：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89C9C8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黑体" w:cs="黑体"/>
          <w:sz w:val="32"/>
          <w:szCs w:val="32"/>
          <w:shd w:val="clear" w:color="auto" w:fill="FFFFFF"/>
        </w:rPr>
        <w:t>七、决算公开联系方式及信息反馈渠道</w:t>
      </w:r>
    </w:p>
    <w:p w14:paraId="304F0384">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本单位决算公开信息反馈和联系方式：023-65740214</w:t>
      </w:r>
    </w:p>
    <w:p w14:paraId="4823BB9A">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p>
    <w:p w14:paraId="73B3BD80">
      <w:pPr>
        <w:pStyle w:val="9"/>
        <w:widowControl w:val="0"/>
        <w:snapToGrid w:val="0"/>
        <w:spacing w:before="0" w:beforeAutospacing="0" w:after="0" w:afterAutospacing="0" w:line="600" w:lineRule="exact"/>
        <w:ind w:firstLine="640" w:firstLineChars="200"/>
        <w:jc w:val="both"/>
        <w:rPr>
          <w:rStyle w:val="13"/>
          <w:rFonts w:hint="default" w:ascii="Times New Roman" w:hAnsi="Times New Roman" w:eastAsia="方正仿宋_GBK" w:cs="方正仿宋_GBK"/>
          <w:sz w:val="32"/>
          <w:szCs w:val="32"/>
          <w:shd w:val="clear" w:color="auto" w:fill="FFFF00"/>
        </w:rPr>
        <w:sectPr>
          <w:footerReference r:id="rId3" w:type="default"/>
          <w:pgSz w:w="11915" w:h="16840"/>
          <w:pgMar w:top="1618" w:right="1531" w:bottom="1542" w:left="1531" w:header="851" w:footer="1531" w:gutter="0"/>
          <w:cols w:space="0" w:num="1"/>
          <w:docGrid w:type="lines" w:linePitch="312" w:charSpace="0"/>
        </w:sectPr>
      </w:pPr>
      <w:r>
        <w:rPr>
          <w:rFonts w:ascii="Times New Roman" w:hAnsi="Times New Roman" w:eastAsia="方正仿宋_GBK" w:cs="方正仿宋_GBK"/>
          <w:sz w:val="32"/>
          <w:szCs w:val="32"/>
        </w:rPr>
        <w:t>附件：金凤镇社会管理信息服务中心2024年</w:t>
      </w:r>
      <w:r>
        <w:rPr>
          <w:rFonts w:hint="eastAsia" w:ascii="Times New Roman" w:hAnsi="Times New Roman" w:eastAsia="方正仿宋_GBK" w:cs="方正仿宋_GBK"/>
          <w:sz w:val="32"/>
          <w:szCs w:val="32"/>
          <w:lang w:eastAsia="zh-CN"/>
        </w:rPr>
        <w:t>单位</w:t>
      </w:r>
      <w:r>
        <w:rPr>
          <w:rFonts w:ascii="Times New Roman" w:hAnsi="Times New Roman" w:eastAsia="方正仿宋_GBK" w:cs="方正仿宋_GBK"/>
          <w:sz w:val="32"/>
          <w:szCs w:val="32"/>
        </w:rPr>
        <w:t>决算公开表</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249FC0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377569B">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525D4B5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E4CB19A">
            <w:pP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F4B5100">
            <w:pP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85C37A2">
            <w:pP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022A7A1">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41C3693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27117C4">
            <w:pPr>
              <w:spacing w:line="280" w:lineRule="exact"/>
              <w:rPr>
                <w:rFonts w:hint="default" w:ascii="Times New Roman" w:hAnsi="Times New Roman" w:cs="Arial"/>
                <w:color w:val="000000"/>
                <w:sz w:val="22"/>
                <w:szCs w:val="22"/>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重庆市九龙坡区金凤镇社会管理信息服务中心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94E7F18">
            <w:pP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64A8F6">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81C100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75C0">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C43573">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6FC77C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173E">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AE77E">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D9A9">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875F3">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0A451D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8C4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7A3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EE0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E6D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w:t>
            </w:r>
            <w:r>
              <w:rPr>
                <w:rFonts w:ascii="Times New Roman" w:hAnsi="Times New Roman"/>
                <w:color w:val="000000"/>
                <w:sz w:val="20"/>
              </w:rPr>
              <w:t xml:space="preserve"> </w:t>
            </w:r>
          </w:p>
        </w:tc>
      </w:tr>
      <w:tr w14:paraId="7C59A1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C92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230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26F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A2E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4477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D72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AC5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2781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5F9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31F2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18B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558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FCD8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DF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8597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362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24B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F235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1D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C390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1A6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48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511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EB3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375B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C2C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040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9534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BF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6CF4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ED3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5E45C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2D4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C60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r>
      <w:tr w14:paraId="52922C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B1BB">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14D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47C5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522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r>
      <w:tr w14:paraId="3C0487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BA22">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6A2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C8A0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141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6A35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0E93">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B64B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81F5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607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55CD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6207">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748F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6C6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814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5F3E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A143">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62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F8DD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05B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7640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689E">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849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60A3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D7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5C50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AF85">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2F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B69E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BF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3B78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855F">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67E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03F0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F54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7164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5F42">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A5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12FF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87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51379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9434">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BA1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8B9C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9D5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586D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AD9C">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238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EAD6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17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r>
      <w:tr w14:paraId="3F49D6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351A">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88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33F9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F23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16C4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C81A">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36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08B0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35F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3B72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DE88">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321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4A4B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33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9F19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6C01">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E71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2FAC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6F3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18D5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D82E">
            <w:pP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A4D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5AD7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218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DDDF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4984">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E9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5A50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295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19B6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2CEC">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CA8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D12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191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2007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5067">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3F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58125">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F7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r>
      <w:tr w14:paraId="07285A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2A5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13E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D8D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3F4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EF90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A61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156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0A8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CCE2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31624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D909">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F7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89B6DDE">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299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111.35</w:t>
            </w:r>
            <w:r>
              <w:rPr>
                <w:rFonts w:ascii="Times New Roman" w:hAnsi="Times New Roman"/>
                <w:color w:val="000000"/>
                <w:sz w:val="20"/>
              </w:rPr>
              <w:t xml:space="preserve"> </w:t>
            </w:r>
          </w:p>
        </w:tc>
      </w:tr>
    </w:tbl>
    <w:p w14:paraId="2882E4AC">
      <w:pPr>
        <w:rPr>
          <w:rFonts w:hint="default" w:ascii="Times New Roman" w:hAnsi="Times New Roman" w:cs="宋体"/>
          <w:sz w:val="21"/>
          <w:szCs w:val="21"/>
        </w:rPr>
      </w:pPr>
    </w:p>
    <w:p w14:paraId="46FC834B">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0D1E05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E5A0058">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7E531D29">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B3E1787">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重庆市九龙坡区金凤镇社会管理信息服务中心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1DBB8628">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882A6DE">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11D2AC6">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D37F209">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6E9623F">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E95B736">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BB33FC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37A9E23A">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4A2D82A">
            <w:pPr>
              <w:rPr>
                <w:rFonts w:hint="default" w:ascii="Times New Roman" w:hAnsi="Times New Roman"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98C88BE">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1E3E4B3">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7A1F9FC">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0B09895">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7AAA91F">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046CD58">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D81DE8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54E2452">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C975155">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FC4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239F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3A7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E92FD6">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9668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3C35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14B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2D9BBC82">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602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366400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FF0F">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4F4D">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ED43">
            <w:pPr>
              <w:jc w:val="center"/>
              <w:rPr>
                <w:rFonts w:hint="default" w:ascii="Times New Roman" w:hAnsi="Times New Roman"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46C5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E83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4E1F">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62A3">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42EC">
            <w:pPr>
              <w:jc w:val="center"/>
              <w:rPr>
                <w:rFonts w:hint="default" w:ascii="Times New Roman" w:hAnsi="Times New Roman" w:cs="宋体"/>
                <w:b/>
                <w:color w:val="000000"/>
                <w:sz w:val="20"/>
                <w:szCs w:val="20"/>
              </w:rPr>
            </w:pPr>
          </w:p>
        </w:tc>
      </w:tr>
      <w:tr w14:paraId="2B723E2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8C52">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E1E0B4">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90C4A">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C8A3">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E200">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0E7D8">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34CE">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8D77">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78CF">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E31B">
            <w:pPr>
              <w:jc w:val="center"/>
              <w:rPr>
                <w:rFonts w:hint="default" w:ascii="Times New Roman" w:hAnsi="Times New Roman" w:cs="宋体"/>
                <w:b/>
                <w:color w:val="000000"/>
                <w:sz w:val="20"/>
                <w:szCs w:val="20"/>
              </w:rPr>
            </w:pPr>
          </w:p>
        </w:tc>
      </w:tr>
      <w:tr w14:paraId="1636A51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5216">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EA38AB">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A387">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8C67">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ADC4">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AD221">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A010">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95014">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D5E0">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FC07">
            <w:pPr>
              <w:jc w:val="center"/>
              <w:rPr>
                <w:rFonts w:hint="default" w:ascii="Times New Roman" w:hAnsi="Times New Roman" w:cs="宋体"/>
                <w:b/>
                <w:color w:val="000000"/>
                <w:sz w:val="20"/>
                <w:szCs w:val="20"/>
              </w:rPr>
            </w:pPr>
          </w:p>
        </w:tc>
      </w:tr>
      <w:tr w14:paraId="1F60D5F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8715">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AFD4D1">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98B4">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2755">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8A605">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4B2B">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05D74">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C97C">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61881">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860E">
            <w:pPr>
              <w:jc w:val="center"/>
              <w:rPr>
                <w:rFonts w:hint="default" w:ascii="Times New Roman" w:hAnsi="Times New Roman" w:cs="宋体"/>
                <w:b/>
                <w:color w:val="000000"/>
                <w:sz w:val="20"/>
                <w:szCs w:val="20"/>
              </w:rPr>
            </w:pPr>
          </w:p>
        </w:tc>
      </w:tr>
      <w:tr w14:paraId="5852A7B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F38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EEC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111.35</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3C8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111.35</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9F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AE5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E9B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D90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882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911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5607F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9A9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1AE7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C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F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1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8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4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3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E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E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71B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7F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0202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9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5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5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B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A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0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0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C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B538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43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3628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9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2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5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8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7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D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7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3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AE93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D61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F902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9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1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E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6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F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D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2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9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5377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452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570D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3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A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D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3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D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5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D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7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B354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79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7562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A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7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2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1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D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5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9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2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9308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1BC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8B23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9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9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8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B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0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7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B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B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7615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8EF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D12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7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9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3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F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3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8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9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3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BBB0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961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E4C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B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B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F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E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A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0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1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A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B76F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9F2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BB02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F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E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7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5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0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9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A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F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EB7C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BC8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CF4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9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E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2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C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2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0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E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6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611E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2C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F6E7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0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7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F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1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5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F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E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6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548D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E6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B626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7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9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6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F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1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C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3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2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1E5A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0E9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8689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7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0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C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1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0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4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5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3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CA1A68F">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3AD90D0">
      <w:pPr>
        <w:rPr>
          <w:rFonts w:hint="default" w:ascii="Times New Roman" w:hAnsi="Times New Roman" w:cs="宋体"/>
          <w:sz w:val="20"/>
          <w:szCs w:val="20"/>
        </w:rPr>
      </w:pP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156B766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CE4F341">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3247DCC4">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46EE97E">
            <w:pPr>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 xml:space="preserve">重庆市九龙坡区金凤镇社会管理信息服务中心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2E9E685">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62AD024">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7C8CBB5">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87E8137">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966C406">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0ED72C2A">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49C7B2E">
            <w:pPr>
              <w:rPr>
                <w:rFonts w:hint="default" w:ascii="Times New Roman" w:hAnsi="Times New Roman"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A479950">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13C602E">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8C00D40">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3F570DB">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AA0F6A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2D1773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F39DC0">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AAE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432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6FEA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8547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3F0B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6DA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23652D60">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F36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79D6B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4C25">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C3E4">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444A">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22F3">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7D37">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C9CAF">
            <w:pPr>
              <w:jc w:val="center"/>
              <w:rPr>
                <w:rFonts w:hint="default" w:ascii="Times New Roman" w:hAnsi="Times New Roman" w:cs="宋体"/>
                <w:b/>
                <w:color w:val="000000"/>
                <w:sz w:val="20"/>
                <w:szCs w:val="20"/>
              </w:rPr>
            </w:pPr>
          </w:p>
        </w:tc>
      </w:tr>
      <w:tr w14:paraId="15C9003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7E30">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A18C60">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0823">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C6244">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3A46">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0BEAC">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82366">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38840">
            <w:pPr>
              <w:jc w:val="center"/>
              <w:rPr>
                <w:rFonts w:hint="default" w:ascii="Times New Roman" w:hAnsi="Times New Roman" w:cs="宋体"/>
                <w:b/>
                <w:color w:val="000000"/>
                <w:sz w:val="20"/>
                <w:szCs w:val="20"/>
              </w:rPr>
            </w:pPr>
          </w:p>
        </w:tc>
      </w:tr>
      <w:tr w14:paraId="4044F0D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1CF7">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2A387E">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7B5A">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00DF">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4950">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FAD2">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4AB4">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F08CD">
            <w:pPr>
              <w:jc w:val="center"/>
              <w:rPr>
                <w:rFonts w:hint="default" w:ascii="Times New Roman" w:hAnsi="Times New Roman" w:cs="宋体"/>
                <w:b/>
                <w:color w:val="000000"/>
                <w:sz w:val="20"/>
                <w:szCs w:val="20"/>
              </w:rPr>
            </w:pPr>
          </w:p>
        </w:tc>
      </w:tr>
      <w:tr w14:paraId="2EC7369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19B6">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798EC4">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93E96">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FCBE7">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DBA70">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9D1D0">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4D06">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9A3C">
            <w:pPr>
              <w:jc w:val="center"/>
              <w:rPr>
                <w:rFonts w:hint="default" w:ascii="Times New Roman" w:hAnsi="Times New Roman" w:cs="宋体"/>
                <w:b/>
                <w:color w:val="000000"/>
                <w:sz w:val="20"/>
                <w:szCs w:val="20"/>
              </w:rPr>
            </w:pPr>
          </w:p>
        </w:tc>
      </w:tr>
      <w:tr w14:paraId="06209F9F">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BDD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5B7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111.35</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39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111.35</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B1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655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EC7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011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F610A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A85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F1D3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4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4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0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3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3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A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ED74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940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A7D3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F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3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A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8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2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5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3EE4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58F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4F8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3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9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F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D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C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8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2E02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19D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286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C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8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A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0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5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A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81EB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FFB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B3F2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B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4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2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A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0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7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644D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E3F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86D7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B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D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2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B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B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3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AF14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84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01B5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6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6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4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8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E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D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5A88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838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62B2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0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1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F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3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8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A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4E60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F18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9D0B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6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A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7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8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3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E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8D93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7EB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6A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D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E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5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F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7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A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344E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CF9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E90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A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5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D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8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C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E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58B9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C3A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9FB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8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1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6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3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7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A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A7FD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192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F45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1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1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3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6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B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1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A865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83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335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7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4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3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3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9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A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10BECE0">
      <w:pPr>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1"/>
          <w:szCs w:val="21"/>
        </w:rPr>
        <w:br w:type="page"/>
      </w:r>
    </w:p>
    <w:p w14:paraId="623FF22C">
      <w:pPr>
        <w:rPr>
          <w:rFonts w:hint="default" w:ascii="Times New Roman" w:hAnsi="Times New Roman"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154419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CBCB770">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521CF74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6801F60">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重庆市九龙坡区金凤镇社会管理信息服务中心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7BF93BF">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CC0FBC">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1B1BD7">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FA97A88">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2F612CA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5369BB5">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DE0F64">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5C5A7A">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98021F">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9C87AF3">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E57ADF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087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CA0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56BED5E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586E2">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BB8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F41D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913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1FF28B2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4AA74">
            <w:pP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10D3">
            <w:pP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6924E">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CE5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60C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C7C2">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CB76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0D0D05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03E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CF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B85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39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54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2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88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D9EA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52A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3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2BC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44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2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4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8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100D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DDD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F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7B2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30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80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93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B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19E4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4D3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F324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3F5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DB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92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E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D7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8760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9EF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5D659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6E8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B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5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8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06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194D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945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6E62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234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0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4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A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0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62A8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BD1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F14D4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2C3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1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63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72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3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2138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6DE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B941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034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EC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7E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9E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B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48E6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1F6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108C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9F1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33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FA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EF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AC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199A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8B9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89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F8C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FB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A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0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0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DB0B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5890">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21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6E0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5B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6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1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0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A478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9F2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F3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7AC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0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5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C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4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CC90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9CF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02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45E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4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BA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0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7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C25F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A8B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13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D8C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F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16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2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8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0ADD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6AB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A7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B27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3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D6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5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3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3678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958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A7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A89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9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7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1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D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F584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C58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28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FD5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5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2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68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66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D44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452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E0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CEB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4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58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5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6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CB26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8FC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64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241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A4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51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2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7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CE0E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22F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87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DB5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F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F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0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53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ED97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615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57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0B8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2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31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2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6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E92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34D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714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0AB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C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C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6B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B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1F5C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7E4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D0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0D8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92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B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2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0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4C0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87C21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E7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FEC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0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9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0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A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02E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5952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A4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01E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3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5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F4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7F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605E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15E0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EE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133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3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C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7B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26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2210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98E2">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DC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AF43">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9C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EB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F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0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C728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D92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B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1DD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D1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D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A0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A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E554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320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CF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2AB126">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55FAF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2AA3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7CE8D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5CFB30">
            <w:pPr>
              <w:spacing w:line="200" w:lineRule="exact"/>
              <w:rPr>
                <w:rFonts w:hint="default" w:ascii="Times New Roman" w:hAnsi="Times New Roman"/>
                <w:color w:val="000000"/>
                <w:sz w:val="18"/>
                <w:szCs w:val="18"/>
              </w:rPr>
            </w:pPr>
          </w:p>
        </w:tc>
      </w:tr>
      <w:tr w14:paraId="583C4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0CF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C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ED37">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537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58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33B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D499">
            <w:pPr>
              <w:spacing w:line="200" w:lineRule="exact"/>
              <w:jc w:val="right"/>
              <w:rPr>
                <w:rFonts w:hint="default" w:ascii="Times New Roman" w:hAnsi="Times New Roman"/>
                <w:color w:val="000000"/>
                <w:sz w:val="18"/>
                <w:szCs w:val="18"/>
              </w:rPr>
            </w:pPr>
          </w:p>
        </w:tc>
      </w:tr>
      <w:tr w14:paraId="3DB7A7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3B3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B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5C2C">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78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B04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E33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82E2">
            <w:pPr>
              <w:spacing w:line="200" w:lineRule="exact"/>
              <w:jc w:val="right"/>
              <w:rPr>
                <w:rFonts w:hint="default" w:ascii="Times New Roman" w:hAnsi="Times New Roman"/>
                <w:color w:val="000000"/>
                <w:sz w:val="18"/>
                <w:szCs w:val="18"/>
              </w:rPr>
            </w:pPr>
          </w:p>
        </w:tc>
      </w:tr>
      <w:tr w14:paraId="364C3D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E2B2">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73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04D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B9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47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E1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9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6536AE6">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6146A6B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D23CF58">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0213094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436D54C">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重庆市九龙坡区金凤镇社会管理信息服务中心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9400A72">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DC1C80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5C058F8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874F8C2">
            <w:pP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FFE861E">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E6580FB">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F95957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CD2F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75082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655998C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D61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B51F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5AAD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0151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F0FF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4915EB8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C489E">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6FFF3">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49DD4">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3C04D">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E8D11">
            <w:pPr>
              <w:jc w:val="center"/>
              <w:rPr>
                <w:rFonts w:hint="default" w:ascii="Times New Roman" w:hAnsi="Times New Roman" w:cs="宋体"/>
                <w:b/>
                <w:color w:val="000000"/>
                <w:sz w:val="20"/>
                <w:szCs w:val="20"/>
              </w:rPr>
            </w:pPr>
          </w:p>
        </w:tc>
      </w:tr>
      <w:tr w14:paraId="0E75915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20EF">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76385">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22E43">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F8DB8">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30ABE">
            <w:pPr>
              <w:jc w:val="center"/>
              <w:rPr>
                <w:rFonts w:hint="default" w:ascii="Times New Roman" w:hAnsi="Times New Roman" w:cs="宋体"/>
                <w:b/>
                <w:color w:val="000000"/>
                <w:sz w:val="20"/>
                <w:szCs w:val="20"/>
              </w:rPr>
            </w:pPr>
          </w:p>
        </w:tc>
      </w:tr>
      <w:tr w14:paraId="08681BD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C40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12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62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000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08049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65F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4893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D15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12E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70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F94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35B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996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61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BC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7F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F734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20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B6FD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80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2BF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D1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6327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31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685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11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9E6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13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3A2C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55B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0C62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868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BC1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155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D91E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8ED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273B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0B3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7D6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906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9212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B47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5C07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129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7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EF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59CF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5C9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7EE1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B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860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A1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1018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D32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ACAE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C0F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35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D8B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56B7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E3B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C8ED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D1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96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17B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D364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56D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58C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D47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FD7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3E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BC80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788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AFBA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45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23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1C7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BC41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D29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B48D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0B8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9C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E5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967C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8ED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5BD8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F32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B6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C7A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30DEC4">
      <w:pPr>
        <w:rPr>
          <w:rFonts w:hint="default" w:ascii="Times New Roman" w:hAnsi="Times New Roman" w:cs="宋体"/>
          <w:sz w:val="21"/>
          <w:szCs w:val="21"/>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06D3D9F1">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97B5F0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C915D9E">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1791E27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A7A7A97">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重庆市九龙坡区金凤镇社会管理信息服务中心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26D779DD">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8041F1F">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55D2130">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D84772D">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25BA5C1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5124C56">
            <w:pP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5793AD0">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D9038EA">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B56D0EB">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FE40431">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41A142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52CB">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385502">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3D128FB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4B012">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D886D">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5EE1C">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E60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11A6E">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01530">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2A25F">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8A952">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ECB6A">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4DECD31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50E33">
            <w:pP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8A2B2">
            <w:pP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F1229">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E348">
            <w:pP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98200">
            <w:pP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A3C10">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4C59E">
            <w:pP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235B7">
            <w:pP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D307B">
            <w:pPr>
              <w:spacing w:line="192" w:lineRule="exact"/>
              <w:jc w:val="center"/>
              <w:rPr>
                <w:rFonts w:hint="default" w:ascii="Times New Roman" w:hAnsi="Times New Roman" w:cs="宋体"/>
                <w:b/>
                <w:color w:val="000000"/>
                <w:sz w:val="18"/>
                <w:szCs w:val="18"/>
              </w:rPr>
            </w:pPr>
          </w:p>
        </w:tc>
      </w:tr>
      <w:tr w14:paraId="049E62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365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2642">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C0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0A99">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96CC">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F0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0D8C">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4BD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50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B84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83E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801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1E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E1F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3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2D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E93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862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EA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8131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1F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E42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CA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D1C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E3F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F3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67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13D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A9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75AA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4A5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1BD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05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E59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072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6D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055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860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A2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3EC7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AC6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DEA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7C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BCE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998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81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7ED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8A1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61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2935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98C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FAB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50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F55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402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5C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0F0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CF3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94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54E0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E09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B7B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710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373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388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4F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989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177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2A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F426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19B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7B4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7F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291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BD2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4B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222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AF5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77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3BCE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791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F4C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DA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BFC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862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E6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72D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104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1C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BE9B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AC1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3AF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55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E62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91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0F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A3B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3D2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FF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8089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BA5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2A2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C5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993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DCD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2F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2F6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6AA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85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083D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830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3A1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DC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FF1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730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13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2FA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A73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48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ADCC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311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23A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BD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1F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51D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F0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32C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924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5B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925C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283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7CF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83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4AE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02C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48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710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9DC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C0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E7B3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D06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C13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60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8FF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413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BE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1DA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A42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21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1BB1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59D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564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4A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FA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6D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01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0CF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C16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DF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90D6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6D8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B38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61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94B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94B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3B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3E0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24E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5B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F813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D2E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B28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CA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DF9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55C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88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937A">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561D">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FF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0D90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A60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29A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32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2FD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867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AC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222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17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79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AD5D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A84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A90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17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7F2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905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0C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76E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E91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C2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F446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656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7C1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C8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B31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0FD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8A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3A0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6DF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42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6806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ECB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B6B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35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CEA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DF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6D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748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DB9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10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960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A57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D16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42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0AA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9DB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88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956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E43">
            <w:pP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C7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546D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5F5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537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CE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7C9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05A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07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BD0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AC9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62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350C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4DE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B62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33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EAE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3C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2E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470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D997">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19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C345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A79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27B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6C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6F3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55A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D1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E3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472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BA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3520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69E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6B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B4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0EB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A28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28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9DA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45E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18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9B43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B677">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0002">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8BA3C0">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7C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F44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0D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7C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4E6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E1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B829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13B5">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5780">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4D4121">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BC99">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B98D">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39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C09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18F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8E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DB28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4C78">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D659">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10C12">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FA7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EFB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F5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667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0C6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D6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FEDB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00ED">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9253">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4954A0">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6D5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438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DE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DA94">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8C5F">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0193">
            <w:pPr>
              <w:spacing w:line="192" w:lineRule="exact"/>
              <w:jc w:val="right"/>
              <w:rPr>
                <w:rFonts w:hint="default" w:ascii="Times New Roman" w:hAnsi="Times New Roman"/>
                <w:color w:val="000000"/>
                <w:sz w:val="18"/>
                <w:szCs w:val="18"/>
              </w:rPr>
            </w:pPr>
          </w:p>
        </w:tc>
      </w:tr>
      <w:tr w14:paraId="00819C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86FE">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7DE0">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DB6B7">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C83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822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51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FFF6">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702C">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DC56">
            <w:pPr>
              <w:spacing w:line="192" w:lineRule="exact"/>
              <w:jc w:val="right"/>
              <w:rPr>
                <w:rFonts w:hint="default" w:ascii="Times New Roman" w:hAnsi="Times New Roman"/>
                <w:color w:val="000000"/>
                <w:sz w:val="18"/>
                <w:szCs w:val="18"/>
              </w:rPr>
            </w:pPr>
          </w:p>
        </w:tc>
      </w:tr>
      <w:tr w14:paraId="6417796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4AD0">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A50A">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5FDD4">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B88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63C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21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6350">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FE9C">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F8FC">
            <w:pPr>
              <w:spacing w:line="192" w:lineRule="exact"/>
              <w:jc w:val="right"/>
              <w:rPr>
                <w:rFonts w:hint="default" w:ascii="Times New Roman" w:hAnsi="Times New Roman"/>
                <w:color w:val="000000"/>
                <w:sz w:val="18"/>
                <w:szCs w:val="18"/>
              </w:rPr>
            </w:pPr>
          </w:p>
        </w:tc>
      </w:tr>
      <w:tr w14:paraId="45518BE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2834">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2F86F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96.35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0142">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EE1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r>
    </w:tbl>
    <w:p w14:paraId="6BEB2BBA">
      <w:pPr>
        <w:spacing w:line="28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4A6FF46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A6383A5">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74E23F2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30EDE5D">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重庆市九龙坡区金凤镇社会管理信息服务中心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892124C">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134ACD">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917C46">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6A0EAD">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D432BAC">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401F0D3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6425539">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B63945">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E76B76">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6A35FC3">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04BFF8">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51DC40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C5B90A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9FA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CFF5E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CEC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81F18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723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782E1C27">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FF8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949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4A50C9">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2B165">
            <w:pP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2876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8DB4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2F50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90660">
            <w:pPr>
              <w:jc w:val="center"/>
              <w:rPr>
                <w:rFonts w:hint="default" w:ascii="Times New Roman" w:hAnsi="Times New Roman" w:cs="宋体"/>
                <w:b/>
                <w:color w:val="000000"/>
                <w:sz w:val="20"/>
                <w:szCs w:val="20"/>
              </w:rPr>
            </w:pPr>
          </w:p>
        </w:tc>
      </w:tr>
      <w:tr w14:paraId="15B76FAD">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5669">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28D7">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9D79BC">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38C6">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A8510">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382E9">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6A597">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5B616">
            <w:pPr>
              <w:jc w:val="center"/>
              <w:rPr>
                <w:rFonts w:hint="default" w:ascii="Times New Roman" w:hAnsi="Times New Roman" w:cs="宋体"/>
                <w:b/>
                <w:color w:val="000000"/>
                <w:sz w:val="20"/>
                <w:szCs w:val="20"/>
              </w:rPr>
            </w:pPr>
          </w:p>
        </w:tc>
      </w:tr>
      <w:tr w14:paraId="3B612DF0">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0168">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DEBE">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C8C1B7">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FFFD1">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B4571">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4D08B">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4AC80">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6321">
            <w:pPr>
              <w:jc w:val="center"/>
              <w:rPr>
                <w:rFonts w:hint="default" w:ascii="Times New Roman" w:hAnsi="Times New Roman" w:cs="宋体"/>
                <w:b/>
                <w:color w:val="000000"/>
                <w:sz w:val="20"/>
                <w:szCs w:val="20"/>
              </w:rPr>
            </w:pPr>
          </w:p>
        </w:tc>
      </w:tr>
      <w:tr w14:paraId="440E868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F8C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3E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C8F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550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6C5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3F0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DDA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66EA4A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02DA">
            <w:pPr>
              <w:jc w:val="both"/>
              <w:textAlignment w:val="center"/>
              <w:rPr>
                <w:rFonts w:hint="default" w:ascii="Times New Roman" w:hAnsi="Times New Roman"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1C70">
            <w:pP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57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018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5E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37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6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4E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963E213">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本年度政府性基金预算财政拨款收入支出及结转和结余情况。本</w:t>
      </w:r>
      <w:r>
        <w:rPr>
          <w:rFonts w:hint="eastAsia" w:ascii="Times New Roman" w:hAnsi="Times New Roman" w:cs="宋体"/>
          <w:sz w:val="20"/>
          <w:szCs w:val="20"/>
          <w:lang w:eastAsia="zh-CN"/>
        </w:rPr>
        <w:t>单位</w:t>
      </w:r>
      <w:r>
        <w:rPr>
          <w:rFonts w:ascii="Times New Roman" w:hAnsi="Times New Roman" w:cs="宋体"/>
          <w:sz w:val="20"/>
          <w:szCs w:val="20"/>
        </w:rPr>
        <w:t>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5325398F">
      <w:pPr>
        <w:rPr>
          <w:rFonts w:hint="default" w:ascii="Times New Roman" w:hAnsi="Times New Roman" w:cs="宋体"/>
          <w:sz w:val="21"/>
          <w:szCs w:val="21"/>
        </w:rPr>
      </w:pP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38DE31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0C663E1">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16D2B37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01EF5F0">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重庆市九龙坡区金凤镇社会管理信息服务中心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287713E">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D9109A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145F67A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7B182F9">
            <w:pP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186B6B5">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E48809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883954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092F9B">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F7428F">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66A968C6">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7EE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D2D4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2AE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3060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93BE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03A1E57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47E2">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15CFC">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686A">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7A46F">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D674D">
            <w:pPr>
              <w:jc w:val="center"/>
              <w:rPr>
                <w:rFonts w:hint="default" w:ascii="Times New Roman" w:hAnsi="Times New Roman" w:cs="宋体"/>
                <w:b/>
                <w:color w:val="000000"/>
                <w:sz w:val="20"/>
                <w:szCs w:val="20"/>
              </w:rPr>
            </w:pPr>
          </w:p>
        </w:tc>
      </w:tr>
      <w:tr w14:paraId="069912F8">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0090">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F63C4">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CBF0">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B385A">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94875">
            <w:pPr>
              <w:jc w:val="center"/>
              <w:rPr>
                <w:rFonts w:hint="default" w:ascii="Times New Roman" w:hAnsi="Times New Roman" w:cs="宋体"/>
                <w:b/>
                <w:color w:val="000000"/>
                <w:sz w:val="20"/>
                <w:szCs w:val="20"/>
              </w:rPr>
            </w:pPr>
          </w:p>
        </w:tc>
      </w:tr>
      <w:tr w14:paraId="23F73DA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68F8">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1105D">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E2A9">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F543C">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34B1C">
            <w:pPr>
              <w:jc w:val="center"/>
              <w:rPr>
                <w:rFonts w:hint="default" w:ascii="Times New Roman" w:hAnsi="Times New Roman" w:cs="宋体"/>
                <w:b/>
                <w:color w:val="000000"/>
                <w:sz w:val="20"/>
                <w:szCs w:val="20"/>
              </w:rPr>
            </w:pPr>
          </w:p>
        </w:tc>
      </w:tr>
      <w:tr w14:paraId="527263C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B44A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8E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A7DB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FC0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F69F5F7">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400F">
            <w:pPr>
              <w:textAlignment w:val="center"/>
              <w:rPr>
                <w:rFonts w:hint="default" w:ascii="Times New Roman" w:hAnsi="Times New Roman"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3A080">
            <w:pP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C1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805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754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06D0AC9">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本年度国有资本经营预算财政拨款支出情况。本</w:t>
      </w:r>
      <w:r>
        <w:rPr>
          <w:rFonts w:hint="eastAsia" w:ascii="Times New Roman" w:hAnsi="Times New Roman" w:cs="宋体"/>
          <w:sz w:val="20"/>
          <w:szCs w:val="20"/>
          <w:lang w:eastAsia="zh-CN"/>
        </w:rPr>
        <w:t>单位</w:t>
      </w:r>
      <w:r>
        <w:rPr>
          <w:rFonts w:ascii="Times New Roman" w:hAnsi="Times New Roman" w:cs="宋体"/>
          <w:sz w:val="20"/>
          <w:szCs w:val="20"/>
        </w:rPr>
        <w:t>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4563F0CA">
      <w:pPr>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0D0B0A1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306482F">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7CA2511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0EBCA9D">
            <w:pP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367DE4F8">
            <w:pP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37977BEE">
            <w:pP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150775C2">
            <w:pP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2B18C618">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4F506AF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8BA8FF4">
            <w:pPr>
              <w:spacing w:line="280" w:lineRule="exact"/>
              <w:rPr>
                <w:rFonts w:hint="default" w:ascii="Times New Roman" w:hAnsi="Times New Roman" w:cs="宋体"/>
                <w:color w:val="000000"/>
                <w:kern w:val="2"/>
                <w:sz w:val="20"/>
                <w:szCs w:val="20"/>
              </w:rPr>
            </w:pPr>
            <w:r>
              <w:rPr>
                <w:rFonts w:hint="eastAsia" w:ascii="Times New Roman" w:hAnsi="Times New Roman" w:cs="宋体"/>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rPr>
              <w:t>重庆市九龙坡区金凤镇社会管理信息服务中心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687DE5C">
            <w:pP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572C8E1">
            <w:pP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65D29B">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5077FC1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5B6DC">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05B6A">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79793">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F7311">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9E5C8">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0F99A96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71EE4">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536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7BC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5FB02">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F49D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2933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0D7C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655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23D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A5DA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9DE4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22D0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D300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3F6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88D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4B19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D102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F163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E3F0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79D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008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1405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EA8D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EA7B7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DD83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40A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682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547C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D96F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8765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E7E0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26F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F19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40B8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AA9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C22E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56B4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079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A77E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2CA7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97B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41BD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9BAE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3B5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AB8C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337B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189A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8542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68C8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428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ACB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FB0A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AFDB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4E93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E85F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192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F4C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D4F6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6B6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D822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DA1A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DA8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D888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322D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3701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B8CC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027D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445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D91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91B6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791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D54B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D5DF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200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DF0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6901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999A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68F8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A32B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1A9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72B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116D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003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2ED6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D9E7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964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641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D453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8F4F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8887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168B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EA7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6E8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858E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F05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41AA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558D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DA9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F40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5D3C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CE54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B00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3A50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729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3BD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355D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A1CB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EFDD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E0C0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A18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43E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80B2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E47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8198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0D09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349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EC7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0D96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8A83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EC94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A0A7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932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20D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B5B5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7F2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FB8EF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2F236">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7DFB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235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A4C7D">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EDA9A">
            <w:pPr>
              <w:spacing w:line="280" w:lineRule="exact"/>
              <w:jc w:val="right"/>
              <w:rPr>
                <w:rFonts w:hint="default" w:ascii="Times New Roman" w:hAnsi="Times New Roman" w:cs="宋体"/>
                <w:color w:val="000000"/>
                <w:kern w:val="2"/>
                <w:sz w:val="16"/>
                <w:szCs w:val="16"/>
              </w:rPr>
            </w:pPr>
          </w:p>
        </w:tc>
      </w:tr>
      <w:tr w14:paraId="39C8244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D19B1">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79E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ABE4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C690B">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8E093">
            <w:pPr>
              <w:spacing w:line="280" w:lineRule="exact"/>
              <w:jc w:val="right"/>
              <w:rPr>
                <w:rFonts w:hint="default" w:ascii="Times New Roman" w:hAnsi="Times New Roman" w:cs="宋体"/>
                <w:color w:val="000000"/>
                <w:kern w:val="2"/>
                <w:sz w:val="16"/>
                <w:szCs w:val="16"/>
              </w:rPr>
            </w:pPr>
          </w:p>
        </w:tc>
      </w:tr>
      <w:tr w14:paraId="34F0A5A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7F5EE">
            <w:pP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0337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C89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2B6EE">
            <w:pP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40342">
            <w:pPr>
              <w:spacing w:line="280" w:lineRule="exact"/>
              <w:jc w:val="right"/>
              <w:rPr>
                <w:rFonts w:hint="default" w:ascii="Times New Roman" w:hAnsi="Times New Roman" w:cs="宋体"/>
                <w:color w:val="000000"/>
                <w:sz w:val="16"/>
                <w:szCs w:val="16"/>
              </w:rPr>
            </w:pPr>
          </w:p>
        </w:tc>
      </w:tr>
    </w:tbl>
    <w:p w14:paraId="6E434138">
      <w:pPr>
        <w:rPr>
          <w:rFonts w:hint="default" w:ascii="Times New Roman" w:hAnsi="Times New Roman" w:cs="宋体"/>
          <w:sz w:val="18"/>
          <w:szCs w:val="18"/>
        </w:rPr>
      </w:pPr>
      <w:r>
        <w:rPr>
          <w:rFonts w:ascii="Times New Roman" w:hAnsi="Times New Roman" w:cs="宋体"/>
          <w:sz w:val="18"/>
          <w:szCs w:val="18"/>
        </w:rPr>
        <w:t>备注：1.本表反映</w:t>
      </w:r>
      <w:r>
        <w:rPr>
          <w:rFonts w:hint="eastAsia" w:ascii="Times New Roman" w:hAnsi="Times New Roman" w:cs="宋体"/>
          <w:sz w:val="18"/>
          <w:szCs w:val="18"/>
          <w:lang w:eastAsia="zh-CN"/>
        </w:rPr>
        <w:t>单位</w:t>
      </w:r>
      <w:r>
        <w:rPr>
          <w:rFonts w:ascii="Times New Roman" w:hAnsi="Times New Roman"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F31391-5776-48FB-862A-62F6950B62D0}"/>
  </w:font>
  <w:font w:name="黑体">
    <w:panose1 w:val="02010609060101010101"/>
    <w:charset w:val="86"/>
    <w:family w:val="auto"/>
    <w:pitch w:val="default"/>
    <w:sig w:usb0="800002BF" w:usb1="38CF7CFA" w:usb2="00000016" w:usb3="00000000" w:csb0="00040001" w:csb1="00000000"/>
    <w:embedRegular r:id="rId2" w:fontKey="{D139E5DE-44FB-49E8-A092-1787BB4422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1002173E-1768-4FA0-B7ED-2D3D2AF9E618}"/>
  </w:font>
  <w:font w:name="方正仿宋_GBK">
    <w:panose1 w:val="03000509000000000000"/>
    <w:charset w:val="86"/>
    <w:family w:val="script"/>
    <w:pitch w:val="default"/>
    <w:sig w:usb0="00000001" w:usb1="080E0000" w:usb2="00000000" w:usb3="00000000" w:csb0="00040000" w:csb1="00000000"/>
    <w:embedRegular r:id="rId4" w:fontKey="{5E073391-3046-493A-8514-0C52D0CB606C}"/>
  </w:font>
  <w:font w:name="楷体">
    <w:panose1 w:val="02010609060101010101"/>
    <w:charset w:val="86"/>
    <w:family w:val="modern"/>
    <w:pitch w:val="default"/>
    <w:sig w:usb0="800002BF" w:usb1="38CF7CFA" w:usb2="00000016" w:usb3="00000000" w:csb0="00040001" w:csb1="00000000"/>
    <w:embedRegular r:id="rId5" w:fontKey="{50B5DE67-8507-4A7E-A994-DDF2E4E970CE}"/>
  </w:font>
  <w:font w:name="方正楷体_GBK">
    <w:panose1 w:val="02000000000000000000"/>
    <w:charset w:val="86"/>
    <w:family w:val="script"/>
    <w:pitch w:val="default"/>
    <w:sig w:usb0="800002BF" w:usb1="38CF7CFA" w:usb2="00000016" w:usb3="00000000" w:csb0="00040000" w:csb1="00000000"/>
    <w:embedRegular r:id="rId6" w:fontKey="{E9B07479-2E20-4203-8826-8CFA0334A1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85EA">
    <w:pPr>
      <w:pStyle w:val="5"/>
      <w:rPr>
        <w:rFonts w:hint="default"/>
      </w:rPr>
    </w:pPr>
    <w:r>
      <w:rPr>
        <w:rFonts w:hint="default"/>
      </w:rPr>
      <w:pict>
        <v:shape id="_x0000_s4097" o:spid="_x0000_s409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4783F062">
                <w:pPr>
                  <w:pStyle w:val="5"/>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8</w:t>
                </w:r>
                <w:r>
                  <w:rPr>
                    <w:rFonts w:hint="default"/>
                    <w:sz w:val="28"/>
                    <w:szCs w:val="28"/>
                  </w:rPr>
                  <w:fldChar w:fldCharType="end"/>
                </w:r>
                <w:r>
                  <w:rPr>
                    <w:rFonts w:hint="default"/>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41E5">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91068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C91068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C9EB02C">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C9EB02C">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E372">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42FE4"/>
    <w:rsid w:val="000728F4"/>
    <w:rsid w:val="000C01CC"/>
    <w:rsid w:val="000D7702"/>
    <w:rsid w:val="000F6721"/>
    <w:rsid w:val="001632EC"/>
    <w:rsid w:val="00261065"/>
    <w:rsid w:val="002734CF"/>
    <w:rsid w:val="002D0E5A"/>
    <w:rsid w:val="002D71F4"/>
    <w:rsid w:val="002E5443"/>
    <w:rsid w:val="002F7168"/>
    <w:rsid w:val="00302966"/>
    <w:rsid w:val="0032196C"/>
    <w:rsid w:val="0034151A"/>
    <w:rsid w:val="00355240"/>
    <w:rsid w:val="00413F0E"/>
    <w:rsid w:val="00443A53"/>
    <w:rsid w:val="004852DA"/>
    <w:rsid w:val="004A47BB"/>
    <w:rsid w:val="004B1AD8"/>
    <w:rsid w:val="004C12FF"/>
    <w:rsid w:val="004D0390"/>
    <w:rsid w:val="00524E3B"/>
    <w:rsid w:val="005379DC"/>
    <w:rsid w:val="00550ABE"/>
    <w:rsid w:val="005567FE"/>
    <w:rsid w:val="005B023C"/>
    <w:rsid w:val="00600322"/>
    <w:rsid w:val="006137D7"/>
    <w:rsid w:val="00634FA8"/>
    <w:rsid w:val="0063613A"/>
    <w:rsid w:val="00665543"/>
    <w:rsid w:val="0068170B"/>
    <w:rsid w:val="006D5ED7"/>
    <w:rsid w:val="006E2034"/>
    <w:rsid w:val="006E7B94"/>
    <w:rsid w:val="00732392"/>
    <w:rsid w:val="00792285"/>
    <w:rsid w:val="007A0D2E"/>
    <w:rsid w:val="007A3314"/>
    <w:rsid w:val="007B419D"/>
    <w:rsid w:val="007C5C5B"/>
    <w:rsid w:val="00810F13"/>
    <w:rsid w:val="00826B47"/>
    <w:rsid w:val="00893689"/>
    <w:rsid w:val="009036BF"/>
    <w:rsid w:val="009229F7"/>
    <w:rsid w:val="0092794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24191"/>
    <w:rsid w:val="00C307F6"/>
    <w:rsid w:val="00C45BBE"/>
    <w:rsid w:val="00C96B11"/>
    <w:rsid w:val="00C97747"/>
    <w:rsid w:val="00CC6B99"/>
    <w:rsid w:val="00DC72DB"/>
    <w:rsid w:val="00DF7706"/>
    <w:rsid w:val="00E05175"/>
    <w:rsid w:val="00E231A5"/>
    <w:rsid w:val="00E50D1A"/>
    <w:rsid w:val="00E654E2"/>
    <w:rsid w:val="00E76362"/>
    <w:rsid w:val="00E86B80"/>
    <w:rsid w:val="00EA0333"/>
    <w:rsid w:val="00EF3015"/>
    <w:rsid w:val="00F137D3"/>
    <w:rsid w:val="00F13C36"/>
    <w:rsid w:val="00F23C68"/>
    <w:rsid w:val="00F24F1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6C559F"/>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147ABD"/>
    <w:rsid w:val="21556F04"/>
    <w:rsid w:val="22403BD3"/>
    <w:rsid w:val="23DA37D9"/>
    <w:rsid w:val="23F5732E"/>
    <w:rsid w:val="24B92327"/>
    <w:rsid w:val="24C14514"/>
    <w:rsid w:val="25306D3B"/>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5D415EE"/>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1410A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FD5EFC"/>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4499</Words>
  <Characters>5744</Characters>
  <Lines>84</Lines>
  <Paragraphs>23</Paragraphs>
  <TotalTime>303</TotalTime>
  <ScaleCrop>false</ScaleCrop>
  <LinksUpToDate>false</LinksUpToDate>
  <CharactersWithSpaces>6014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2025-11-04T06:13:17Z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