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600" w:lineRule="exact"/>
        <w:textAlignment w:val="auto"/>
        <w:rPr>
          <w:rFonts w:hint="eastAsia" w:ascii="方正小标宋简体" w:hAnsi="Times New Roman" w:eastAsia="方正小标宋简体" w:cs="Times New Roman"/>
          <w:b/>
          <w:sz w:val="44"/>
          <w:szCs w:val="44"/>
        </w:rPr>
      </w:pPr>
    </w:p>
    <w:p>
      <w:pPr>
        <w:widowControl w:val="0"/>
        <w:spacing w:after="120" w:afterLines="0" w:line="480" w:lineRule="auto"/>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简体" w:cs="Times New Roman"/>
          <w:kern w:val="0"/>
          <w:sz w:val="32"/>
          <w:szCs w:val="32"/>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2848" w:firstLineChars="890"/>
        <w:textAlignment w:val="auto"/>
        <w:rPr>
          <w:rFonts w:hint="eastAsia" w:ascii="新宋体" w:hAnsi="新宋体" w:eastAsia="新宋体" w:cs="Times New Roman"/>
          <w:sz w:val="32"/>
          <w:szCs w:val="32"/>
        </w:rPr>
      </w:pPr>
    </w:p>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p>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p>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p>
    <w:p>
      <w:pPr>
        <w:widowControl w:val="0"/>
        <w:tabs>
          <w:tab w:val="center" w:pos="4153"/>
          <w:tab w:val="right" w:pos="8306"/>
        </w:tabs>
        <w:snapToGrid w:val="0"/>
        <w:jc w:val="left"/>
        <w:rPr>
          <w:rFonts w:hint="eastAsia" w:ascii="Times New Roman" w:hAnsi="Times New Roman" w:eastAsia="宋体" w:cs="Times New Roman"/>
          <w:kern w:val="2"/>
          <w:sz w:val="18"/>
          <w:szCs w:val="18"/>
          <w:lang w:val="en-US" w:eastAsia="zh-CN" w:bidi="ar-SA"/>
        </w:rPr>
      </w:pPr>
    </w:p>
    <w:p>
      <w:pPr>
        <w:widowControl w:val="0"/>
        <w:jc w:val="both"/>
        <w:rPr>
          <w:rFonts w:hint="eastAsia" w:ascii="Times New Roman" w:hAnsi="Times New Roman"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虎街</w:t>
      </w:r>
      <w:r>
        <w:rPr>
          <w:rFonts w:hint="eastAsia" w:eastAsia="方正仿宋_GBK" w:cs="Times New Roman"/>
          <w:sz w:val="32"/>
          <w:szCs w:val="32"/>
          <w:lang w:val="en-US" w:eastAsia="zh-CN"/>
        </w:rPr>
        <w:t>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53</w:t>
      </w:r>
      <w:r>
        <w:rPr>
          <w:rFonts w:hint="default" w:ascii="Times New Roman" w:hAnsi="Times New Roman" w:eastAsia="方正仿宋_GBK" w:cs="Times New Roman"/>
          <w:sz w:val="32"/>
          <w:szCs w:val="32"/>
        </w:rPr>
        <w:t>号</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eastAsia="方正小标宋简体"/>
          <w:b/>
          <w:bCs/>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b w:val="0"/>
          <w:bCs/>
          <w:color w:val="auto"/>
          <w:sz w:val="44"/>
          <w:szCs w:val="44"/>
        </w:rPr>
      </w:pPr>
      <w:bookmarkStart w:id="0" w:name="OLE_LINK1"/>
      <w:r>
        <w:rPr>
          <w:rFonts w:hint="default" w:ascii="Times New Roman" w:hAnsi="Times New Roman" w:eastAsia="方正小标宋_GBK" w:cs="Times New Roman"/>
          <w:color w:val="auto"/>
          <w:sz w:val="44"/>
          <w:szCs w:val="44"/>
        </w:rPr>
        <w:t>虎溪街道办事处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关于开展</w:t>
      </w:r>
      <w:r>
        <w:rPr>
          <w:rFonts w:hint="default" w:ascii="Times New Roman" w:hAnsi="Times New Roman" w:eastAsia="方正小标宋_GBK" w:cs="Times New Roman"/>
          <w:kern w:val="0"/>
          <w:sz w:val="44"/>
          <w:szCs w:val="44"/>
        </w:rPr>
        <w:t>2025</w:t>
      </w:r>
      <w:r>
        <w:rPr>
          <w:rFonts w:hint="eastAsia" w:ascii="方正小标宋_GBK" w:hAnsi="方正小标宋_GBK" w:eastAsia="方正小标宋_GBK" w:cs="方正小标宋_GBK"/>
          <w:kern w:val="0"/>
          <w:sz w:val="44"/>
          <w:szCs w:val="44"/>
        </w:rPr>
        <w:t>年度垃圾分类</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齐参与</w:t>
      </w:r>
      <w:r>
        <w:rPr>
          <w:rFonts w:hint="eastAsia" w:ascii="方正小标宋_GBK" w:hAnsi="方正小标宋_GBK" w:eastAsia="方正小标宋_GBK" w:cs="方正小标宋_GBK"/>
          <w:kern w:val="0"/>
          <w:sz w:val="44"/>
          <w:szCs w:val="44"/>
          <w:lang w:val="en-US" w:eastAsia="zh-CN"/>
        </w:rPr>
        <w:t>·</w:t>
      </w:r>
      <w:r>
        <w:rPr>
          <w:rFonts w:hint="eastAsia" w:ascii="方正小标宋_GBK" w:hAnsi="方正小标宋_GBK" w:eastAsia="方正小标宋_GBK" w:cs="方正小标宋_GBK"/>
          <w:kern w:val="0"/>
          <w:sz w:val="44"/>
          <w:szCs w:val="44"/>
        </w:rPr>
        <w:t>共分享</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主题</w:t>
      </w:r>
      <w:r>
        <w:rPr>
          <w:rFonts w:hint="eastAsia" w:ascii="方正小标宋_GBK" w:hAnsi="方正小标宋_GBK" w:eastAsia="方正小标宋_GBK" w:cs="方正小标宋_GBK"/>
          <w:kern w:val="0"/>
          <w:sz w:val="44"/>
          <w:szCs w:val="44"/>
          <w:lang w:val="en-US" w:eastAsia="zh-CN"/>
        </w:rPr>
        <w:t>交流展示</w:t>
      </w:r>
      <w:r>
        <w:rPr>
          <w:rFonts w:hint="eastAsia" w:ascii="方正小标宋_GBK" w:hAnsi="方正小标宋_GBK" w:eastAsia="方正小标宋_GBK" w:cs="方正小标宋_GBK"/>
          <w:kern w:val="0"/>
          <w:sz w:val="44"/>
          <w:szCs w:val="44"/>
        </w:rPr>
        <w:t>活动的通知</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ordWrap/>
        <w:overflowPunct/>
        <w:topLinePunct w:val="0"/>
        <w:bidi w:val="0"/>
        <w:spacing w:line="600" w:lineRule="exact"/>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基层治理指挥中心、各岗位、各社区（村），有关单位：</w:t>
      </w:r>
    </w:p>
    <w:p>
      <w:pPr>
        <w:keepNext w:val="0"/>
        <w:keepLines w:val="0"/>
        <w:pageBreakBefore w:val="0"/>
        <w:wordWrap/>
        <w:overflowPunct/>
        <w:topLinePunct w:val="0"/>
        <w:bidi w:val="0"/>
        <w:spacing w:line="600"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现</w:t>
      </w:r>
      <w:r>
        <w:rPr>
          <w:rFonts w:hint="default" w:ascii="Times New Roman" w:hAnsi="Times New Roman" w:eastAsia="方正仿宋_GBK" w:cs="Times New Roman"/>
          <w:color w:val="auto"/>
          <w:sz w:val="32"/>
          <w:szCs w:val="32"/>
          <w:lang w:val="en-US" w:eastAsia="zh-CN"/>
        </w:rPr>
        <w:t>将《虎溪街道办事处关于开展2025年度垃圾分类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齐参与·共分享</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主题交流展示活动的通知</w:t>
      </w:r>
      <w:r>
        <w:rPr>
          <w:rFonts w:hint="eastAsia" w:ascii="方正仿宋_GBK" w:hAnsi="方正仿宋_GBK" w:eastAsia="方正仿宋_GBK" w:cs="方正仿宋_GBK"/>
          <w:color w:val="auto"/>
          <w:sz w:val="32"/>
          <w:szCs w:val="32"/>
          <w:lang w:val="en-US" w:eastAsia="zh-CN"/>
        </w:rPr>
        <w:t>》印发给你们，请认真遵照执行。</w:t>
      </w:r>
    </w:p>
    <w:p>
      <w:pPr>
        <w:keepNext w:val="0"/>
        <w:keepLines w:val="0"/>
        <w:pageBreakBefore w:val="0"/>
        <w:widowControl/>
        <w:numPr>
          <w:ilvl w:val="0"/>
          <w:numId w:val="0"/>
        </w:numPr>
        <w:tabs>
          <w:tab w:val="left" w:pos="770"/>
        </w:tabs>
        <w:kinsoku w:val="0"/>
        <w:wordWrap/>
        <w:overflowPunct/>
        <w:topLinePunct w:val="0"/>
        <w:autoSpaceDE w:val="0"/>
        <w:autoSpaceDN w:val="0"/>
        <w:bidi w:val="0"/>
        <w:adjustRightInd w:val="0"/>
        <w:snapToGrid w:val="0"/>
        <w:spacing w:line="600" w:lineRule="exact"/>
        <w:jc w:val="both"/>
        <w:textAlignment w:val="baseline"/>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880" w:firstLineChars="900"/>
        <w:jc w:val="right"/>
        <w:textAlignment w:val="auto"/>
        <w:outlineLvl w:val="9"/>
        <w:rPr>
          <w:rFonts w:hint="eastAsia" w:ascii="方正仿宋_GBK"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虎溪街道</w:t>
      </w:r>
      <w:r>
        <w:rPr>
          <w:rFonts w:hint="eastAsia" w:ascii="Times New Roman" w:hAnsi="Times New Roman" w:eastAsia="方正仿宋_GBK" w:cs="Times New Roman"/>
          <w:sz w:val="32"/>
          <w:szCs w:val="32"/>
          <w:lang w:val="en-US" w:eastAsia="zh-CN"/>
        </w:rPr>
        <w:t>办事处</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11月14</w:t>
      </w:r>
      <w:r>
        <w:rPr>
          <w:rFonts w:hint="default" w:ascii="Times New Roman" w:hAnsi="Times New Roman" w:eastAsia="方正仿宋_GBK" w:cs="Times New Roman"/>
          <w:sz w:val="32"/>
          <w:szCs w:val="32"/>
          <w:lang w:val="en-US" w:eastAsia="zh-CN"/>
        </w:rPr>
        <w:t>日</w:t>
      </w:r>
    </w:p>
    <w:p>
      <w:pPr>
        <w:pStyle w:val="5"/>
        <w:rPr>
          <w:rFonts w:hint="eastAsia" w:ascii="方正仿宋_GBK"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val="0"/>
        <w:topLinePunct w:val="0"/>
        <w:autoSpaceDE/>
        <w:autoSpaceDN/>
        <w:bidi w:val="0"/>
        <w:adjustRightInd/>
        <w:snapToGrid w:val="0"/>
        <w:spacing w:line="600" w:lineRule="exact"/>
        <w:jc w:val="both"/>
        <w:textAlignment w:val="auto"/>
        <w:rPr>
          <w:rFonts w:hint="eastAsia" w:ascii="Times New Roman" w:hAnsi="Times New Roman" w:eastAsia="方正小标宋_GBK" w:cs="Times New Roman"/>
          <w:snapToGrid/>
          <w:kern w:val="2"/>
          <w:sz w:val="44"/>
          <w:szCs w:val="44"/>
          <w:lang w:val="en-US" w:eastAsia="zh-CN"/>
        </w:rPr>
        <w:sectPr>
          <w:footerReference r:id="rId3" w:type="default"/>
          <w:pgSz w:w="11900" w:h="16820"/>
          <w:pgMar w:top="2098" w:right="1531" w:bottom="1984" w:left="1531" w:header="0" w:footer="157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color w:val="auto"/>
          <w:sz w:val="44"/>
          <w:szCs w:val="44"/>
        </w:rPr>
        <w:t>虎溪街道办事处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关于开展</w:t>
      </w:r>
      <w:r>
        <w:rPr>
          <w:rFonts w:hint="default" w:ascii="Times New Roman" w:hAnsi="Times New Roman" w:eastAsia="方正小标宋_GBK" w:cs="Times New Roman"/>
          <w:kern w:val="0"/>
          <w:sz w:val="44"/>
          <w:szCs w:val="44"/>
        </w:rPr>
        <w:t>2025</w:t>
      </w:r>
      <w:r>
        <w:rPr>
          <w:rFonts w:hint="eastAsia" w:ascii="方正小标宋_GBK" w:hAnsi="方正小标宋_GBK" w:eastAsia="方正小标宋_GBK" w:cs="方正小标宋_GBK"/>
          <w:kern w:val="0"/>
          <w:sz w:val="44"/>
          <w:szCs w:val="44"/>
        </w:rPr>
        <w:t>年度垃圾分类</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齐参与</w:t>
      </w:r>
      <w:r>
        <w:rPr>
          <w:rFonts w:hint="eastAsia" w:ascii="方正小标宋_GBK" w:hAnsi="方正小标宋_GBK" w:eastAsia="方正小标宋_GBK" w:cs="方正小标宋_GBK"/>
          <w:kern w:val="0"/>
          <w:sz w:val="44"/>
          <w:szCs w:val="44"/>
          <w:lang w:val="en-US" w:eastAsia="zh-CN"/>
        </w:rPr>
        <w:t>·</w:t>
      </w:r>
      <w:r>
        <w:rPr>
          <w:rFonts w:hint="eastAsia" w:ascii="方正小标宋_GBK" w:hAnsi="方正小标宋_GBK" w:eastAsia="方正小标宋_GBK" w:cs="方正小标宋_GBK"/>
          <w:kern w:val="0"/>
          <w:sz w:val="44"/>
          <w:szCs w:val="44"/>
        </w:rPr>
        <w:t>共分享</w:t>
      </w:r>
      <w:r>
        <w:rPr>
          <w:rFonts w:hint="eastAsia" w:ascii="方正小标宋_GBK" w:hAnsi="方正小标宋_GBK" w:eastAsia="方正小标宋_GBK" w:cs="方正小标宋_GBK"/>
          <w:kern w:val="0"/>
          <w:sz w:val="44"/>
          <w:szCs w:val="44"/>
          <w:lang w:eastAsia="zh-CN"/>
        </w:rPr>
        <w:t>”</w:t>
      </w:r>
      <w:r>
        <w:rPr>
          <w:rFonts w:hint="eastAsia" w:ascii="方正小标宋_GBK" w:hAnsi="方正小标宋_GBK" w:eastAsia="方正小标宋_GBK" w:cs="方正小标宋_GBK"/>
          <w:kern w:val="0"/>
          <w:sz w:val="44"/>
          <w:szCs w:val="44"/>
        </w:rPr>
        <w:t>主题</w:t>
      </w:r>
      <w:r>
        <w:rPr>
          <w:rFonts w:hint="eastAsia" w:ascii="方正小标宋_GBK" w:hAnsi="方正小标宋_GBK" w:eastAsia="方正小标宋_GBK" w:cs="方正小标宋_GBK"/>
          <w:kern w:val="0"/>
          <w:sz w:val="44"/>
          <w:szCs w:val="44"/>
          <w:lang w:val="en-US" w:eastAsia="zh-CN"/>
        </w:rPr>
        <w:t>交流展示</w:t>
      </w:r>
      <w:r>
        <w:rPr>
          <w:rFonts w:hint="eastAsia" w:ascii="方正小标宋_GBK" w:hAnsi="方正小标宋_GBK" w:eastAsia="方正小标宋_GBK" w:cs="方正小标宋_GBK"/>
          <w:kern w:val="0"/>
          <w:sz w:val="44"/>
          <w:szCs w:val="44"/>
        </w:rPr>
        <w:t>活动的通知</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深入贯彻落实市、区关于垃圾分类工作的部署，进一步巩固和提升我街道生活垃圾治理成效，广泛传播垃圾分类文明理念，分享优秀经验与做法，激发全民参与热情，经街道党工委研究，决定举办虎溪街道2025年度垃圾分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齐参与·共分享</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主题交流展示活动。现将有关事项通知如下。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一、活动主旨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本次活动旨在通过经验交流、成果展示与知识普及，全方位展现辖区各单位及居民在垃圾分类工作中的良好风貌与有益探索，</w:t>
      </w:r>
      <w:bookmarkStart w:id="1" w:name="_GoBack"/>
      <w:bookmarkEnd w:id="1"/>
      <w:r>
        <w:rPr>
          <w:rFonts w:hint="default" w:ascii="Times New Roman" w:hAnsi="Times New Roman" w:eastAsia="方正仿宋_GBK" w:cs="Times New Roman"/>
          <w:color w:val="auto"/>
          <w:sz w:val="32"/>
          <w:szCs w:val="32"/>
        </w:rPr>
        <w:t>带动形成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人人知晓、人人参与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的绿色生活新风尚，共同建设美丽虎溪。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二、活动时间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2025年11月至12月。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三、参与范围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虎溪街道辖区内的各社区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、物业小区、社会单位（包括但不限于学校、医院、商超、酒店等）及广大居民均可参与。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四、活动内容与流程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本次活动设立四个交流展示板块，旨在发掘不同领域的优秀经验与典型代表。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示范小区</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rPr>
        <w:t>经验分享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1.社区提议阶段：各社区可结合日常工作情况，提议本辖区内2个在垃圾分类方面有亮点、有成效的物业小区，作为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示范小区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候选单位。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2.街道</w:t>
      </w:r>
      <w:r>
        <w:rPr>
          <w:rFonts w:hint="eastAsia" w:ascii="Times New Roman" w:hAnsi="Times New Roman" w:eastAsia="方正仿宋_GBK" w:cs="Times New Roman"/>
          <w:color w:val="auto"/>
          <w:sz w:val="32"/>
          <w:szCs w:val="32"/>
          <w:lang w:val="en-US" w:eastAsia="zh-CN"/>
        </w:rPr>
        <w:t>考察</w:t>
      </w:r>
      <w:r>
        <w:rPr>
          <w:rFonts w:hint="default" w:ascii="Times New Roman" w:hAnsi="Times New Roman" w:eastAsia="方正仿宋_GBK" w:cs="Times New Roman"/>
          <w:color w:val="auto"/>
          <w:sz w:val="32"/>
          <w:szCs w:val="32"/>
        </w:rPr>
        <w:t>阶段：街道将组织工作组，对各社区提议的小区进行实地走访，综合考量其工作机制、设施配置、宣传氛围与居民参与度，最终确定11个</w:t>
      </w:r>
      <w:r>
        <w:rPr>
          <w:rFonts w:hint="eastAsia" w:ascii="Times New Roman" w:hAnsi="Times New Roman" w:eastAsia="方正仿宋_GBK" w:cs="Times New Roman"/>
          <w:color w:val="auto"/>
          <w:sz w:val="32"/>
          <w:szCs w:val="32"/>
          <w:lang w:val="en-US" w:eastAsia="zh-CN"/>
        </w:rPr>
        <w:t>物业</w:t>
      </w:r>
      <w:r>
        <w:rPr>
          <w:rFonts w:hint="default" w:ascii="Times New Roman" w:hAnsi="Times New Roman" w:eastAsia="方正仿宋_GBK" w:cs="Times New Roman"/>
          <w:color w:val="auto"/>
          <w:sz w:val="32"/>
          <w:szCs w:val="32"/>
        </w:rPr>
        <w:t>小区作为年度</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示范小区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，分享其管理经验。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default"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示范单位</w:t>
      </w:r>
      <w:r>
        <w:rPr>
          <w:rFonts w:hint="eastAsia"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风采展示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1.社区提议阶段：各社区可提议本辖区内2个在垃圾分类工作中表现积极、具有代表性的社会单位。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2.街道</w:t>
      </w:r>
      <w:r>
        <w:rPr>
          <w:rFonts w:hint="eastAsia" w:ascii="Times New Roman" w:hAnsi="Times New Roman" w:eastAsia="方正仿宋_GBK" w:cs="Times New Roman"/>
          <w:color w:val="auto"/>
          <w:sz w:val="32"/>
          <w:szCs w:val="32"/>
          <w:lang w:val="en-US" w:eastAsia="zh-CN"/>
        </w:rPr>
        <w:t>考察</w:t>
      </w:r>
      <w:r>
        <w:rPr>
          <w:rFonts w:hint="default" w:ascii="Times New Roman" w:hAnsi="Times New Roman" w:eastAsia="方正仿宋_GBK" w:cs="Times New Roman"/>
          <w:color w:val="auto"/>
          <w:sz w:val="32"/>
          <w:szCs w:val="32"/>
        </w:rPr>
        <w:t>阶段：街道工作组将对提议单位进行走访，重点关注其分类体系建设和员工参与情况，最终确定11个单位作为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示范单位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，展示其特色做法。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（三）</w:t>
      </w:r>
      <w:r>
        <w:rPr>
          <w:rFonts w:hint="eastAsia"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分类实践之星</w:t>
      </w:r>
      <w:r>
        <w:rPr>
          <w:rFonts w:hint="eastAsia"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学习交流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1.推荐阶段：街道各岗位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各社区（村）可</w:t>
      </w:r>
      <w:r>
        <w:rPr>
          <w:rFonts w:hint="eastAsia" w:ascii="Times New Roman" w:hAnsi="Times New Roman" w:eastAsia="方正仿宋_GBK" w:cs="Times New Roman"/>
          <w:color w:val="auto"/>
          <w:sz w:val="32"/>
          <w:szCs w:val="32"/>
          <w:lang w:val="en-US" w:eastAsia="zh-CN"/>
        </w:rPr>
        <w:t>至少</w:t>
      </w:r>
      <w:r>
        <w:rPr>
          <w:rFonts w:hint="default" w:ascii="Times New Roman" w:hAnsi="Times New Roman" w:eastAsia="方正仿宋_GBK" w:cs="Times New Roman"/>
          <w:color w:val="auto"/>
          <w:sz w:val="32"/>
          <w:szCs w:val="32"/>
        </w:rPr>
        <w:t>推荐1名在垃圾分类工作中认真负责、表现突出的工作人员参与交流。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2.学习交流形式：组织参与人员进行分类知识学习与技能交流。根据交流情况，将遴选出一批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分类实践之星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分类达人</w:t>
      </w:r>
      <w:r>
        <w:rPr>
          <w:rFonts w:hint="eastAsia" w:ascii="方正楷体_GBK" w:hAnsi="方正楷体_GBK" w:eastAsia="方正楷体_GBK" w:cs="方正楷体_GBK"/>
          <w:color w:val="auto"/>
          <w:sz w:val="32"/>
          <w:szCs w:val="32"/>
          <w:lang w:eastAsia="zh-CN"/>
        </w:rPr>
        <w:t>”</w:t>
      </w:r>
      <w:r>
        <w:rPr>
          <w:rFonts w:hint="default" w:ascii="方正楷体_GBK" w:hAnsi="方正楷体_GBK" w:eastAsia="方正楷体_GBK" w:cs="方正楷体_GBK"/>
          <w:color w:val="auto"/>
          <w:sz w:val="32"/>
          <w:szCs w:val="32"/>
        </w:rPr>
        <w:t>故事征集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各社区（村）可发掘并推荐本社区内积极践行垃圾分类的指导员、志愿者或普通居民（推荐人数不超过5名），分享他们的分类故事与心得体会。街道将汇集这些鲜活案例，评选出58名</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分类达人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，通过多种渠道宣传他们的环保生活理念。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五</w:t>
      </w:r>
      <w:r>
        <w:rPr>
          <w:rFonts w:hint="default" w:ascii="方正黑体_GBK" w:hAnsi="方正黑体_GBK" w:eastAsia="方正黑体_GBK" w:cs="方正黑体_GBK"/>
          <w:color w:val="auto"/>
          <w:sz w:val="32"/>
          <w:szCs w:val="32"/>
        </w:rPr>
        <w:t>、宣传与总结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1.充分利用各类宣传平台，对活动中涌现的典型经验和生动故事进行广泛传播</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.对本次活动进行总结，梳理有效做法，为持续推进垃圾分类工作提供参考。</w:t>
      </w:r>
    </w:p>
    <w:p>
      <w:pPr>
        <w:pStyle w:val="11"/>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auto"/>
          <w:sz w:val="32"/>
          <w:szCs w:val="32"/>
          <w:lang w:val="en-US" w:eastAsia="zh-CN"/>
        </w:rPr>
      </w:pPr>
    </w:p>
    <w:p>
      <w:pPr>
        <w:pStyle w:val="11"/>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auto"/>
          <w:sz w:val="32"/>
          <w:szCs w:val="32"/>
          <w:lang w:val="en-US" w:eastAsia="zh-CN"/>
        </w:rPr>
      </w:pPr>
    </w:p>
    <w:p>
      <w:pPr>
        <w:pStyle w:val="11"/>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auto"/>
          <w:sz w:val="32"/>
          <w:szCs w:val="32"/>
          <w:lang w:val="en-US" w:eastAsia="zh-CN"/>
        </w:rPr>
      </w:pPr>
    </w:p>
    <w:p>
      <w:pPr>
        <w:pStyle w:val="11"/>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方正仿宋_GBK" w:cs="Times New Roman"/>
          <w:color w:val="auto"/>
          <w:sz w:val="32"/>
          <w:szCs w:val="32"/>
          <w:lang w:val="en-US" w:eastAsia="zh-CN"/>
        </w:rPr>
      </w:pPr>
    </w:p>
    <w:p>
      <w:pPr>
        <w:pStyle w:val="11"/>
        <w:keepNext w:val="0"/>
        <w:keepLines w:val="0"/>
        <w:pageBreakBefore w:val="0"/>
        <w:widowControl w:val="0"/>
        <w:kinsoku/>
        <w:wordWrap/>
        <w:overflowPunct/>
        <w:topLinePunct w:val="0"/>
        <w:autoSpaceDE/>
        <w:autoSpaceDN/>
        <w:bidi w:val="0"/>
        <w:adjustRightInd/>
        <w:spacing w:line="60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w:t>
      </w:r>
    </w:p>
    <w:p>
      <w:pPr>
        <w:pStyle w:val="2"/>
        <w:rPr>
          <w:rFonts w:hint="eastAsia" w:ascii="仿宋" w:hAnsi="仿宋" w:eastAsia="仿宋"/>
          <w:color w:val="auto"/>
          <w:sz w:val="32"/>
          <w:szCs w:val="32"/>
          <w:lang w:val="en-US" w:eastAsia="zh-CN"/>
        </w:rPr>
      </w:pPr>
    </w:p>
    <w:p>
      <w:pPr>
        <w:pStyle w:val="3"/>
        <w:rPr>
          <w:rFonts w:hint="eastAsia" w:ascii="仿宋" w:hAnsi="仿宋" w:eastAsia="仿宋"/>
          <w:color w:val="auto"/>
          <w:sz w:val="32"/>
          <w:szCs w:val="32"/>
          <w:lang w:val="en-US" w:eastAsia="zh-CN"/>
        </w:rPr>
      </w:pPr>
    </w:p>
    <w:p>
      <w:pPr>
        <w:pStyle w:val="6"/>
        <w:ind w:left="0" w:leftChars="0" w:firstLine="0" w:firstLineChars="0"/>
        <w:rPr>
          <w:rFonts w:hint="default"/>
          <w:lang w:val="en-US" w:eastAsia="zh-CN"/>
        </w:rPr>
      </w:pPr>
    </w:p>
    <w:p>
      <w:pPr>
        <w:pStyle w:val="6"/>
        <w:ind w:left="0" w:leftChars="0" w:firstLine="0" w:firstLineChars="0"/>
        <w:rPr>
          <w:rFonts w:hint="default"/>
          <w:lang w:val="en-US" w:eastAsia="zh-CN"/>
        </w:rPr>
      </w:pPr>
    </w:p>
    <w:p>
      <w:pPr>
        <w:keepNext w:val="0"/>
        <w:keepLines w:val="0"/>
        <w:pageBreakBefore w:val="0"/>
        <w:widowControl w:val="0"/>
        <w:pBdr>
          <w:top w:val="single" w:color="auto" w:sz="6" w:space="1"/>
          <w:bottom w:val="single" w:color="auto" w:sz="6" w:space="4"/>
        </w:pBdr>
        <w:kinsoku/>
        <w:wordWrap/>
        <w:overflowPunct/>
        <w:topLinePunct w:val="0"/>
        <w:autoSpaceDE/>
        <w:autoSpaceDN/>
        <w:bidi w:val="0"/>
        <w:adjustRightInd w:val="0"/>
        <w:snapToGrid w:val="0"/>
        <w:spacing w:line="400" w:lineRule="exact"/>
        <w:ind w:firstLine="280" w:firstLineChars="100"/>
        <w:jc w:val="both"/>
        <w:textAlignment w:val="auto"/>
        <w:rPr>
          <w:color w:val="auto"/>
        </w:rPr>
      </w:pPr>
      <w:r>
        <w:rPr>
          <w:rFonts w:hint="eastAsia" w:ascii="Times New Roman" w:hAnsi="Times New Roman" w:eastAsia="方正仿宋_GBK" w:cs="Times New Roman"/>
          <w:sz w:val="28"/>
          <w:szCs w:val="28"/>
          <w:lang w:val="en-US" w:eastAsia="zh-CN"/>
        </w:rPr>
        <w:t xml:space="preserve">虎溪街道综合协调岗                     </w:t>
      </w:r>
      <w:r>
        <w:rPr>
          <w:rFonts w:hint="default" w:ascii="Times New Roman" w:hAnsi="Times New Roman" w:eastAsia="方正仿宋_GBK" w:cs="Times New Roman"/>
          <w:sz w:val="28"/>
          <w:szCs w:val="28"/>
          <w:lang w:val="en-US" w:eastAsia="zh-CN"/>
        </w:rPr>
        <w:t>2025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val="en-US" w:eastAsia="zh-CN"/>
        </w:rPr>
        <w:t>印发</w:t>
      </w:r>
    </w:p>
    <w:sectPr>
      <w:footerReference r:id="rId4"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 w:line="175" w:lineRule="auto"/>
      <w:ind w:left="7640"/>
      <w:rPr>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155575</wp:posOffset>
              </wp:positionV>
              <wp:extent cx="668655" cy="1936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68655" cy="193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25pt;height:15.25pt;width:52.65pt;mso-position-horizontal:outside;mso-position-horizontal-relative:margin;z-index:251659264;mso-width-relative:page;mso-height-relative:page;" filled="f" stroked="f" coordsize="21600,21600" o:gfxdata="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nHt31QAAAAYBAAAP&#10;AAAAAAAAAAEAIAAAACIAAABkcnMvZG93bnJldi54bWxQSwECFAAUAAAACACHTuJA/qwPqhsCAAAT&#10;BAAADgAAAAAAAAABACAAAAAkAQAAZHJzL2Uyb0RvYy54bWxQSwUGAAAAAAYABgBZAQAAsQUAAAAA&#10;">
              <v:fill on="f" focussize="0,0"/>
              <v:stroke on="f" weight="0.5pt"/>
              <v:imagedata o:title=""/>
              <o:lock v:ext="edit" aspectratio="f"/>
              <v:textbox inset="0mm,0mm,0mm,0mm">
                <w:txbxContent>
                  <w:p>
                    <w:pPr>
                      <w:pStyle w:val="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93179"/>
    <w:rsid w:val="0468281A"/>
    <w:rsid w:val="06716443"/>
    <w:rsid w:val="1A0C2CC8"/>
    <w:rsid w:val="1ECF4CA2"/>
    <w:rsid w:val="29D82995"/>
    <w:rsid w:val="2FF92A62"/>
    <w:rsid w:val="35862B4F"/>
    <w:rsid w:val="4E795571"/>
    <w:rsid w:val="516D4744"/>
    <w:rsid w:val="5A56726E"/>
    <w:rsid w:val="5D041203"/>
    <w:rsid w:val="5E2307C4"/>
    <w:rsid w:val="5F0315E2"/>
    <w:rsid w:val="60E971B1"/>
    <w:rsid w:val="65167979"/>
    <w:rsid w:val="708B5A6B"/>
    <w:rsid w:val="715B340B"/>
    <w:rsid w:val="76A03DDE"/>
    <w:rsid w:val="78EA25A3"/>
    <w:rsid w:val="7AB055B5"/>
    <w:rsid w:val="7D2D7454"/>
    <w:rsid w:val="7D45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p0"/>
    <w:basedOn w:val="1"/>
    <w:qFormat/>
    <w:uiPriority w:val="0"/>
    <w:pPr>
      <w:widowControl/>
    </w:pPr>
    <w:rPr>
      <w:rFonts w:eastAsia="方正仿宋简体"/>
      <w:kern w:val="0"/>
      <w:sz w:val="32"/>
      <w:szCs w:val="32"/>
    </w:rPr>
  </w:style>
  <w:style w:type="paragraph" w:styleId="4">
    <w:name w:val="index 6"/>
    <w:next w:val="1"/>
    <w:qFormat/>
    <w:uiPriority w:val="0"/>
    <w:pPr>
      <w:widowControl w:val="0"/>
      <w:ind w:left="2100"/>
      <w:jc w:val="both"/>
    </w:pPr>
    <w:rPr>
      <w:rFonts w:ascii="Times New Roman" w:hAnsi="Times New Roman" w:eastAsia="宋体" w:cs="Times New Roman"/>
      <w:kern w:val="2"/>
      <w:sz w:val="21"/>
      <w:szCs w:val="22"/>
      <w:lang w:val="en-US" w:eastAsia="zh-CN" w:bidi="ar-SA"/>
    </w:rPr>
  </w:style>
  <w:style w:type="paragraph" w:styleId="5">
    <w:name w:val="Body Text"/>
    <w:basedOn w:val="1"/>
    <w:next w:val="4"/>
    <w:qFormat/>
    <w:uiPriority w:val="0"/>
    <w:rPr>
      <w:rFonts w:ascii="方正仿宋_GBK" w:hAnsi="方正仿宋_GBK" w:eastAsia="方正仿宋_GBK" w:cs="方正仿宋_GBK"/>
      <w:sz w:val="31"/>
      <w:szCs w:val="31"/>
      <w:lang w:val="en-US" w:eastAsia="en-US" w:bidi="ar-SA"/>
    </w:rPr>
  </w:style>
  <w:style w:type="paragraph" w:styleId="6">
    <w:name w:val="Body Text Indent 2"/>
    <w:basedOn w:val="1"/>
    <w:qFormat/>
    <w:uiPriority w:val="0"/>
    <w:pPr>
      <w:spacing w:after="120" w:afterLines="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正文文本 21"/>
    <w:basedOn w:val="1"/>
    <w:qFormat/>
    <w:uiPriority w:val="0"/>
    <w:pPr>
      <w:snapToGrid w:val="0"/>
      <w:spacing w:line="540" w:lineRule="exact"/>
    </w:pPr>
    <w:rPr>
      <w:rFonts w:eastAsia="方正仿宋_GBK"/>
      <w:color w:val="000000"/>
    </w:rPr>
  </w:style>
  <w:style w:type="paragraph" w:customStyle="1" w:styleId="12">
    <w:name w:val="页脚1"/>
    <w:basedOn w:val="1"/>
    <w:qFormat/>
    <w:uiPriority w:val="0"/>
    <w:pPr>
      <w:tabs>
        <w:tab w:val="center" w:pos="4153"/>
        <w:tab w:val="right" w:pos="8306"/>
      </w:tabs>
      <w:snapToGrid w:val="0"/>
      <w:jc w:val="left"/>
    </w:pPr>
    <w:rPr>
      <w:sz w:val="18"/>
      <w:szCs w:val="18"/>
    </w:rPr>
  </w:style>
  <w:style w:type="character" w:customStyle="1" w:styleId="13">
    <w:name w:val="页码1"/>
    <w:link w:val="1"/>
    <w:qFormat/>
    <w:uiPriority w:val="0"/>
    <w:rPr>
      <w:rFonts w:asciiTheme="minorHAnsi" w:hAnsiTheme="minorHAnsi" w:eastAsiaTheme="minorEastAsia" w:cstheme="minorBidi"/>
      <w:kern w:val="2"/>
      <w:sz w:val="21"/>
      <w:szCs w:val="24"/>
      <w:lang w:val="en-US" w:eastAsia="zh-CN" w:bidi="ar-SA"/>
    </w:rPr>
  </w:style>
  <w:style w:type="paragraph" w:customStyle="1" w:styleId="14">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1295</Words>
  <Characters>1344</Characters>
  <Lines>0</Lines>
  <Paragraphs>0</Paragraphs>
  <TotalTime>2</TotalTime>
  <ScaleCrop>false</ScaleCrop>
  <LinksUpToDate>false</LinksUpToDate>
  <CharactersWithSpaces>1394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2024-05-24T09:14:00Z</dcterms:created>
  <dc:creator>Administrator</dc:creator>
  <cp:lastModifiedBy>sansan1427631636</cp:lastModifiedBy>
  <cp:lastPrinted>2025-11-13T02:01:00Z</cp:lastPrinted>
  <dcterms:modified xsi:type="dcterms:W3CDTF">2025-11-20T06:53:05Z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4662C01073BF4C79923A54EC20B7A035_12</vt:lpwstr>
  </property>
  <property fmtid="{D5CDD505-2E9C-101B-9397-08002B2CF9AE}" pid="4" name="KSOTemplateDocerSaveRecord">
    <vt:lpwstr>eyJoZGlkIjoiZjJlMmVmNDU2NjBiNDE2MDRlNDYzZTdkYmE4ZTY1M2IiLCJ1c2VySWQiOiI4MDU5ODEwOTkifQ==</vt:lpwstr>
  </property>
</Properties>
</file>