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color w:val="000000" w:themeColor="text1"/>
          <w:sz w:val="44"/>
          <w:szCs w:val="44"/>
          <w14:textFill>
            <w14:solidFill>
              <w14:schemeClr w14:val="tx1"/>
            </w14:solidFill>
          </w14:textFill>
        </w:rPr>
      </w:pPr>
      <w:bookmarkStart w:id="0" w:name="_GoBack"/>
      <w:r>
        <w:rPr>
          <w:rFonts w:ascii="Times New Roman" w:hAnsi="Times New Roman" w:eastAsia="方正小标宋_GBK" w:cs="Times New Roman"/>
          <w:color w:val="000000" w:themeColor="text1"/>
          <w:sz w:val="44"/>
          <w:szCs w:val="44"/>
          <w14:textFill>
            <w14:solidFill>
              <w14:schemeClr w14:val="tx1"/>
            </w14:solidFill>
          </w14:textFill>
        </w:rPr>
        <w:t>虎溪街道社区事务服务中心2024年单位预算情况说明</w:t>
      </w:r>
    </w:p>
    <w:p>
      <w:pPr>
        <w:spacing w:line="600" w:lineRule="exact"/>
        <w:ind w:firstLine="880" w:firstLineChars="200"/>
        <w:jc w:val="center"/>
        <w:rPr>
          <w:rFonts w:ascii="Times New Roman" w:hAnsi="Times New Roman" w:eastAsia="华文中宋" w:cs="Times New Roman"/>
          <w:color w:val="000000" w:themeColor="text1"/>
          <w:sz w:val="44"/>
          <w:szCs w:val="44"/>
          <w14:textFill>
            <w14:solidFill>
              <w14:schemeClr w14:val="tx1"/>
            </w14:solidFill>
          </w14:textFill>
        </w:rPr>
      </w:pP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一、单位基本情况</w:t>
      </w:r>
    </w:p>
    <w:p>
      <w:pPr>
        <w:spacing w:line="600" w:lineRule="exact"/>
        <w:ind w:firstLine="642" w:firstLineChars="200"/>
        <w:rPr>
          <w:rFonts w:ascii="Times New Roman" w:hAnsi="Times New Roman" w:eastAsia="方正楷体_GBK" w:cs="Times New Roman"/>
          <w:b/>
          <w:color w:val="000000" w:themeColor="text1"/>
          <w:sz w:val="32"/>
          <w:szCs w:val="20"/>
          <w14:textFill>
            <w14:solidFill>
              <w14:schemeClr w14:val="tx1"/>
            </w14:solidFill>
          </w14:textFill>
        </w:rPr>
      </w:pPr>
      <w:r>
        <w:rPr>
          <w:rFonts w:ascii="Times New Roman" w:hAnsi="Times New Roman" w:eastAsia="方正楷体_GBK" w:cs="Times New Roman"/>
          <w:b/>
          <w:color w:val="000000" w:themeColor="text1"/>
          <w:sz w:val="32"/>
          <w:szCs w:val="20"/>
          <w14:textFill>
            <w14:solidFill>
              <w14:schemeClr w14:val="tx1"/>
            </w14:solidFill>
          </w14:textFill>
        </w:rPr>
        <w:t>（一）职能职责</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仿宋_GBK" w:cs="Times New Roman"/>
          <w:color w:val="000000" w:themeColor="text1"/>
          <w:sz w:val="32"/>
          <w:szCs w:val="20"/>
          <w14:textFill>
            <w14:solidFill>
              <w14:schemeClr w14:val="tx1"/>
            </w14:solidFill>
          </w14:textFill>
        </w:rPr>
        <w:t>承担社区的事务性、服务性工作；承担辖区社教工作；承担辖区市政公用、园林绿化、市容环卫等工作。承担农业、林业、水利等方面的事务性工作。</w:t>
      </w:r>
    </w:p>
    <w:p>
      <w:pPr>
        <w:spacing w:line="600" w:lineRule="exact"/>
        <w:ind w:firstLine="642" w:firstLineChars="200"/>
        <w:rPr>
          <w:rFonts w:ascii="Times New Roman" w:hAnsi="Times New Roman" w:eastAsia="方正楷体_GBK" w:cs="Times New Roman"/>
          <w:b/>
          <w:color w:val="000000" w:themeColor="text1"/>
          <w:sz w:val="32"/>
          <w:szCs w:val="20"/>
          <w14:textFill>
            <w14:solidFill>
              <w14:schemeClr w14:val="tx1"/>
            </w14:solidFill>
          </w14:textFill>
        </w:rPr>
      </w:pPr>
      <w:r>
        <w:rPr>
          <w:rFonts w:ascii="Times New Roman" w:hAnsi="Times New Roman" w:eastAsia="方正楷体_GBK" w:cs="Times New Roman"/>
          <w:b/>
          <w:color w:val="000000" w:themeColor="text1"/>
          <w:sz w:val="32"/>
          <w:szCs w:val="20"/>
          <w14:textFill>
            <w14:solidFill>
              <w14:schemeClr w14:val="tx1"/>
            </w14:solidFill>
          </w14:textFill>
        </w:rPr>
        <w:t>（二）单位构成</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仿宋_GBK" w:cs="Times New Roman"/>
          <w:color w:val="000000" w:themeColor="text1"/>
          <w:sz w:val="32"/>
          <w:szCs w:val="20"/>
          <w14:textFill>
            <w14:solidFill>
              <w14:schemeClr w14:val="tx1"/>
            </w14:solidFill>
          </w14:textFill>
        </w:rPr>
        <w:t>本单位内设一个科室，为社区事务服务中心（农业服务中心）。</w:t>
      </w: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二、单位收支总体情况</w:t>
      </w:r>
    </w:p>
    <w:p>
      <w:pPr>
        <w:spacing w:line="600" w:lineRule="exact"/>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（一）收入预算：</w:t>
      </w:r>
      <w:r>
        <w:rPr>
          <w:rFonts w:ascii="Times New Roman" w:hAnsi="Times New Roman" w:eastAsia="方正仿宋_GBK" w:cs="Times New Roman"/>
          <w:color w:val="000000" w:themeColor="text1"/>
          <w:sz w:val="32"/>
          <w:szCs w:val="20"/>
          <w14:textFill>
            <w14:solidFill>
              <w14:schemeClr w14:val="tx1"/>
            </w14:solidFill>
          </w14:textFill>
        </w:rPr>
        <w:t>2024年年初预算数146.02万元，其中：一般公共预算拨款146.02万元，政府性基金预算拨款0万元，国有资本经营预算收入0万元，事业收入0万元，事业单位经营收入0万元，其他收入0万元。收入较2023年减少178.31万元，主要是项目支出按照标准化预算减少。</w:t>
      </w:r>
    </w:p>
    <w:p>
      <w:pPr>
        <w:spacing w:line="600" w:lineRule="exact"/>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eastAsia="方正楷体_GBK" w:cs="Times New Roman"/>
          <w:b/>
          <w:color w:val="000000" w:themeColor="text1"/>
          <w:sz w:val="32"/>
          <w:szCs w:val="20"/>
          <w14:textFill>
            <w14:solidFill>
              <w14:schemeClr w14:val="tx1"/>
            </w14:solidFill>
          </w14:textFill>
        </w:rPr>
        <w:t>（二）支出预算：</w:t>
      </w:r>
      <w:r>
        <w:rPr>
          <w:rFonts w:ascii="Times New Roman" w:hAnsi="Times New Roman" w:eastAsia="方正仿宋_GBK" w:cs="Times New Roman"/>
          <w:color w:val="000000" w:themeColor="text1"/>
          <w:sz w:val="32"/>
          <w:szCs w:val="20"/>
          <w14:textFill>
            <w14:solidFill>
              <w14:schemeClr w14:val="tx1"/>
            </w14:solidFill>
          </w14:textFill>
        </w:rPr>
        <w:t>2024年年初预算数146.02万元，其中：社会保障和就业支出预算134.52万元，卫生健康支出预算6.07万元，住房保障支出预算5.43万元。支出预算较2023年减少178.31万元，主要是基本支出预算增加0.03万元，项目支出预算减少178.34万元。</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三、单位预算情况说明</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2024年一般公共预算财政拨款收入146.02万元，一般公共预算财政拨款支出146.02万元，比2023年减少178.31万元。其中：基本支出146.02万元，比2023年增加0.03万元，主要用于保障在职人员工资福利及社会保险缴费，退休人员补助等，保障单位正常运转的各项商品服务支出；项目支出0万元，比2023年减少178.34万元，主要原因是项目支出按照标准化预算减少。</w:t>
      </w:r>
    </w:p>
    <w:p>
      <w:pPr>
        <w:spacing w:line="600" w:lineRule="exact"/>
        <w:ind w:firstLine="640" w:firstLineChars="200"/>
        <w:rPr>
          <w:rFonts w:ascii="Times New Roman" w:eastAsia="方正仿宋_GBK" w:cs="Times New Roman"/>
          <w:color w:val="000000" w:themeColor="text1"/>
          <w:sz w:val="32"/>
          <w:szCs w:val="20"/>
          <w14:textFill>
            <w14:solidFill>
              <w14:schemeClr w14:val="tx1"/>
            </w14:solidFill>
          </w14:textFill>
        </w:rPr>
      </w:pPr>
      <w:r>
        <w:rPr>
          <w:rFonts w:ascii="Times New Roman" w:eastAsia="方正仿宋_GBK" w:cs="Times New Roman"/>
          <w:color w:val="000000" w:themeColor="text1"/>
          <w:sz w:val="32"/>
          <w:szCs w:val="20"/>
          <w14:textFill>
            <w14:solidFill>
              <w14:schemeClr w14:val="tx1"/>
            </w14:solidFill>
          </w14:textFill>
        </w:rPr>
        <w:t>本单位</w:t>
      </w:r>
      <w:r>
        <w:rPr>
          <w:rFonts w:ascii="Times New Roman" w:hAnsi="Times New Roman" w:eastAsia="方正仿宋_GBK" w:cs="Times New Roman"/>
          <w:color w:val="000000" w:themeColor="text1"/>
          <w:sz w:val="32"/>
          <w:szCs w:val="20"/>
          <w14:textFill>
            <w14:solidFill>
              <w14:schemeClr w14:val="tx1"/>
            </w14:solidFill>
          </w14:textFill>
        </w:rPr>
        <w:t>2024</w:t>
      </w:r>
      <w:r>
        <w:rPr>
          <w:rFonts w:ascii="Times New Roman" w:eastAsia="方正仿宋_GBK" w:cs="Times New Roman"/>
          <w:color w:val="000000" w:themeColor="text1"/>
          <w:sz w:val="32"/>
          <w:szCs w:val="20"/>
          <w14:textFill>
            <w14:solidFill>
              <w14:schemeClr w14:val="tx1"/>
            </w14:solidFill>
          </w14:textFill>
        </w:rPr>
        <w:t>年无使用政府性基金预算拨款安排的支出。</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四、“三公”经费情况说明</w:t>
      </w:r>
    </w:p>
    <w:p>
      <w:pPr>
        <w:spacing w:line="600" w:lineRule="exact"/>
        <w:ind w:firstLine="640"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ascii="Times New Roman" w:hAnsi="Times New Roman" w:eastAsia="方正仿宋_GBK" w:cs="Times New Roman"/>
          <w:color w:val="000000" w:themeColor="text1"/>
          <w:sz w:val="32"/>
          <w:szCs w:val="20"/>
          <w14:textFill>
            <w14:solidFill>
              <w14:schemeClr w14:val="tx1"/>
            </w14:solidFill>
          </w14:textFill>
        </w:rPr>
        <w:t>2024年“三公”经费预算5万元，与2023年</w:t>
      </w:r>
      <w:r>
        <w:rPr>
          <w:rFonts w:hint="eastAsia" w:ascii="Times New Roman" w:hAnsi="Times New Roman" w:eastAsia="方正仿宋_GBK" w:cs="Times New Roman"/>
          <w:color w:val="000000" w:themeColor="text1"/>
          <w:sz w:val="32"/>
          <w:szCs w:val="20"/>
          <w14:textFill>
            <w14:solidFill>
              <w14:schemeClr w14:val="tx1"/>
            </w14:solidFill>
          </w14:textFill>
        </w:rPr>
        <w:t>预算</w:t>
      </w:r>
      <w:r>
        <w:rPr>
          <w:rFonts w:ascii="Times New Roman" w:hAnsi="Times New Roman" w:eastAsia="方正仿宋_GBK" w:cs="Times New Roman"/>
          <w:color w:val="000000" w:themeColor="text1"/>
          <w:sz w:val="32"/>
          <w:szCs w:val="20"/>
          <w14:textFill>
            <w14:solidFill>
              <w14:schemeClr w14:val="tx1"/>
            </w14:solidFill>
          </w14:textFill>
        </w:rPr>
        <w:t>一致。</w:t>
      </w:r>
      <w:r>
        <w:rPr>
          <w:rFonts w:ascii="Times New Roman" w:eastAsia="方正仿宋_GBK" w:cs="Times New Roman"/>
          <w:color w:val="000000" w:themeColor="text1"/>
          <w:sz w:val="32"/>
          <w:szCs w:val="20"/>
          <w14:textFill>
            <w14:solidFill>
              <w14:schemeClr w14:val="tx1"/>
            </w14:solidFill>
          </w14:textFill>
        </w:rPr>
        <w:t>其中：公务用车运行维护费</w:t>
      </w:r>
      <w:r>
        <w:rPr>
          <w:rFonts w:ascii="Times New Roman" w:hAnsi="Times New Roman" w:eastAsia="方正仿宋_GBK" w:cs="Times New Roman"/>
          <w:color w:val="000000" w:themeColor="text1"/>
          <w:sz w:val="32"/>
          <w:szCs w:val="20"/>
          <w14:textFill>
            <w14:solidFill>
              <w14:schemeClr w14:val="tx1"/>
            </w14:solidFill>
          </w14:textFill>
        </w:rPr>
        <w:t>5</w:t>
      </w:r>
      <w:r>
        <w:rPr>
          <w:rFonts w:ascii="Times New Roman" w:eastAsia="方正仿宋_GBK" w:cs="Times New Roman"/>
          <w:color w:val="000000" w:themeColor="text1"/>
          <w:sz w:val="32"/>
          <w:szCs w:val="20"/>
          <w14:textFill>
            <w14:solidFill>
              <w14:schemeClr w14:val="tx1"/>
            </w14:solidFill>
          </w14:textFill>
        </w:rPr>
        <w:t>万元，</w:t>
      </w:r>
      <w:r>
        <w:rPr>
          <w:rFonts w:hint="eastAsia" w:ascii="Times New Roman" w:eastAsia="方正仿宋_GBK" w:cs="Times New Roman"/>
          <w:color w:val="000000" w:themeColor="text1"/>
          <w:sz w:val="32"/>
          <w:szCs w:val="20"/>
          <w14:textFill>
            <w14:solidFill>
              <w14:schemeClr w14:val="tx1"/>
            </w14:solidFill>
          </w14:textFill>
        </w:rPr>
        <w:t>与</w:t>
      </w:r>
      <w:r>
        <w:rPr>
          <w:rFonts w:ascii="Times New Roman" w:hAnsi="Times New Roman" w:eastAsia="方正仿宋_GBK" w:cs="Times New Roman"/>
          <w:color w:val="000000" w:themeColor="text1"/>
          <w:sz w:val="32"/>
          <w:szCs w:val="20"/>
          <w14:textFill>
            <w14:solidFill>
              <w14:schemeClr w14:val="tx1"/>
            </w14:solidFill>
          </w14:textFill>
        </w:rPr>
        <w:t>2023</w:t>
      </w:r>
      <w:r>
        <w:rPr>
          <w:rFonts w:ascii="Times New Roman" w:eastAsia="方正仿宋_GBK" w:cs="Times New Roman"/>
          <w:color w:val="000000" w:themeColor="text1"/>
          <w:sz w:val="32"/>
          <w:szCs w:val="20"/>
          <w14:textFill>
            <w14:solidFill>
              <w14:schemeClr w14:val="tx1"/>
            </w14:solidFill>
          </w14:textFill>
        </w:rPr>
        <w:t>年预算一致。</w:t>
      </w:r>
    </w:p>
    <w:p>
      <w:pPr>
        <w:spacing w:line="600" w:lineRule="exact"/>
        <w:ind w:firstLine="6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五、其他重要事项的情况说明</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（一）机关运行经费。</w:t>
      </w:r>
      <w:r>
        <w:rPr>
          <w:rFonts w:ascii="Times New Roman" w:hAnsi="Times New Roman" w:eastAsia="方正仿宋_GBK" w:cs="Times New Roman"/>
          <w:color w:val="000000" w:themeColor="text1"/>
          <w:sz w:val="32"/>
          <w:szCs w:val="20"/>
          <w14:textFill>
            <w14:solidFill>
              <w14:schemeClr w14:val="tx1"/>
            </w14:solidFill>
          </w14:textFill>
        </w:rPr>
        <w:t>2024年一般公共预算财政拨款运行经费30.5万元，比上年增加</w:t>
      </w:r>
      <w:r>
        <w:rPr>
          <w:rFonts w:hint="eastAsia" w:ascii="Times New Roman" w:hAnsi="Times New Roman" w:eastAsia="方正仿宋_GBK" w:cs="Times New Roman"/>
          <w:color w:val="000000" w:themeColor="text1"/>
          <w:sz w:val="32"/>
          <w:szCs w:val="20"/>
          <w14:textFill>
            <w14:solidFill>
              <w14:schemeClr w14:val="tx1"/>
            </w14:solidFill>
          </w14:textFill>
        </w:rPr>
        <w:t>1.02</w:t>
      </w:r>
      <w:r>
        <w:rPr>
          <w:rFonts w:ascii="Times New Roman" w:hAnsi="Times New Roman" w:eastAsia="方正仿宋_GBK" w:cs="Times New Roman"/>
          <w:color w:val="000000" w:themeColor="text1"/>
          <w:sz w:val="32"/>
          <w:szCs w:val="20"/>
          <w14:textFill>
            <w14:solidFill>
              <w14:schemeClr w14:val="tx1"/>
            </w14:solidFill>
          </w14:textFill>
        </w:rPr>
        <w:t>万元。主要用于办公费、印刷费、邮电费、水电费、物管费、差旅费、会议费、培训费及其他商品和服务支出等。</w:t>
      </w:r>
    </w:p>
    <w:p>
      <w:pPr>
        <w:spacing w:line="600" w:lineRule="exact"/>
        <w:ind w:firstLine="642" w:firstLineChars="200"/>
        <w:rPr>
          <w:color w:val="000000" w:themeColor="text1"/>
          <w14:textFill>
            <w14:solidFill>
              <w14:schemeClr w14:val="tx1"/>
            </w14:solidFill>
          </w14:textFill>
        </w:rPr>
      </w:pPr>
      <w:r>
        <w:rPr>
          <w:rFonts w:eastAsia="方正楷体_GBK"/>
          <w:b/>
          <w:color w:val="000000" w:themeColor="text1"/>
          <w:sz w:val="32"/>
          <w:szCs w:val="20"/>
          <w14:textFill>
            <w14:solidFill>
              <w14:schemeClr w14:val="tx1"/>
            </w14:solidFill>
          </w14:textFill>
        </w:rPr>
        <w:t>（二）政府采购情况。</w:t>
      </w:r>
      <w:r>
        <w:rPr>
          <w:rFonts w:eastAsia="方正仿宋_GBK"/>
          <w:color w:val="000000" w:themeColor="text1"/>
          <w:sz w:val="32"/>
          <w:szCs w:val="20"/>
          <w14:textFill>
            <w14:solidFill>
              <w14:schemeClr w14:val="tx1"/>
            </w14:solidFill>
          </w14:textFill>
        </w:rPr>
        <w:t>本单位未编列政府采购预算。</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（三）绩效目标设置情况。</w:t>
      </w:r>
      <w:r>
        <w:rPr>
          <w:rFonts w:ascii="Times New Roman" w:hAnsi="Times New Roman" w:eastAsia="方正仿宋_GBK" w:cs="Times New Roman"/>
          <w:color w:val="000000" w:themeColor="text1"/>
          <w:sz w:val="32"/>
          <w:szCs w:val="20"/>
          <w14:textFill>
            <w14:solidFill>
              <w14:schemeClr w14:val="tx1"/>
            </w14:solidFill>
          </w14:textFill>
        </w:rPr>
        <w:t>2024年项目支出均实行了绩效目标管理，涉及一般公共预算当年财政拨款</w:t>
      </w:r>
      <w:r>
        <w:rPr>
          <w:rFonts w:ascii="Times New Roman" w:hAnsi="Times New Roman" w:eastAsia="方正仿宋_GBK" w:cs="Times New Roman"/>
          <w:color w:val="000000" w:themeColor="text1"/>
          <w:sz w:val="32"/>
          <w:szCs w:val="20"/>
          <w14:textFill>
            <w14:solidFill>
              <w14:schemeClr w14:val="tx1"/>
            </w14:solidFill>
          </w14:textFill>
        </w:rPr>
        <w:t>146.02</w:t>
      </w:r>
      <w:r>
        <w:rPr>
          <w:rFonts w:ascii="Times New Roman" w:hAnsi="Times New Roman" w:eastAsia="方正仿宋_GBK" w:cs="Times New Roman"/>
          <w:color w:val="000000" w:themeColor="text1"/>
          <w:sz w:val="32"/>
          <w:szCs w:val="20"/>
          <w14:textFill>
            <w14:solidFill>
              <w14:schemeClr w14:val="tx1"/>
            </w14:solidFill>
          </w14:textFill>
        </w:rPr>
        <w:t>万元。</w:t>
      </w:r>
    </w:p>
    <w:p>
      <w:pPr>
        <w:ind w:firstLine="642" w:firstLineChars="200"/>
        <w:rPr>
          <w:rFonts w:ascii="Times New Roman" w:hAnsi="Times New Roman" w:eastAsia="方正仿宋_GBK" w:cs="Times New Roman"/>
          <w:color w:val="000000" w:themeColor="text1"/>
          <w:sz w:val="32"/>
          <w:szCs w:val="20"/>
          <w14:textFill>
            <w14:solidFill>
              <w14:schemeClr w14:val="tx1"/>
            </w14:solidFill>
          </w14:textFill>
        </w:rPr>
      </w:pPr>
      <w:r>
        <w:rPr>
          <w:rFonts w:eastAsia="方正楷体_GBK"/>
          <w:b/>
          <w:color w:val="000000" w:themeColor="text1"/>
          <w:sz w:val="32"/>
          <w:szCs w:val="20"/>
          <w14:textFill>
            <w14:solidFill>
              <w14:schemeClr w14:val="tx1"/>
            </w14:solidFill>
          </w14:textFill>
        </w:rPr>
        <w:t>（四）国有资产占有使用情况</w:t>
      </w:r>
      <w:r>
        <w:rPr>
          <w:rFonts w:ascii="Times New Roman" w:eastAsia="方正楷体_GBK" w:cs="Times New Roman"/>
          <w:b/>
          <w:color w:val="000000" w:themeColor="text1"/>
          <w:sz w:val="32"/>
          <w:szCs w:val="20"/>
          <w14:textFill>
            <w14:solidFill>
              <w14:schemeClr w14:val="tx1"/>
            </w14:solidFill>
          </w14:textFill>
        </w:rPr>
        <w:t>。</w:t>
      </w:r>
      <w:r>
        <w:rPr>
          <w:rFonts w:hint="eastAsia" w:ascii="Times New Roman" w:eastAsia="方正仿宋_GBK" w:cs="Times New Roman"/>
          <w:color w:val="000000" w:themeColor="text1"/>
          <w:sz w:val="32"/>
          <w:szCs w:val="20"/>
          <w:lang w:eastAsia="zh-CN"/>
          <w14:textFill>
            <w14:solidFill>
              <w14:schemeClr w14:val="tx1"/>
            </w14:solidFill>
          </w14:textFill>
        </w:rPr>
        <w:t>截至</w:t>
      </w:r>
      <w:r>
        <w:rPr>
          <w:rFonts w:ascii="Times New Roman" w:hAnsi="Times New Roman" w:eastAsia="方正仿宋_GBK" w:cs="Times New Roman"/>
          <w:color w:val="000000" w:themeColor="text1"/>
          <w:sz w:val="32"/>
          <w:szCs w:val="20"/>
          <w14:textFill>
            <w14:solidFill>
              <w14:schemeClr w14:val="tx1"/>
            </w14:solidFill>
          </w14:textFill>
        </w:rPr>
        <w:t>2023</w:t>
      </w:r>
      <w:r>
        <w:rPr>
          <w:rFonts w:ascii="Times New Roman" w:eastAsia="方正仿宋_GBK" w:cs="Times New Roman"/>
          <w:color w:val="000000" w:themeColor="text1"/>
          <w:sz w:val="32"/>
          <w:szCs w:val="20"/>
          <w14:textFill>
            <w14:solidFill>
              <w14:schemeClr w14:val="tx1"/>
            </w14:solidFill>
          </w14:textFill>
        </w:rPr>
        <w:t>年</w:t>
      </w:r>
      <w:r>
        <w:rPr>
          <w:rFonts w:ascii="Times New Roman" w:hAnsi="Times New Roman" w:eastAsia="方正仿宋_GBK" w:cs="Times New Roman"/>
          <w:color w:val="000000" w:themeColor="text1"/>
          <w:sz w:val="32"/>
          <w:szCs w:val="20"/>
          <w14:textFill>
            <w14:solidFill>
              <w14:schemeClr w14:val="tx1"/>
            </w14:solidFill>
          </w14:textFill>
        </w:rPr>
        <w:t>12</w:t>
      </w:r>
      <w:r>
        <w:rPr>
          <w:rFonts w:ascii="Times New Roman" w:eastAsia="方正仿宋_GBK" w:cs="Times New Roman"/>
          <w:color w:val="000000" w:themeColor="text1"/>
          <w:sz w:val="32"/>
          <w:szCs w:val="20"/>
          <w14:textFill>
            <w14:solidFill>
              <w14:schemeClr w14:val="tx1"/>
            </w14:solidFill>
          </w14:textFill>
        </w:rPr>
        <w:t>月，</w:t>
      </w:r>
      <w:r>
        <w:rPr>
          <w:rFonts w:ascii="Times New Roman" w:hAnsi="Times New Roman" w:eastAsia="方正仿宋_GBK" w:cs="Times New Roman"/>
          <w:color w:val="000000" w:themeColor="text1"/>
          <w:sz w:val="32"/>
          <w:szCs w:val="20"/>
          <w14:textFill>
            <w14:solidFill>
              <w14:schemeClr w14:val="tx1"/>
            </w14:solidFill>
          </w14:textFill>
        </w:rPr>
        <w:t>本单位共有车辆</w:t>
      </w:r>
      <w:r>
        <w:rPr>
          <w:rFonts w:hint="eastAsia" w:ascii="Times New Roman" w:hAnsi="Times New Roman" w:eastAsia="方正仿宋_GBK" w:cs="Times New Roman"/>
          <w:color w:val="000000" w:themeColor="text1"/>
          <w:sz w:val="32"/>
          <w:szCs w:val="20"/>
          <w14:textFill>
            <w14:solidFill>
              <w14:schemeClr w14:val="tx1"/>
            </w14:solidFill>
          </w14:textFill>
        </w:rPr>
        <w:t>1</w:t>
      </w:r>
      <w:r>
        <w:rPr>
          <w:rFonts w:ascii="Times New Roman" w:hAnsi="Times New Roman" w:eastAsia="方正仿宋_GBK" w:cs="Times New Roman"/>
          <w:color w:val="000000" w:themeColor="text1"/>
          <w:sz w:val="32"/>
          <w:szCs w:val="20"/>
          <w14:textFill>
            <w14:solidFill>
              <w14:schemeClr w14:val="tx1"/>
            </w14:solidFill>
          </w14:textFill>
        </w:rPr>
        <w:t>辆，其中一般公务用车</w:t>
      </w:r>
      <w:r>
        <w:rPr>
          <w:rFonts w:hint="eastAsia" w:ascii="Times New Roman" w:hAnsi="Times New Roman" w:eastAsia="方正仿宋_GBK" w:cs="Times New Roman"/>
          <w:color w:val="000000" w:themeColor="text1"/>
          <w:sz w:val="32"/>
          <w:szCs w:val="20"/>
          <w14:textFill>
            <w14:solidFill>
              <w14:schemeClr w14:val="tx1"/>
            </w14:solidFill>
          </w14:textFill>
        </w:rPr>
        <w:t>1</w:t>
      </w:r>
      <w:r>
        <w:rPr>
          <w:rFonts w:ascii="Times New Roman" w:hAnsi="Times New Roman" w:eastAsia="方正仿宋_GBK" w:cs="Times New Roman"/>
          <w:color w:val="000000" w:themeColor="text1"/>
          <w:sz w:val="32"/>
          <w:szCs w:val="20"/>
          <w14:textFill>
            <w14:solidFill>
              <w14:schemeClr w14:val="tx1"/>
            </w14:solidFill>
          </w14:textFill>
        </w:rPr>
        <w:t>辆、执勤执法用车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辆。2024年一般公共预算安排购置车辆</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辆，其中一般公务用车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辆、执勤执法用车</w:t>
      </w:r>
      <w:r>
        <w:rPr>
          <w:rFonts w:hint="eastAsia" w:ascii="Times New Roman" w:hAnsi="Times New Roman" w:eastAsia="方正仿宋_GBK" w:cs="Times New Roman"/>
          <w:color w:val="000000" w:themeColor="text1"/>
          <w:sz w:val="32"/>
          <w:szCs w:val="20"/>
          <w14:textFill>
            <w14:solidFill>
              <w14:schemeClr w14:val="tx1"/>
            </w14:solidFill>
          </w14:textFill>
        </w:rPr>
        <w:t>0</w:t>
      </w:r>
      <w:r>
        <w:rPr>
          <w:rFonts w:ascii="Times New Roman" w:hAnsi="Times New Roman" w:eastAsia="方正仿宋_GBK" w:cs="Times New Roman"/>
          <w:color w:val="000000" w:themeColor="text1"/>
          <w:sz w:val="32"/>
          <w:szCs w:val="20"/>
          <w14:textFill>
            <w14:solidFill>
              <w14:schemeClr w14:val="tx1"/>
            </w14:solidFill>
          </w14:textFill>
        </w:rPr>
        <w:t>辆。</w:t>
      </w:r>
    </w:p>
    <w:p>
      <w:pPr>
        <w:spacing w:line="600" w:lineRule="exact"/>
        <w:ind w:firstLine="640" w:firstLineChars="200"/>
        <w:rPr>
          <w:rFonts w:ascii="Times New Roman" w:hAnsi="Times New Roman" w:eastAsia="方正黑体_GBK" w:cs="Times New Roman"/>
          <w:color w:val="000000" w:themeColor="text1"/>
          <w:sz w:val="32"/>
          <w:szCs w:val="20"/>
          <w14:textFill>
            <w14:solidFill>
              <w14:schemeClr w14:val="tx1"/>
            </w14:solidFill>
          </w14:textFill>
        </w:rPr>
      </w:pPr>
      <w:r>
        <w:rPr>
          <w:rFonts w:ascii="Times New Roman" w:hAnsi="Times New Roman" w:eastAsia="方正黑体_GBK" w:cs="Times New Roman"/>
          <w:color w:val="000000" w:themeColor="text1"/>
          <w:sz w:val="32"/>
          <w:szCs w:val="20"/>
          <w14:textFill>
            <w14:solidFill>
              <w14:schemeClr w14:val="tx1"/>
            </w14:solidFill>
          </w14:textFill>
        </w:rPr>
        <w:t>六、专业性名词解释</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（一）财政拨款收入：</w:t>
      </w:r>
      <w:r>
        <w:rPr>
          <w:rFonts w:ascii="Times New Roman" w:hAnsi="Times New Roman" w:eastAsia="方正仿宋_GBK" w:cs="Times New Roman"/>
          <w:color w:val="000000" w:themeColor="text1"/>
          <w:sz w:val="32"/>
          <w:szCs w:val="32"/>
          <w14:textFill>
            <w14:solidFill>
              <w14:schemeClr w14:val="tx1"/>
            </w14:solidFill>
          </w14:textFill>
        </w:rPr>
        <w:t>指本年度从本级财政部门取得的财政拨款，包括一般公共预算财政拨款和政府性基金预算财政拨款。</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（二）其他收入：</w:t>
      </w:r>
      <w:r>
        <w:rPr>
          <w:rFonts w:ascii="Times New Roman" w:hAnsi="Times New Roman" w:eastAsia="方正仿宋_GBK" w:cs="Times New Roman"/>
          <w:color w:val="000000" w:themeColor="text1"/>
          <w:sz w:val="32"/>
          <w:szCs w:val="32"/>
          <w14:textFill>
            <w14:solidFill>
              <w14:schemeClr w14:val="tx1"/>
            </w14:solidFill>
          </w14:textFill>
        </w:rPr>
        <w:t>指单位取得的除“财政拨款收入”、“事业收入”、“经营收入”等以外的收入。</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（三）基本支出：</w:t>
      </w:r>
      <w:r>
        <w:rPr>
          <w:rFonts w:ascii="Times New Roman" w:hAnsi="Times New Roman" w:eastAsia="方正仿宋_GBK" w:cs="Times New Roman"/>
          <w:color w:val="000000" w:themeColor="text1"/>
          <w:sz w:val="32"/>
          <w:szCs w:val="32"/>
          <w14:textFill>
            <w14:solidFill>
              <w14:schemeClr w14:val="tx1"/>
            </w14:solidFill>
          </w14:textFill>
        </w:rPr>
        <w:t>指为保障机构正常运转、完成日常工作任务而发生的人员经费和公用经费。</w:t>
      </w:r>
    </w:p>
    <w:p>
      <w:pPr>
        <w:tabs>
          <w:tab w:val="center" w:pos="4153"/>
          <w:tab w:val="left" w:pos="7275"/>
        </w:tabs>
        <w:spacing w:line="600" w:lineRule="exact"/>
        <w:ind w:firstLine="642" w:firstLineChars="200"/>
        <w:jc w:val="left"/>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（四）项目支出：</w:t>
      </w:r>
      <w:r>
        <w:rPr>
          <w:rFonts w:ascii="Times New Roman" w:hAnsi="Times New Roman" w:eastAsia="方正仿宋_GBK" w:cs="Times New Roman"/>
          <w:color w:val="000000" w:themeColor="text1"/>
          <w:sz w:val="32"/>
          <w:szCs w:val="32"/>
          <w14:textFill>
            <w14:solidFill>
              <w14:schemeClr w14:val="tx1"/>
            </w14:solidFill>
          </w14:textFill>
        </w:rPr>
        <w:t>指在基本支出之外为完成特定行政任务和事业发展目标所发生的支出。</w:t>
      </w:r>
    </w:p>
    <w:p>
      <w:pPr>
        <w:ind w:firstLine="642"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eastAsia="方正楷体_GBK"/>
          <w:b/>
          <w:color w:val="000000" w:themeColor="text1"/>
          <w:sz w:val="32"/>
          <w:szCs w:val="20"/>
          <w14:textFill>
            <w14:solidFill>
              <w14:schemeClr w14:val="tx1"/>
            </w14:solidFill>
          </w14:textFill>
        </w:rPr>
        <w:t>（五）“三公”经费：</w:t>
      </w:r>
      <w:r>
        <w:rPr>
          <w:rFonts w:ascii="Times New Roman" w:hAnsi="Times New Roman" w:eastAsia="方正仿宋_GBK" w:cs="Times New Roman"/>
          <w:color w:val="000000" w:themeColor="text1"/>
          <w:sz w:val="32"/>
          <w:szCs w:val="32"/>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rPr>
          <w:color w:val="000000" w:themeColor="text1"/>
          <w14:textFill>
            <w14:solidFill>
              <w14:schemeClr w14:val="tx1"/>
            </w14:solidFill>
          </w14:textFill>
        </w:rPr>
      </w:pPr>
    </w:p>
    <w:p>
      <w:pPr>
        <w:jc w:val="center"/>
        <w:rPr>
          <w:rFonts w:ascii="Times New Roman" w:hAnsi="Times New Roman" w:cs="Times New Roman"/>
          <w:color w:val="000000" w:themeColor="text1"/>
          <w14:textFill>
            <w14:solidFill>
              <w14:schemeClr w14:val="tx1"/>
            </w14:solidFill>
          </w14:textFill>
        </w:rPr>
      </w:pP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部门预算公开联系人：王刚</w:t>
      </w:r>
      <w:r>
        <w:rPr>
          <w:rFonts w:hint="eastAsia" w:eastAsia="方正仿宋_GBK"/>
          <w:color w:val="000000" w:themeColor="text1"/>
          <w:sz w:val="32"/>
          <w:szCs w:val="32"/>
          <w:lang w:eastAsia="zh-CN"/>
          <w14:textFill>
            <w14:solidFill>
              <w14:schemeClr w14:val="tx1"/>
            </w14:solidFill>
          </w14:textFill>
        </w:rPr>
        <w:t>，联系方式</w:t>
      </w:r>
      <w:r>
        <w:rPr>
          <w:rFonts w:eastAsia="方正仿宋_GBK"/>
          <w:color w:val="000000" w:themeColor="text1"/>
          <w:sz w:val="32"/>
          <w:szCs w:val="32"/>
          <w14:textFill>
            <w14:solidFill>
              <w14:schemeClr w14:val="tx1"/>
            </w14:solidFill>
          </w14:textFill>
        </w:rPr>
        <w:t>：023-616917</w:t>
      </w:r>
      <w:r>
        <w:rPr>
          <w:rFonts w:hint="eastAsia" w:eastAsia="方正仿宋_GBK"/>
          <w:color w:val="000000" w:themeColor="text1"/>
          <w:sz w:val="32"/>
          <w:szCs w:val="32"/>
          <w14:textFill>
            <w14:solidFill>
              <w14:schemeClr w14:val="tx1"/>
            </w14:solidFill>
          </w14:textFill>
        </w:rPr>
        <w:t>0</w:t>
      </w:r>
      <w:r>
        <w:rPr>
          <w:rFonts w:eastAsia="方正仿宋_GBK"/>
          <w:color w:val="000000" w:themeColor="text1"/>
          <w:sz w:val="32"/>
          <w:szCs w:val="32"/>
          <w14:textFill>
            <w14:solidFill>
              <w14:schemeClr w14:val="tx1"/>
            </w14:solidFill>
          </w14:textFill>
        </w:rPr>
        <w:t>0）</w:t>
      </w:r>
    </w:p>
    <w:bookmarkEnd w:id="0"/>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Nimbus Roman No9 L">
    <w:altName w:val="华文中宋"/>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docPartObj>
        <w:docPartGallery w:val="autotext"/>
      </w:docPartObj>
    </w:sdtPr>
    <w:sdtContent>
      <w:p>
        <w:pPr>
          <w:pStyle w:val="3"/>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3</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docPartObj>
        <w:docPartGallery w:val="autotext"/>
      </w:docPartObj>
    </w:sdtPr>
    <w:sdtContent>
      <w:p>
        <w:pPr>
          <w:pStyle w:val="3"/>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12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pPr>
      <w:pStyle w:val="3"/>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F400F"/>
    <w:rsid w:val="00192C5F"/>
    <w:rsid w:val="003414EC"/>
    <w:rsid w:val="00391F91"/>
    <w:rsid w:val="003F400F"/>
    <w:rsid w:val="00766381"/>
    <w:rsid w:val="0087624B"/>
    <w:rsid w:val="008810D1"/>
    <w:rsid w:val="00BF3DD7"/>
    <w:rsid w:val="00D135F1"/>
    <w:rsid w:val="00E235D0"/>
    <w:rsid w:val="00F64167"/>
    <w:rsid w:val="00F96977"/>
    <w:rsid w:val="00FA7A5E"/>
    <w:rsid w:val="00FE1398"/>
    <w:rsid w:val="09CB36F0"/>
    <w:rsid w:val="177F1E3B"/>
    <w:rsid w:val="27FBAC60"/>
    <w:rsid w:val="2EFEC55E"/>
    <w:rsid w:val="6E7F0CCC"/>
    <w:rsid w:val="75DFC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7"/>
    <w:qFormat/>
    <w:uiPriority w:val="0"/>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sz w:val="18"/>
      <w:szCs w:val="18"/>
    </w:rPr>
  </w:style>
  <w:style w:type="character" w:customStyle="1" w:styleId="8">
    <w:name w:val="页眉 Char"/>
    <w:basedOn w:val="6"/>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217</Words>
  <Characters>1243</Characters>
  <Lines>10</Lines>
  <Paragraphs>2</Paragraphs>
  <TotalTime>25</TotalTime>
  <ScaleCrop>false</ScaleCrop>
  <LinksUpToDate>false</LinksUpToDate>
  <CharactersWithSpaces>1458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2024-04-08T07:47:00Z</dcterms:created>
  <dc:creator>Administrator</dc:creator>
  <cp:lastModifiedBy>uos</cp:lastModifiedBy>
  <dcterms:modified xsi:type="dcterms:W3CDTF">2024-05-10T09:05:02Z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