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overflowPunct/>
        <w:topLinePunct w:val="0"/>
        <w:autoSpaceDN/>
        <w:bidi w:val="0"/>
        <w:adjustRightInd/>
        <w:spacing w:before="0" w:beforeAutospacing="0" w:after="0" w:afterAutospacing="0" w:line="600" w:lineRule="exact"/>
        <w:jc w:val="center"/>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重庆市沙坪坝区虎溪街道综合行政执法</w:t>
      </w:r>
    </w:p>
    <w:p>
      <w:pPr>
        <w:pStyle w:val="9"/>
        <w:keepNext w:val="0"/>
        <w:keepLines w:val="0"/>
        <w:pageBreakBefore w:val="0"/>
        <w:kinsoku/>
        <w:overflowPunct/>
        <w:topLinePunct w:val="0"/>
        <w:autoSpaceDN/>
        <w:bidi w:val="0"/>
        <w:adjustRightInd/>
        <w:spacing w:before="0" w:beforeAutospacing="0" w:after="0" w:afterAutospacing="0" w:line="600" w:lineRule="exact"/>
        <w:jc w:val="center"/>
        <w:rPr>
          <w:rFonts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44"/>
          <w:szCs w:val="44"/>
        </w:rPr>
        <w:t>大队</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9"/>
        <w:keepNext w:val="0"/>
        <w:keepLines w:val="0"/>
        <w:pageBreakBefore w:val="0"/>
        <w:kinsoku/>
        <w:overflowPunct/>
        <w:topLinePunct w:val="0"/>
        <w:autoSpaceDN/>
        <w:bidi w:val="0"/>
        <w:adjustRightInd/>
        <w:spacing w:before="0" w:beforeAutospacing="0" w:after="0" w:afterAutospacing="0" w:line="600" w:lineRule="exact"/>
        <w:jc w:val="center"/>
        <w:rPr>
          <w:rFonts w:ascii="方正小标宋_GBK" w:hAnsi="方正小标宋_GBK" w:eastAsia="方正小标宋_GBK" w:cs="方正小标宋_GBK"/>
          <w:color w:val="auto"/>
          <w:sz w:val="44"/>
          <w:szCs w:val="44"/>
          <w:shd w:val="clear" w:color="auto" w:fill="FFFFFF"/>
        </w:rPr>
      </w:pP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一、单位基本情况</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Fonts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方正仿宋_GBK" w:cs="Times New Roman"/>
          <w:color w:val="auto"/>
          <w:sz w:val="32"/>
          <w:szCs w:val="32"/>
          <w:lang w:val="en-US" w:eastAsia="zh-CN"/>
        </w:rPr>
        <w:t>虎溪街道</w:t>
      </w:r>
      <w:r>
        <w:rPr>
          <w:rFonts w:hint="default" w:ascii="Times New Roman" w:hAnsi="Times New Roman" w:eastAsia="方正仿宋_GBK" w:cs="Times New Roman"/>
          <w:color w:val="auto"/>
          <w:sz w:val="32"/>
          <w:szCs w:val="32"/>
          <w:lang w:val="en-US" w:eastAsia="zh-CN"/>
        </w:rPr>
        <w:t>综合行政执法大队主要承担综合行政执法基础性、事务性工作。</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Fonts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虎溪街道综合行政执法大队</w:t>
      </w:r>
      <w:r>
        <w:rPr>
          <w:rFonts w:hint="eastAsia" w:ascii="Times New Roman" w:hAnsi="Times New Roman" w:eastAsia="仿宋_GB2312" w:cs="Times New Roman"/>
          <w:color w:val="auto"/>
          <w:sz w:val="32"/>
          <w:szCs w:val="32"/>
          <w:lang w:val="en-US" w:eastAsia="zh-CN"/>
        </w:rPr>
        <w:t>是虎溪街道下属事业单位之一</w:t>
      </w:r>
      <w:r>
        <w:rPr>
          <w:rFonts w:hint="default" w:ascii="Times New Roman" w:hAnsi="Times New Roman" w:eastAsia="方正仿宋_GBK" w:cs="Times New Roman"/>
          <w:color w:val="auto"/>
          <w:sz w:val="32"/>
          <w:szCs w:val="32"/>
          <w:lang w:val="en-US" w:eastAsia="zh-CN"/>
        </w:rPr>
        <w:t>，与虎溪街道办事处</w:t>
      </w:r>
      <w:r>
        <w:rPr>
          <w:rFonts w:hint="eastAsia" w:ascii="Times New Roman" w:hAnsi="Times New Roman" w:eastAsia="方正仿宋_GBK" w:cs="Times New Roman"/>
          <w:color w:val="auto"/>
          <w:sz w:val="32"/>
          <w:szCs w:val="32"/>
          <w:lang w:val="en-US" w:eastAsia="zh-CN"/>
        </w:rPr>
        <w:t>合并</w:t>
      </w:r>
      <w:r>
        <w:rPr>
          <w:rFonts w:hint="default" w:ascii="Times New Roman" w:hAnsi="Times New Roman" w:eastAsia="方正仿宋_GBK" w:cs="Times New Roman"/>
          <w:color w:val="auto"/>
          <w:sz w:val="32"/>
          <w:szCs w:val="32"/>
          <w:lang w:val="en-US" w:eastAsia="zh-CN"/>
        </w:rPr>
        <w:t>办公运行。</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二、单位决算收支情况说明</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收、支与2023年度相比，增加11.26万元，增长6.7%</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是2024年年</w:t>
      </w:r>
      <w:r>
        <w:rPr>
          <w:rFonts w:hint="eastAsia" w:ascii="方正仿宋_GBK" w:hAnsi="方正仿宋_GBK" w:eastAsia="方正仿宋_GBK" w:cs="方正仿宋_GBK"/>
          <w:color w:val="auto"/>
          <w:sz w:val="32"/>
          <w:szCs w:val="32"/>
          <w:shd w:val="clear" w:color="auto" w:fill="FFFFFF"/>
          <w:lang w:eastAsia="zh-CN"/>
        </w:rPr>
        <w:t>中追加相关工作经费</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与2023年度相比，增加11.26万元，增长6.7%</w:t>
      </w:r>
      <w:r>
        <w:rPr>
          <w:rFonts w:ascii="方正仿宋_GBK" w:hAnsi="方正仿宋_GBK" w:eastAsia="方正仿宋_GBK" w:cs="方正仿宋_GBK"/>
          <w:color w:val="auto"/>
          <w:sz w:val="32"/>
          <w:szCs w:val="32"/>
          <w:shd w:val="clear" w:color="auto" w:fill="FFFFFF"/>
        </w:rPr>
        <w:t>，主要原</w:t>
      </w:r>
      <w:r>
        <w:rPr>
          <w:rFonts w:hint="default" w:ascii="Times New Roman" w:hAnsi="Times New Roman" w:eastAsia="方正仿宋_GBK"/>
          <w:color w:val="auto"/>
          <w:sz w:val="32"/>
          <w:szCs w:val="32"/>
          <w:shd w:val="clear" w:color="auto" w:fill="FFFFFF"/>
        </w:rPr>
        <w:t>因</w:t>
      </w:r>
      <w:r>
        <w:rPr>
          <w:rFonts w:hint="eastAsia" w:ascii="Times New Roman" w:hAnsi="Times New Roman" w:eastAsia="方正仿宋_GBK"/>
          <w:color w:val="auto"/>
          <w:sz w:val="32"/>
          <w:szCs w:val="32"/>
          <w:shd w:val="clear" w:color="auto" w:fill="FFFFFF"/>
          <w:lang w:eastAsia="zh-CN"/>
        </w:rPr>
        <w:t>是2024年年中</w:t>
      </w:r>
      <w:r>
        <w:rPr>
          <w:rFonts w:hint="eastAsia" w:ascii="方正仿宋_GBK" w:hAnsi="方正仿宋_GBK" w:eastAsia="方正仿宋_GBK" w:cs="方正仿宋_GBK"/>
          <w:color w:val="auto"/>
          <w:sz w:val="32"/>
          <w:szCs w:val="32"/>
          <w:shd w:val="clear" w:color="auto" w:fill="FFFFFF"/>
          <w:lang w:eastAsia="zh-CN"/>
        </w:rPr>
        <w:t>追加相关工作经费</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与2023年度相比，增加11.26万元，增长6.7%</w:t>
      </w:r>
      <w:r>
        <w:rPr>
          <w:rFonts w:ascii="方正仿宋_GBK" w:hAnsi="方正仿宋_GBK" w:eastAsia="方正仿宋_GBK" w:cs="方正仿宋_GBK"/>
          <w:color w:val="auto"/>
          <w:sz w:val="32"/>
          <w:szCs w:val="32"/>
          <w:shd w:val="clear" w:color="auto" w:fill="FFFFFF"/>
        </w:rPr>
        <w:t>，主要原</w:t>
      </w:r>
      <w:r>
        <w:rPr>
          <w:rFonts w:hint="default" w:ascii="Times New Roman" w:hAnsi="Times New Roman" w:eastAsia="方正仿宋_GBK"/>
          <w:color w:val="auto"/>
          <w:sz w:val="32"/>
          <w:szCs w:val="32"/>
          <w:shd w:val="clear" w:color="auto" w:fill="FFFFFF"/>
        </w:rPr>
        <w:t>因</w:t>
      </w:r>
      <w:r>
        <w:rPr>
          <w:rFonts w:hint="eastAsia" w:ascii="Times New Roman" w:hAnsi="Times New Roman" w:eastAsia="方正仿宋_GBK"/>
          <w:color w:val="auto"/>
          <w:sz w:val="32"/>
          <w:szCs w:val="32"/>
          <w:shd w:val="clear" w:color="auto" w:fill="FFFFFF"/>
          <w:lang w:eastAsia="zh-CN"/>
        </w:rPr>
        <w:t>是2024年年</w:t>
      </w:r>
      <w:r>
        <w:rPr>
          <w:rFonts w:hint="eastAsia" w:ascii="方正仿宋_GBK" w:hAnsi="方正仿宋_GBK" w:eastAsia="方正仿宋_GBK" w:cs="方正仿宋_GBK"/>
          <w:color w:val="auto"/>
          <w:sz w:val="32"/>
          <w:szCs w:val="32"/>
          <w:shd w:val="clear" w:color="auto" w:fill="FFFFFF"/>
          <w:lang w:eastAsia="zh-CN"/>
        </w:rPr>
        <w:t>中追加相关工作经费</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rPr>
      </w:pPr>
      <w:r>
        <w:rPr>
          <w:rStyle w:val="11"/>
          <w:rFonts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结转和结余，</w:t>
      </w:r>
      <w:r>
        <w:rPr>
          <w:rFonts w:hint="eastAsia" w:ascii="方正仿宋_GBK" w:hAnsi="方正仿宋_GBK" w:eastAsia="方正仿宋_GBK" w:cs="方正仿宋_GBK"/>
          <w:color w:val="auto"/>
          <w:sz w:val="32"/>
          <w:szCs w:val="32"/>
          <w:shd w:val="clear" w:color="auto" w:fill="FFFFFF"/>
          <w:lang w:val="en-US" w:eastAsia="zh-CN"/>
        </w:rPr>
        <w:t>较</w:t>
      </w:r>
      <w:r>
        <w:rPr>
          <w:rFonts w:hint="default" w:ascii="Times New Roman" w:hAnsi="Times New Roman" w:eastAsia="方正仿宋_GBK"/>
          <w:color w:val="auto"/>
          <w:sz w:val="32"/>
          <w:szCs w:val="32"/>
          <w:shd w:val="clear" w:color="auto" w:fill="FFFFFF"/>
        </w:rPr>
        <w:t>2023年</w:t>
      </w:r>
      <w:r>
        <w:rPr>
          <w:rFonts w:hint="eastAsia" w:ascii="Times New Roman" w:hAnsi="Times New Roman" w:eastAsia="方正仿宋_GBK"/>
          <w:color w:val="auto"/>
          <w:sz w:val="32"/>
          <w:szCs w:val="32"/>
          <w:shd w:val="clear" w:color="auto" w:fill="FFFFFF"/>
          <w:lang w:val="en-US" w:eastAsia="zh-CN"/>
        </w:rPr>
        <w:t>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财政拨款收、支总计各增加11.26万元，增长6.7%</w:t>
      </w:r>
      <w:r>
        <w:rPr>
          <w:rFonts w:ascii="方正仿宋_GBK" w:hAnsi="方正仿宋_GBK" w:eastAsia="方正仿宋_GBK" w:cs="方正仿宋_GBK"/>
          <w:color w:val="auto"/>
          <w:sz w:val="32"/>
          <w:szCs w:val="32"/>
          <w:shd w:val="clear" w:color="auto" w:fill="FFFFFF"/>
        </w:rPr>
        <w:t>。主要原因</w:t>
      </w:r>
      <w:r>
        <w:rPr>
          <w:rFonts w:hint="eastAsia" w:ascii="Times New Roman" w:hAnsi="Times New Roman" w:eastAsia="方正仿宋_GBK"/>
          <w:color w:val="auto"/>
          <w:sz w:val="32"/>
          <w:szCs w:val="32"/>
          <w:shd w:val="clear" w:color="auto" w:fill="FFFFFF"/>
          <w:lang w:eastAsia="zh-CN"/>
        </w:rPr>
        <w:t>是2024年年中追加相</w:t>
      </w:r>
      <w:r>
        <w:rPr>
          <w:rFonts w:hint="eastAsia" w:ascii="方正仿宋_GBK" w:hAnsi="方正仿宋_GBK" w:eastAsia="方正仿宋_GBK" w:cs="方正仿宋_GBK"/>
          <w:color w:val="auto"/>
          <w:sz w:val="32"/>
          <w:szCs w:val="32"/>
          <w:shd w:val="clear" w:color="auto" w:fill="FFFFFF"/>
          <w:lang w:eastAsia="zh-CN"/>
        </w:rPr>
        <w:t>关工作经费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rPr>
      </w:pPr>
      <w:r>
        <w:rPr>
          <w:rStyle w:val="11"/>
          <w:rFonts w:hint="default"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与2023年度相比，增加11.26万元，增长6.7%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是2024年年中追加相关工作经费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较年初预算数增加68.95万元，增长62.4%</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olor w:val="auto"/>
          <w:sz w:val="32"/>
          <w:szCs w:val="32"/>
          <w:shd w:val="clear" w:color="auto" w:fill="FFFFFF"/>
        </w:rPr>
        <w:t>是</w:t>
      </w:r>
      <w:r>
        <w:rPr>
          <w:rFonts w:hint="eastAsia" w:ascii="Times New Roman" w:hAnsi="Times New Roman" w:eastAsia="方正仿宋_GBK"/>
          <w:color w:val="auto"/>
          <w:sz w:val="32"/>
          <w:szCs w:val="32"/>
          <w:shd w:val="clear" w:color="auto" w:fill="FFFFFF"/>
          <w:lang w:val="en-US" w:eastAsia="zh-CN"/>
        </w:rPr>
        <w:t>2024年年中追加相关工作经费</w:t>
      </w:r>
      <w:r>
        <w:rPr>
          <w:rFonts w:ascii="方正仿宋_GBK" w:hAnsi="方正仿宋_GBK" w:eastAsia="方正仿宋_GBK" w:cs="方正仿宋_GBK"/>
          <w:color w:val="auto"/>
          <w:sz w:val="32"/>
          <w:szCs w:val="32"/>
          <w:shd w:val="clear" w:color="auto" w:fill="FFFFFF"/>
        </w:rPr>
        <w:t>。此外，年初</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财政拨款结转和结余。</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与2023年度相比，增加11.26万元，增长6.7%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是2024年年中追加相关工作经费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较年初预算数增加68.95万元，增长62.4%</w:t>
      </w:r>
      <w:r>
        <w:rPr>
          <w:rFonts w:ascii="方正仿宋_GBK" w:hAnsi="方正仿宋_GBK" w:eastAsia="方正仿宋_GBK" w:cs="方正仿宋_GBK"/>
          <w:color w:val="auto"/>
          <w:sz w:val="32"/>
          <w:szCs w:val="32"/>
          <w:shd w:val="clear" w:color="auto" w:fill="FFFFFF"/>
        </w:rPr>
        <w:t>。主要原因</w:t>
      </w:r>
      <w:r>
        <w:rPr>
          <w:rFonts w:hint="eastAsia" w:ascii="Times New Roman" w:hAnsi="Times New Roman" w:eastAsia="方正仿宋_GBK"/>
          <w:color w:val="auto"/>
          <w:sz w:val="32"/>
          <w:szCs w:val="32"/>
          <w:shd w:val="clear" w:color="auto" w:fill="FFFFFF"/>
          <w:lang w:val="en-US" w:eastAsia="zh-CN"/>
        </w:rPr>
        <w:t>是2024年年中追加相关工作经费</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152.92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85.2%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较年初预算数增加63.54万元，增长71.1%</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val="en-US" w:eastAsia="zh-CN"/>
        </w:rPr>
        <w:t>2024年年中追加相关工作经费</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15.66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较年初预算数增加5.41万元，增长52.8%</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val="en-US" w:eastAsia="zh-CN"/>
        </w:rPr>
        <w:t>2024年年中追加相关工作经费</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5.82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本单位医疗保障</w:t>
      </w:r>
      <w:r>
        <w:rPr>
          <w:rFonts w:hint="eastAsia" w:ascii="Times New Roman" w:hAnsi="Times New Roman" w:eastAsia="方正仿宋_GBK" w:cs="Times New Roman"/>
          <w:color w:val="auto"/>
          <w:sz w:val="32"/>
          <w:szCs w:val="32"/>
          <w:shd w:val="clear" w:color="auto" w:fill="FFFFFF"/>
          <w:lang w:val="en-US" w:eastAsia="zh-CN"/>
        </w:rPr>
        <w:t>资金</w:t>
      </w:r>
      <w:r>
        <w:rPr>
          <w:rFonts w:hint="default" w:ascii="Times New Roman" w:hAnsi="Times New Roman" w:eastAsia="方正仿宋_GBK" w:cs="Times New Roman"/>
          <w:color w:val="auto"/>
          <w:sz w:val="32"/>
          <w:szCs w:val="32"/>
          <w:shd w:val="clear" w:color="auto" w:fill="FFFFFF"/>
          <w:lang w:val="en-US" w:eastAsia="zh-CN"/>
        </w:rPr>
        <w:t>按预算有效使用</w:t>
      </w:r>
      <w:r>
        <w:rPr>
          <w:rFonts w:ascii="方正仿宋_GBK" w:hAnsi="方正仿宋_GBK" w:eastAsia="方正仿宋_GBK" w:cs="方正仿宋_GBK"/>
          <w:color w:val="auto"/>
          <w:sz w:val="32"/>
          <w:szCs w:val="32"/>
          <w:shd w:val="clear" w:color="auto" w:fill="FFFFFF"/>
        </w:rPr>
        <w:t>。</w:t>
      </w:r>
    </w:p>
    <w:p>
      <w:pPr>
        <w:keepNext w:val="0"/>
        <w:keepLines w:val="0"/>
        <w:pageBreakBefore w:val="0"/>
        <w:kinsoku/>
        <w:overflowPunct/>
        <w:topLinePunct w:val="0"/>
        <w:autoSpaceDN/>
        <w:bidi w:val="0"/>
        <w:adjustRightInd/>
        <w:spacing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5.13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w:t>
      </w:r>
      <w:r>
        <w:rPr>
          <w:rFonts w:hint="eastAsia" w:ascii="Times New Roman" w:hAnsi="Times New Roman" w:eastAsia="方正仿宋_GBK" w:cs="Times New Roman"/>
          <w:color w:val="auto"/>
          <w:sz w:val="32"/>
          <w:szCs w:val="32"/>
          <w:shd w:val="clear" w:color="auto" w:fill="FFFFFF"/>
          <w:lang w:val="en-US" w:eastAsia="zh-CN"/>
        </w:rPr>
        <w:t>住房</w:t>
      </w:r>
      <w:r>
        <w:rPr>
          <w:rFonts w:hint="default" w:ascii="Times New Roman" w:hAnsi="Times New Roman" w:eastAsia="方正仿宋_GBK" w:cs="Times New Roman"/>
          <w:color w:val="auto"/>
          <w:sz w:val="32"/>
          <w:szCs w:val="32"/>
          <w:shd w:val="clear" w:color="auto" w:fill="FFFFFF"/>
          <w:lang w:val="en-US" w:eastAsia="zh-CN"/>
        </w:rPr>
        <w:t>保障</w:t>
      </w:r>
      <w:r>
        <w:rPr>
          <w:rFonts w:hint="eastAsia" w:ascii="Times New Roman" w:hAnsi="Times New Roman" w:eastAsia="方正仿宋_GBK" w:cs="Times New Roman"/>
          <w:color w:val="auto"/>
          <w:sz w:val="32"/>
          <w:szCs w:val="32"/>
          <w:shd w:val="clear" w:color="auto" w:fill="FFFFFF"/>
          <w:lang w:val="en-US" w:eastAsia="zh-CN"/>
        </w:rPr>
        <w:t>资金</w:t>
      </w:r>
      <w:r>
        <w:rPr>
          <w:rFonts w:hint="default" w:ascii="Times New Roman" w:hAnsi="Times New Roman" w:eastAsia="方正仿宋_GBK" w:cs="Times New Roman"/>
          <w:color w:val="auto"/>
          <w:sz w:val="32"/>
          <w:szCs w:val="32"/>
          <w:shd w:val="clear" w:color="auto" w:fill="FFFFFF"/>
          <w:lang w:val="en-US" w:eastAsia="zh-CN"/>
        </w:rPr>
        <w:t>按预算有效使用</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Style w:val="11"/>
          <w:rFonts w:hint="eastAsia" w:ascii="方正仿宋_GBK" w:hAnsi="方正仿宋_GBK" w:eastAsia="方正仿宋_GBK" w:cs="方正仿宋_GBK"/>
          <w:b w:val="0"/>
          <w:bCs/>
          <w:color w:val="auto"/>
          <w:sz w:val="32"/>
          <w:szCs w:val="32"/>
          <w:shd w:val="clear" w:color="auto" w:fill="FFFFFF"/>
          <w:lang w:val="en-US" w:eastAsia="zh-CN"/>
        </w:rPr>
        <w:t>本单位</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一般公共预算财政拨款结转和结余，</w:t>
      </w:r>
      <w:r>
        <w:rPr>
          <w:rFonts w:hint="default" w:ascii="Times New Roman" w:hAnsi="Times New Roman" w:eastAsia="方正仿宋_GBK"/>
          <w:color w:val="auto"/>
          <w:sz w:val="32"/>
          <w:szCs w:val="32"/>
          <w:shd w:val="clear" w:color="auto" w:fill="FFFFFF"/>
        </w:rPr>
        <w:t>与2023年度</w:t>
      </w:r>
      <w:r>
        <w:rPr>
          <w:rFonts w:hint="eastAsia" w:ascii="Times New Roman" w:hAnsi="Times New Roman" w:eastAsia="方正仿宋_GBK"/>
          <w:color w:val="auto"/>
          <w:sz w:val="32"/>
          <w:szCs w:val="32"/>
          <w:shd w:val="clear" w:color="auto" w:fill="FFFFFF"/>
          <w:lang w:val="en-US" w:eastAsia="zh-CN"/>
        </w:rPr>
        <w:t>一致</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179.53</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154.84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与2023年度相比，增加10.89万元，增长7.6%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按规定调整人员</w:t>
      </w:r>
      <w:r>
        <w:rPr>
          <w:rFonts w:hint="eastAsia" w:ascii="Times New Roman" w:hAnsi="Times New Roman" w:eastAsia="方正仿宋_GBK" w:cs="Times New Roman"/>
          <w:color w:val="auto"/>
          <w:sz w:val="32"/>
          <w:szCs w:val="32"/>
          <w:shd w:val="clear" w:color="auto" w:fill="FFFFFF"/>
          <w:lang w:val="en-US" w:eastAsia="zh-CN"/>
        </w:rPr>
        <w:t>薪资待遇</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工资、保险、公积金</w:t>
      </w:r>
      <w:r>
        <w:rPr>
          <w:rFonts w:hint="eastAsia" w:ascii="Times New Roman" w:hAnsi="Times New Roman" w:eastAsia="方正仿宋_GBK" w:cs="Times New Roman"/>
          <w:color w:val="auto"/>
          <w:sz w:val="32"/>
          <w:szCs w:val="32"/>
          <w:shd w:val="clear" w:color="auto" w:fill="FFFFFF"/>
          <w:lang w:val="en-US" w:eastAsia="zh-CN"/>
        </w:rPr>
        <w:t>、绩效考核</w:t>
      </w:r>
      <w:r>
        <w:rPr>
          <w:rFonts w:hint="default" w:ascii="Times New Roman" w:hAnsi="Times New Roman" w:eastAsia="方正仿宋_GBK" w:cs="Times New Roman"/>
          <w:color w:val="auto"/>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与2023年度相比，增加0.38万元，增长1.6%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本事业单位与机关本级合</w:t>
      </w:r>
      <w:r>
        <w:rPr>
          <w:rFonts w:hint="eastAsia" w:ascii="方正仿宋_GBK" w:hAnsi="方正仿宋_GBK" w:eastAsia="方正仿宋_GBK" w:cs="方正仿宋_GBK"/>
          <w:color w:val="auto"/>
          <w:sz w:val="32"/>
          <w:szCs w:val="32"/>
          <w:shd w:val="clear" w:color="auto" w:fill="FFFFFF"/>
          <w:lang w:val="en-US" w:eastAsia="zh-CN"/>
        </w:rPr>
        <w:t>并</w:t>
      </w:r>
      <w:r>
        <w:rPr>
          <w:rFonts w:hint="eastAsia" w:ascii="方正仿宋_GBK" w:hAnsi="方正仿宋_GBK" w:eastAsia="方正仿宋_GBK" w:cs="方正仿宋_GBK"/>
          <w:color w:val="auto"/>
          <w:sz w:val="32"/>
          <w:szCs w:val="32"/>
          <w:shd w:val="clear" w:color="auto" w:fill="FFFFFF"/>
        </w:rPr>
        <w:t>办公，办公经费统筹使用</w:t>
      </w:r>
      <w:r>
        <w:rPr>
          <w:rFonts w:ascii="方正仿宋_GBK" w:hAnsi="方正仿宋_GBK" w:eastAsia="方正仿宋_GBK" w:cs="方正仿宋_GBK"/>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val="en-US" w:eastAsia="zh-CN"/>
        </w:rPr>
        <w:t>办公费、水电费、邮电费、物业管理费、维修费等</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本单位2024年度无政府性基金预算财政拨款收支。</w:t>
      </w:r>
    </w:p>
    <w:p>
      <w:pPr>
        <w:pStyle w:val="14"/>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三、财政拨款“三公”经费情况说明</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14"/>
        <w:keepNext w:val="0"/>
        <w:keepLines w:val="0"/>
        <w:pageBreakBefore w:val="0"/>
        <w:kinsoku/>
        <w:overflowPunct/>
        <w:topLinePunct w:val="0"/>
        <w:autoSpaceDE w:val="0"/>
        <w:autoSpaceDN/>
        <w:bidi w:val="0"/>
        <w:adjustRightInd/>
        <w:spacing w:line="600" w:lineRule="exact"/>
        <w:ind w:firstLine="643"/>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pPr>
        <w:pStyle w:val="9"/>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与2023年度相比，减少0.3万元，下降100%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w:t>
      </w:r>
      <w:r>
        <w:rPr>
          <w:rFonts w:hint="eastAsia" w:ascii="Times New Roman" w:hAnsi="Times New Roman" w:eastAsia="方正仿宋_GBK"/>
          <w:color w:val="auto"/>
          <w:sz w:val="32"/>
          <w:szCs w:val="32"/>
          <w:shd w:val="clear" w:color="auto" w:fill="FFFFFF"/>
          <w:lang w:val="en-US" w:eastAsia="zh-CN"/>
        </w:rPr>
        <w:t>位2024年减少线下</w:t>
      </w:r>
      <w:r>
        <w:rPr>
          <w:rFonts w:hint="eastAsia" w:ascii="方正仿宋_GBK" w:hAnsi="方正仿宋_GBK" w:eastAsia="方正仿宋_GBK" w:cs="方正仿宋_GBK"/>
          <w:color w:val="auto"/>
          <w:sz w:val="32"/>
          <w:szCs w:val="32"/>
          <w:shd w:val="clear" w:color="auto" w:fill="FFFFFF"/>
          <w:lang w:val="en-US" w:eastAsia="zh-CN"/>
        </w:rPr>
        <w:t>培训相关费用支出。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14"/>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按照部门决算列报口径，</w:t>
      </w:r>
      <w:r>
        <w:rPr>
          <w:rFonts w:hint="eastAsia"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lang w:val="en-US" w:eastAsia="zh-CN"/>
        </w:rPr>
        <w:t>不在机关运行经费统计范围之内。</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kinsoku/>
        <w:overflowPunct/>
        <w:topLinePunct w:val="0"/>
        <w:autoSpaceDE w:val="0"/>
        <w:autoSpaceDN/>
        <w:bidi w:val="0"/>
        <w:adjustRightInd/>
        <w:spacing w:line="600"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15"/>
        <w:keepNext w:val="0"/>
        <w:keepLines w:val="0"/>
        <w:pageBreakBefore w:val="0"/>
        <w:kinsoku/>
        <w:overflowPunct/>
        <w:topLinePunct w:val="0"/>
        <w:autoSpaceDN/>
        <w:bidi w:val="0"/>
        <w:adjustRightInd/>
        <w:spacing w:before="0" w:beforeAutospacing="0" w:after="0" w:afterAutospacing="0" w:line="600" w:lineRule="exact"/>
        <w:ind w:left="638" w:leftChars="266" w:firstLine="0" w:firstLineChars="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w:t>
      </w:r>
      <w:r>
        <w:rPr>
          <w:rFonts w:hint="eastAsia"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lang w:val="en-US" w:eastAsia="zh-CN"/>
        </w:rPr>
        <w:t>未发生政府采购事项，无相关经费支出。</w:t>
      </w:r>
    </w:p>
    <w:p>
      <w:pPr>
        <w:pStyle w:val="15"/>
        <w:keepNext w:val="0"/>
        <w:keepLines w:val="0"/>
        <w:pageBreakBefore w:val="0"/>
        <w:kinsoku/>
        <w:overflowPunct/>
        <w:topLinePunct w:val="0"/>
        <w:autoSpaceDN/>
        <w:bidi w:val="0"/>
        <w:adjustRightInd/>
        <w:spacing w:before="0" w:beforeAutospacing="0" w:after="0" w:afterAutospacing="0" w:line="600" w:lineRule="exact"/>
        <w:ind w:left="638" w:leftChars="266" w:firstLine="0" w:firstLineChars="0"/>
        <w:rPr>
          <w:rFonts w:hint="default" w:ascii="Times New Roman" w:hAnsi="Times New Roman" w:eastAsia="方正仿宋_GBK" w:cs="Times New Roman"/>
          <w:color w:val="auto"/>
          <w:sz w:val="32"/>
          <w:szCs w:val="32"/>
          <w:shd w:val="clear" w:color="auto" w:fill="FFFFFF"/>
          <w:lang w:val="en-US" w:eastAsia="zh-CN"/>
        </w:rPr>
      </w:pPr>
    </w:p>
    <w:p>
      <w:pPr>
        <w:pStyle w:val="15"/>
        <w:keepNext w:val="0"/>
        <w:keepLines w:val="0"/>
        <w:pageBreakBefore w:val="0"/>
        <w:kinsoku/>
        <w:overflowPunct/>
        <w:topLinePunct w:val="0"/>
        <w:autoSpaceDN/>
        <w:bidi w:val="0"/>
        <w:adjustRightInd/>
        <w:spacing w:before="0" w:beforeAutospacing="0" w:after="0" w:afterAutospacing="0" w:line="600" w:lineRule="exact"/>
        <w:ind w:left="638" w:leftChars="266" w:firstLine="0" w:firstLineChars="0"/>
        <w:rPr>
          <w:rFonts w:hint="default" w:ascii="Times New Roman" w:hAnsi="Times New Roman" w:eastAsia="方正仿宋_GBK" w:cs="Times New Roman"/>
          <w:color w:val="auto"/>
          <w:sz w:val="32"/>
          <w:szCs w:val="32"/>
          <w:shd w:val="clear" w:color="auto" w:fill="FFFFFF"/>
          <w:lang w:val="en-US" w:eastAsia="zh-CN"/>
        </w:rPr>
      </w:pPr>
    </w:p>
    <w:p>
      <w:pPr>
        <w:pStyle w:val="15"/>
        <w:keepNext w:val="0"/>
        <w:keepLines w:val="0"/>
        <w:pageBreakBefore w:val="0"/>
        <w:kinsoku/>
        <w:overflowPunct/>
        <w:topLinePunct w:val="0"/>
        <w:autoSpaceDN/>
        <w:bidi w:val="0"/>
        <w:adjustRightInd/>
        <w:spacing w:before="0" w:beforeAutospacing="0" w:after="0" w:afterAutospacing="0" w:line="600" w:lineRule="exact"/>
        <w:ind w:left="638" w:leftChars="266" w:firstLine="0" w:firstLineChars="0"/>
        <w:rPr>
          <w:rFonts w:hint="default" w:ascii="Times New Roman" w:hAnsi="Times New Roman" w:eastAsia="方正仿宋_GBK" w:cs="Times New Roman"/>
          <w:color w:val="auto"/>
          <w:sz w:val="32"/>
          <w:szCs w:val="32"/>
          <w:shd w:val="clear" w:color="auto" w:fill="FFFFFF"/>
          <w:lang w:val="en-US" w:eastAsia="zh-CN"/>
        </w:rPr>
      </w:pPr>
    </w:p>
    <w:p>
      <w:pPr>
        <w:pStyle w:val="15"/>
        <w:keepNext w:val="0"/>
        <w:keepLines w:val="0"/>
        <w:pageBreakBefore w:val="0"/>
        <w:kinsoku/>
        <w:overflowPunct/>
        <w:topLinePunct w:val="0"/>
        <w:autoSpaceDN/>
        <w:bidi w:val="0"/>
        <w:adjustRightInd/>
        <w:spacing w:before="0" w:beforeAutospacing="0" w:after="0" w:afterAutospacing="0" w:line="600" w:lineRule="exact"/>
        <w:rPr>
          <w:rFonts w:hint="default" w:ascii="Times New Roman" w:hAnsi="Times New Roman" w:eastAsia="方正仿宋_GBK" w:cs="Times New Roman"/>
          <w:color w:val="auto"/>
          <w:sz w:val="32"/>
          <w:szCs w:val="32"/>
          <w:shd w:val="clear" w:color="auto" w:fill="FFFFFF"/>
          <w:lang w:val="en-US" w:eastAsia="zh-CN"/>
        </w:rPr>
      </w:pPr>
      <w:bookmarkStart w:id="1" w:name="_GoBack"/>
      <w:bookmarkEnd w:id="1"/>
    </w:p>
    <w:p>
      <w:pPr>
        <w:pStyle w:val="15"/>
        <w:keepNext w:val="0"/>
        <w:keepLines w:val="0"/>
        <w:pageBreakBefore w:val="0"/>
        <w:kinsoku/>
        <w:overflowPunct/>
        <w:topLinePunct w:val="0"/>
        <w:autoSpaceDN/>
        <w:bidi w:val="0"/>
        <w:adjustRightInd/>
        <w:spacing w:before="0" w:beforeAutospacing="0" w:after="0" w:afterAutospacing="0" w:line="600" w:lineRule="exact"/>
        <w:ind w:left="638" w:leftChars="266" w:firstLine="0" w:firstLineChars="0"/>
        <w:rPr>
          <w:rStyle w:val="11"/>
          <w:rFonts w:hint="default" w:ascii="Times New Roman" w:hAnsi="Times New Roman" w:eastAsia="黑体" w:cs="Times New Roman"/>
          <w:color w:val="auto"/>
          <w:sz w:val="32"/>
          <w:szCs w:val="32"/>
          <w:shd w:val="clear" w:color="auto" w:fill="FFFFFF"/>
        </w:rPr>
      </w:pPr>
      <w:r>
        <w:rPr>
          <w:rStyle w:val="11"/>
          <w:rFonts w:hint="default" w:ascii="Times New Roman" w:hAnsi="Times New Roman" w:eastAsia="黑体" w:cs="Times New Roman"/>
          <w:color w:val="auto"/>
          <w:sz w:val="32"/>
          <w:szCs w:val="32"/>
          <w:shd w:val="clear" w:color="auto" w:fill="FFFFFF"/>
        </w:rPr>
        <w:t>五、2024年度预算绩效管理情况说明</w:t>
      </w:r>
    </w:p>
    <w:p>
      <w:pPr>
        <w:pStyle w:val="15"/>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（一）单位自评情况</w:t>
      </w:r>
    </w:p>
    <w:p>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left="0"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bookmarkStart w:id="0" w:name="_Hlk177999677"/>
      <w:r>
        <w:rPr>
          <w:rFonts w:hint="default" w:ascii="Times New Roman" w:hAnsi="Times New Roman" w:eastAsia="方正仿宋_GBK" w:cs="Times New Roman"/>
          <w:color w:val="auto"/>
          <w:sz w:val="32"/>
          <w:szCs w:val="32"/>
          <w:shd w:val="clear" w:color="auto" w:fill="FFFFFF"/>
        </w:rPr>
        <w:t>本单位无项目支出，不涉及项目绩效自评</w:t>
      </w:r>
      <w:bookmarkEnd w:id="0"/>
      <w:r>
        <w:rPr>
          <w:rFonts w:hint="default" w:ascii="Times New Roman" w:hAnsi="Times New Roman" w:eastAsia="方正仿宋_GBK" w:cs="Times New Roman"/>
          <w:color w:val="auto"/>
          <w:sz w:val="32"/>
          <w:szCs w:val="32"/>
          <w:shd w:val="clear" w:color="auto" w:fill="FFFFFF"/>
        </w:rPr>
        <w:t>。</w:t>
      </w:r>
    </w:p>
    <w:p>
      <w:pPr>
        <w:pStyle w:val="15"/>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（二）单位绩效评价情况</w:t>
      </w:r>
    </w:p>
    <w:p>
      <w:pPr>
        <w:pStyle w:val="19"/>
        <w:keepNext w:val="0"/>
        <w:keepLines w:val="0"/>
        <w:pageBreakBefore w:val="0"/>
        <w:widowControl w:val="0"/>
        <w:tabs>
          <w:tab w:val="center" w:pos="4153"/>
          <w:tab w:val="left" w:pos="7275"/>
        </w:tabs>
        <w:kinsoku/>
        <w:overflowPunct/>
        <w:topLinePunct w:val="0"/>
        <w:autoSpaceDN/>
        <w:bidi w:val="0"/>
        <w:adjustRightInd/>
        <w:spacing w:line="600" w:lineRule="exact"/>
        <w:ind w:firstLine="640"/>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eastAsia="zh-CN"/>
        </w:rPr>
        <w:t>本单位</w:t>
      </w:r>
      <w:r>
        <w:rPr>
          <w:rFonts w:hint="default" w:ascii="Times New Roman" w:hAnsi="Times New Roman" w:eastAsia="方正仿宋_GBK" w:cs="Times New Roman"/>
          <w:bCs/>
          <w:color w:val="auto"/>
          <w:sz w:val="32"/>
          <w:szCs w:val="32"/>
        </w:rPr>
        <w:t>未组织开展绩效评价。</w:t>
      </w:r>
    </w:p>
    <w:p>
      <w:pPr>
        <w:pStyle w:val="19"/>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lang w:bidi="ar"/>
        </w:rPr>
        <w:t>（三）财政绩效评价情况</w:t>
      </w:r>
    </w:p>
    <w:p>
      <w:pPr>
        <w:pStyle w:val="19"/>
        <w:keepNext w:val="0"/>
        <w:keepLines w:val="0"/>
        <w:pageBreakBefore w:val="0"/>
        <w:widowControl w:val="0"/>
        <w:tabs>
          <w:tab w:val="center" w:pos="4153"/>
          <w:tab w:val="left" w:pos="7275"/>
        </w:tabs>
        <w:kinsoku/>
        <w:overflowPunct/>
        <w:topLinePunct w:val="0"/>
        <w:autoSpaceDN/>
        <w:bidi w:val="0"/>
        <w:adjustRightInd/>
        <w:spacing w:line="600" w:lineRule="exact"/>
        <w:ind w:firstLine="640"/>
        <w:rPr>
          <w:rFonts w:hint="eastAsia"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区财政局未委托第三方对</w:t>
      </w:r>
      <w:r>
        <w:rPr>
          <w:rFonts w:hint="eastAsia" w:ascii="Times New Roman" w:hAnsi="Times New Roman" w:eastAsia="方正仿宋_GBK" w:cs="Times New Roman"/>
          <w:bCs/>
          <w:color w:val="auto"/>
          <w:sz w:val="32"/>
          <w:szCs w:val="32"/>
          <w:lang w:eastAsia="zh-CN"/>
        </w:rPr>
        <w:t>本单位</w:t>
      </w:r>
      <w:r>
        <w:rPr>
          <w:rFonts w:hint="default" w:ascii="Times New Roman" w:hAnsi="Times New Roman" w:eastAsia="方正仿宋_GBK" w:cs="Times New Roman"/>
          <w:bCs/>
          <w:color w:val="auto"/>
          <w:sz w:val="32"/>
          <w:szCs w:val="32"/>
        </w:rPr>
        <w:t>开展绩效评价。</w:t>
      </w:r>
    </w:p>
    <w:p>
      <w:pPr>
        <w:pStyle w:val="15"/>
        <w:keepNext w:val="0"/>
        <w:keepLines w:val="0"/>
        <w:pageBreakBefore w:val="0"/>
        <w:kinsoku/>
        <w:overflowPunct/>
        <w:topLinePunct w:val="0"/>
        <w:autoSpaceDE w:val="0"/>
        <w:autoSpaceDN/>
        <w:bidi w:val="0"/>
        <w:adjustRightInd/>
        <w:spacing w:before="0" w:beforeAutospacing="0" w:after="0" w:afterAutospacing="0" w:line="600"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1"/>
          <w:rFonts w:hint="eastAsia" w:ascii="黑体" w:hAnsi="黑体" w:eastAsia="黑体" w:cs="黑体"/>
          <w:color w:val="auto"/>
          <w:sz w:val="32"/>
          <w:szCs w:val="32"/>
          <w:shd w:val="clear" w:color="auto" w:fill="FFFFFF"/>
        </w:rPr>
        <w:t xml:space="preserve"> 六、专业名词解释</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color w:val="auto"/>
          <w:sz w:val="32"/>
          <w:szCs w:val="32"/>
        </w:rPr>
      </w:pPr>
      <w:r>
        <w:rPr>
          <w:rStyle w:val="11"/>
          <w:rFonts w:hint="default" w:ascii="Times New Roman" w:hAnsi="Times New Roman" w:eastAsia="黑体" w:cs="Times New Roman"/>
          <w:color w:val="auto"/>
          <w:sz w:val="32"/>
          <w:szCs w:val="32"/>
          <w:shd w:val="clear" w:color="auto" w:fill="FFFFFF"/>
        </w:rPr>
        <w:t>七、决算公开联系方式及信息反馈渠道</w:t>
      </w:r>
    </w:p>
    <w:p>
      <w:pPr>
        <w:pStyle w:val="15"/>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本单位决算公开信息反馈和联系方式：</w:t>
      </w:r>
    </w:p>
    <w:p>
      <w:pPr>
        <w:pStyle w:val="14"/>
        <w:keepNext w:val="0"/>
        <w:keepLines w:val="0"/>
        <w:pageBreakBefore w:val="0"/>
        <w:kinsoku/>
        <w:overflowPunct/>
        <w:topLinePunct w:val="0"/>
        <w:autoSpaceDE w:val="0"/>
        <w:autoSpaceDN/>
        <w:bidi w:val="0"/>
        <w:adjustRightInd/>
        <w:spacing w:line="600" w:lineRule="exact"/>
        <w:ind w:firstLine="643"/>
        <w:jc w:val="both"/>
        <w:rPr>
          <w:rStyle w:val="11"/>
          <w:rFonts w:hint="eastAsia" w:ascii="方正仿宋_GBK" w:hAnsi="方正仿宋_GBK" w:eastAsia="方正仿宋_GBK" w:cs="方正仿宋_GBK"/>
          <w:color w:val="auto"/>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eastAsia" w:ascii="Times New Roman" w:hAnsi="Times New Roman" w:eastAsia="方正仿宋_GBK" w:cs="Times New Roman"/>
          <w:color w:val="auto"/>
          <w:sz w:val="32"/>
          <w:szCs w:val="32"/>
          <w:shd w:val="clear" w:color="auto" w:fill="FFFFFF"/>
          <w:lang w:val="en-US" w:eastAsia="zh-CN"/>
        </w:rPr>
        <w:t>石文静</w:t>
      </w:r>
      <w:r>
        <w:rPr>
          <w:rFonts w:hint="default" w:ascii="Times New Roman" w:hAnsi="Times New Roman" w:eastAsia="方正仿宋_GBK" w:cs="Times New Roman"/>
          <w:color w:val="auto"/>
          <w:sz w:val="32"/>
          <w:szCs w:val="32"/>
          <w:shd w:val="clear" w:color="auto" w:fill="FFFFFF"/>
        </w:rPr>
        <w:t xml:space="preserve">   023-</w:t>
      </w:r>
      <w:r>
        <w:rPr>
          <w:rFonts w:hint="eastAsia" w:ascii="Times New Roman" w:hAnsi="Times New Roman" w:eastAsia="方正仿宋_GBK" w:cs="Times New Roman"/>
          <w:color w:val="auto"/>
          <w:sz w:val="32"/>
          <w:szCs w:val="32"/>
          <w:shd w:val="clear" w:color="auto" w:fill="FFFFFF"/>
          <w:lang w:val="en-US" w:eastAsia="zh-CN"/>
        </w:rPr>
        <w:t>61691710</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2"/>
                <w:szCs w:val="22"/>
              </w:rPr>
            </w:pPr>
            <w:r>
              <w:rPr>
                <w:rFonts w:cs="宋体"/>
                <w:sz w:val="20"/>
                <w:szCs w:val="20"/>
              </w:rPr>
              <w:t>单位：</w:t>
            </w:r>
            <w:r>
              <w:rPr>
                <w:sz w:val="20"/>
                <w:u w:color="auto"/>
              </w:rPr>
              <w:t>重庆市沙坪坝区虎溪街道综合行政执法大队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179.53</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1"/>
          <w:szCs w:val="21"/>
        </w:rPr>
      </w:pPr>
    </w:p>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单位：</w:t>
            </w:r>
            <w:r>
              <w:rPr>
                <w:sz w:val="20"/>
                <w:u w:color="auto"/>
              </w:rPr>
              <w:t>重庆市沙坪坝区虎溪街道综合行政执法大队</w:t>
            </w:r>
          </w:p>
        </w:tc>
        <w:tc>
          <w:tcPr>
            <w:tcW w:w="14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179.53</w:t>
            </w:r>
            <w:r>
              <w:rPr>
                <w:rFonts w:ascii="Times New Roman" w:hAnsi="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179.53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2010350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重庆市沙坪坝区虎溪街道综合行政执法大队 </w:t>
            </w:r>
          </w:p>
        </w:tc>
        <w:tc>
          <w:tcPr>
            <w:tcW w:w="17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179.53</w:t>
            </w:r>
            <w:r>
              <w:rPr>
                <w:rFonts w:ascii="Times New Roman" w:hAnsi="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179.53</w:t>
            </w:r>
            <w:r>
              <w:rPr>
                <w:rFonts w:ascii="Times New Roman" w:hAnsi="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2010350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1"/>
          <w:szCs w:val="21"/>
        </w:rPr>
      </w:pPr>
      <w:r>
        <w:rPr>
          <w:rFonts w:cs="宋体"/>
          <w:sz w:val="21"/>
          <w:szCs w:val="21"/>
        </w:rPr>
        <w:br w:type="page"/>
      </w:r>
    </w:p>
    <w:p>
      <w:pPr>
        <w:keepNext w:val="0"/>
        <w:keepLines w:val="0"/>
        <w:pageBreakBefore w:val="0"/>
        <w:kinsoku/>
        <w:overflowPunct/>
        <w:topLinePunct w:val="0"/>
        <w:autoSpaceDN/>
        <w:bidi w:val="0"/>
        <w:adjustRightInd/>
        <w:spacing w:line="600" w:lineRule="exact"/>
        <w:rPr>
          <w:rFonts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重庆市沙坪坝区虎溪街道综合行政执法大队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179.53</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152.92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152.92</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ind w:firstLine="630" w:firstLineChars="300"/>
        <w:rPr>
          <w:rFonts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重庆市沙坪坝区虎溪街道综合行政执法大队</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154.84</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24.70</w:t>
            </w: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line="60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kinsoku/>
        <w:overflowPunct/>
        <w:topLinePunct w:val="0"/>
        <w:autoSpaceDN/>
        <w:bidi w:val="0"/>
        <w:adjustRightInd/>
        <w:spacing w:line="600" w:lineRule="exact"/>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line="600" w:lineRule="exact"/>
        <w:rPr>
          <w:rFonts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rPr>
                <w:rFonts w:cs="宋体"/>
                <w:color w:val="000000"/>
                <w:kern w:val="2"/>
                <w:sz w:val="20"/>
                <w:szCs w:val="20"/>
              </w:rPr>
            </w:pPr>
          </w:p>
        </w:tc>
        <w:tc>
          <w:tcPr>
            <w:tcW w:w="2374"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20"/>
                <w:szCs w:val="20"/>
              </w:rPr>
            </w:pPr>
          </w:p>
        </w:tc>
        <w:tc>
          <w:tcPr>
            <w:tcW w:w="3671"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p>
        </w:tc>
        <w:tc>
          <w:tcPr>
            <w:tcW w:w="2493"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重庆市沙坪坝区虎溪街道综合行政执法大队</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cs="宋体"/>
                <w:color w:val="000000"/>
                <w:sz w:val="16"/>
                <w:szCs w:val="16"/>
              </w:rPr>
            </w:pPr>
          </w:p>
        </w:tc>
      </w:tr>
    </w:tbl>
    <w:p>
      <w:pPr>
        <w:keepNext w:val="0"/>
        <w:keepLines w:val="0"/>
        <w:pageBreakBefore w:val="0"/>
        <w:kinsoku/>
        <w:overflowPunct/>
        <w:topLinePunct w:val="0"/>
        <w:autoSpaceDN/>
        <w:bidi w:val="0"/>
        <w:adjustRightInd/>
        <w:spacing w:line="600" w:lineRule="exact"/>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B1EDB"/>
    <w:rsid w:val="00EE1E33"/>
    <w:rsid w:val="00F73F90"/>
    <w:rsid w:val="00FB4B3B"/>
    <w:rsid w:val="011C7CC6"/>
    <w:rsid w:val="01474EBF"/>
    <w:rsid w:val="01F3521E"/>
    <w:rsid w:val="03B87EA0"/>
    <w:rsid w:val="03E3214F"/>
    <w:rsid w:val="044C50BA"/>
    <w:rsid w:val="0532605E"/>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9A37BE"/>
    <w:rsid w:val="0BF2311A"/>
    <w:rsid w:val="0C7927C4"/>
    <w:rsid w:val="0C9B098C"/>
    <w:rsid w:val="0CEC13FD"/>
    <w:rsid w:val="0D673E11"/>
    <w:rsid w:val="0DDA54E4"/>
    <w:rsid w:val="0E3A5F83"/>
    <w:rsid w:val="0E9438E5"/>
    <w:rsid w:val="0F836721"/>
    <w:rsid w:val="0FA25D96"/>
    <w:rsid w:val="107B59E5"/>
    <w:rsid w:val="10EC0126"/>
    <w:rsid w:val="10F70B9A"/>
    <w:rsid w:val="111445C7"/>
    <w:rsid w:val="114278C6"/>
    <w:rsid w:val="1158083A"/>
    <w:rsid w:val="11643A4B"/>
    <w:rsid w:val="11ED0F98"/>
    <w:rsid w:val="11F03528"/>
    <w:rsid w:val="125846A0"/>
    <w:rsid w:val="12C921C4"/>
    <w:rsid w:val="13871C70"/>
    <w:rsid w:val="13A71CB4"/>
    <w:rsid w:val="13AF1D43"/>
    <w:rsid w:val="13CE1647"/>
    <w:rsid w:val="13FD55AB"/>
    <w:rsid w:val="14200702"/>
    <w:rsid w:val="1429086F"/>
    <w:rsid w:val="14370EA1"/>
    <w:rsid w:val="1561300A"/>
    <w:rsid w:val="159266A5"/>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BD1EB3"/>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822FEC"/>
    <w:rsid w:val="2BF81A22"/>
    <w:rsid w:val="2C636760"/>
    <w:rsid w:val="2C6762A3"/>
    <w:rsid w:val="2DBD5517"/>
    <w:rsid w:val="2DCB6905"/>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B5594A"/>
    <w:rsid w:val="3C566AD6"/>
    <w:rsid w:val="3C594871"/>
    <w:rsid w:val="3C6A5B02"/>
    <w:rsid w:val="3D083B3A"/>
    <w:rsid w:val="3D2757A1"/>
    <w:rsid w:val="3D3D4FC4"/>
    <w:rsid w:val="3DDF3AB1"/>
    <w:rsid w:val="3E1D0952"/>
    <w:rsid w:val="3E42660A"/>
    <w:rsid w:val="3E7555B1"/>
    <w:rsid w:val="3E787ED9"/>
    <w:rsid w:val="3F032E93"/>
    <w:rsid w:val="3F0527E5"/>
    <w:rsid w:val="3F1F45BB"/>
    <w:rsid w:val="3F487B9C"/>
    <w:rsid w:val="3F4C52C6"/>
    <w:rsid w:val="3F694D83"/>
    <w:rsid w:val="3F885DCC"/>
    <w:rsid w:val="3FCD675E"/>
    <w:rsid w:val="4004000C"/>
    <w:rsid w:val="402262F3"/>
    <w:rsid w:val="40760DD1"/>
    <w:rsid w:val="40BD5482"/>
    <w:rsid w:val="411B6CE5"/>
    <w:rsid w:val="412070D7"/>
    <w:rsid w:val="41314E40"/>
    <w:rsid w:val="41E0734B"/>
    <w:rsid w:val="426C1EA8"/>
    <w:rsid w:val="42736402"/>
    <w:rsid w:val="42E86A87"/>
    <w:rsid w:val="43307B09"/>
    <w:rsid w:val="439A3EB9"/>
    <w:rsid w:val="43BA7BB2"/>
    <w:rsid w:val="43BB152F"/>
    <w:rsid w:val="44C37687"/>
    <w:rsid w:val="45623382"/>
    <w:rsid w:val="45CB699A"/>
    <w:rsid w:val="45CC59CF"/>
    <w:rsid w:val="46423C66"/>
    <w:rsid w:val="465B470D"/>
    <w:rsid w:val="467F34DB"/>
    <w:rsid w:val="469D6AD4"/>
    <w:rsid w:val="471E6C84"/>
    <w:rsid w:val="4748792B"/>
    <w:rsid w:val="475D719D"/>
    <w:rsid w:val="476232CE"/>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565C2E"/>
    <w:rsid w:val="4DAC4ACA"/>
    <w:rsid w:val="4DBE01D2"/>
    <w:rsid w:val="4DCA48D1"/>
    <w:rsid w:val="4EB62E28"/>
    <w:rsid w:val="4EFD467F"/>
    <w:rsid w:val="4F0C6BA3"/>
    <w:rsid w:val="4F186D58"/>
    <w:rsid w:val="4F4C0F2D"/>
    <w:rsid w:val="4FFE7F08"/>
    <w:rsid w:val="504B6EAA"/>
    <w:rsid w:val="50F06B6E"/>
    <w:rsid w:val="51064DCD"/>
    <w:rsid w:val="51872803"/>
    <w:rsid w:val="51D21804"/>
    <w:rsid w:val="52234D33"/>
    <w:rsid w:val="522F6E0C"/>
    <w:rsid w:val="52463BA1"/>
    <w:rsid w:val="52F163D4"/>
    <w:rsid w:val="531A2DB4"/>
    <w:rsid w:val="53C0244D"/>
    <w:rsid w:val="53DD4D4E"/>
    <w:rsid w:val="53E578CE"/>
    <w:rsid w:val="541330F0"/>
    <w:rsid w:val="54272666"/>
    <w:rsid w:val="543B029D"/>
    <w:rsid w:val="54484952"/>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A46905"/>
    <w:rsid w:val="5AD134D8"/>
    <w:rsid w:val="5BF41F67"/>
    <w:rsid w:val="5C263CE4"/>
    <w:rsid w:val="5C5D2777"/>
    <w:rsid w:val="5CED61D0"/>
    <w:rsid w:val="5CF66BF3"/>
    <w:rsid w:val="5D290C69"/>
    <w:rsid w:val="5D81321F"/>
    <w:rsid w:val="5DA80C2C"/>
    <w:rsid w:val="5F2D4A41"/>
    <w:rsid w:val="60A27EAA"/>
    <w:rsid w:val="60C74F6C"/>
    <w:rsid w:val="61015958"/>
    <w:rsid w:val="61025A59"/>
    <w:rsid w:val="612D0E08"/>
    <w:rsid w:val="613D5BBC"/>
    <w:rsid w:val="61536C39"/>
    <w:rsid w:val="62944DD7"/>
    <w:rsid w:val="6319381F"/>
    <w:rsid w:val="63C25DC5"/>
    <w:rsid w:val="63C62057"/>
    <w:rsid w:val="64571EF5"/>
    <w:rsid w:val="64FB113D"/>
    <w:rsid w:val="650379ED"/>
    <w:rsid w:val="656152C6"/>
    <w:rsid w:val="6587477F"/>
    <w:rsid w:val="658C3A08"/>
    <w:rsid w:val="65C031CA"/>
    <w:rsid w:val="65CE6852"/>
    <w:rsid w:val="66267C04"/>
    <w:rsid w:val="663F505A"/>
    <w:rsid w:val="666C2D2F"/>
    <w:rsid w:val="66AF5D7C"/>
    <w:rsid w:val="66EE5541"/>
    <w:rsid w:val="67924660"/>
    <w:rsid w:val="67DF3BC2"/>
    <w:rsid w:val="67FB4517"/>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DFB0400"/>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A416AB"/>
    <w:rsid w:val="76BD23AB"/>
    <w:rsid w:val="772E1EBA"/>
    <w:rsid w:val="77F6687E"/>
    <w:rsid w:val="781926BC"/>
    <w:rsid w:val="796D60A4"/>
    <w:rsid w:val="79A031D5"/>
    <w:rsid w:val="79B47FDF"/>
    <w:rsid w:val="79E569A9"/>
    <w:rsid w:val="7A1525F7"/>
    <w:rsid w:val="7B420052"/>
    <w:rsid w:val="7BD06A28"/>
    <w:rsid w:val="7C37554B"/>
    <w:rsid w:val="7C3A7C0B"/>
    <w:rsid w:val="7C5248E4"/>
    <w:rsid w:val="7C566698"/>
    <w:rsid w:val="7C5866A3"/>
    <w:rsid w:val="7D7406BB"/>
    <w:rsid w:val="7DE94331"/>
    <w:rsid w:val="7F446A19"/>
    <w:rsid w:val="7F7452B9"/>
    <w:rsid w:val="7FC5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7095</Words>
  <Characters>8984</Characters>
  <Lines>192</Lines>
  <Paragraphs>54</Paragraphs>
  <TotalTime>0</TotalTime>
  <ScaleCrop>false</ScaleCrop>
  <LinksUpToDate>false</LinksUpToDate>
  <CharactersWithSpaces>9974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2025-10-22T08:27:49Z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CC9E504AF2DF46499278CD6DE21E6BBC</vt:lpwstr>
  </property>
  <property fmtid="{D5CDD505-2E9C-101B-9397-08002B2CF9AE}" pid="4" name="KSOTemplateDocerSaveRecord">
    <vt:lpwstr>eyJoZGlkIjoiNTZiMjEzNzI3ZjcxODNlMDA4YWEwNzgxMjgxMjViNGUiLCJ1c2VySWQiOiIyODExMTQ3MDkifQ==</vt:lpwstr>
  </property>
</Properties>
</file>