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重庆市沙坪坝区虎溪街道退役军人服务站</w:t>
      </w:r>
    </w:p>
    <w:p>
      <w:pPr>
        <w:pStyle w:val="9"/>
        <w:spacing w:before="0" w:beforeAutospacing="0" w:after="0" w:afterAutospacing="0" w:line="596" w:lineRule="exact"/>
        <w:jc w:val="center"/>
        <w:rPr>
          <w:rFonts w:ascii="方正小标宋_GBK" w:hAnsi="方正小标宋_GBK" w:eastAsia="方正小标宋_GBK" w:cs="方正小标宋_GBK"/>
          <w:color w:val="auto"/>
          <w:sz w:val="36"/>
          <w:szCs w:val="36"/>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9"/>
        <w:spacing w:before="0" w:beforeAutospacing="0" w:after="0" w:afterAutospacing="0" w:line="596" w:lineRule="exact"/>
        <w:jc w:val="center"/>
        <w:rPr>
          <w:rFonts w:ascii="方正小标宋_GBK" w:hAnsi="方正小标宋_GBK" w:eastAsia="方正小标宋_GBK" w:cs="方正小标宋_GBK"/>
          <w:color w:val="auto"/>
          <w:sz w:val="44"/>
          <w:szCs w:val="44"/>
          <w:shd w:val="clear" w:color="auto" w:fill="FFFFFF"/>
        </w:rPr>
      </w:pPr>
    </w:p>
    <w:p>
      <w:pPr>
        <w:pStyle w:val="9"/>
        <w:shd w:val="clear" w:color="auto" w:fill="FFFFFF"/>
        <w:spacing w:before="0" w:beforeAutospacing="0" w:after="0" w:afterAutospacing="0" w:line="596"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虎溪街道退役军人服务站主要</w:t>
      </w:r>
      <w:r>
        <w:rPr>
          <w:rFonts w:hint="default" w:ascii="Times New Roman" w:hAnsi="Times New Roman" w:eastAsia="方正仿宋_GBK" w:cs="Times New Roman"/>
          <w:color w:val="auto"/>
          <w:sz w:val="32"/>
          <w:szCs w:val="32"/>
          <w:lang w:val="en-US" w:eastAsia="zh-CN"/>
        </w:rPr>
        <w:t>承担退役军人关系转接、联络接待、困难帮扶、信息采集、情况反映、立功报喜、悬挂光荣牌和</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八一</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、春节等节日以及重大变故走访慰问等具体事务。搭建政策咨询、帮扶援助、沟通联系、学习交流等活动阵地。</w:t>
      </w:r>
    </w:p>
    <w:p>
      <w:pPr>
        <w:pStyle w:val="9"/>
        <w:shd w:val="clear" w:color="auto" w:fill="FFFFFF"/>
        <w:spacing w:before="0" w:beforeAutospacing="0" w:after="0" w:afterAutospacing="0" w:line="596" w:lineRule="exact"/>
        <w:ind w:firstLine="643" w:firstLineChars="200"/>
        <w:rPr>
          <w:rFonts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虎溪街道退役军人服务站</w:t>
      </w:r>
      <w:r>
        <w:rPr>
          <w:rFonts w:hint="eastAsia" w:ascii="Times New Roman" w:hAnsi="Times New Roman" w:eastAsia="仿宋_GB2312" w:cs="Times New Roman"/>
          <w:color w:val="auto"/>
          <w:sz w:val="32"/>
          <w:szCs w:val="32"/>
          <w:lang w:val="en-US" w:eastAsia="zh-CN"/>
        </w:rPr>
        <w:t>是虎溪街道下属事业单位之一</w:t>
      </w:r>
      <w:r>
        <w:rPr>
          <w:rFonts w:hint="default" w:ascii="Times New Roman" w:hAnsi="Times New Roman" w:eastAsia="方正仿宋_GBK" w:cs="Times New Roman"/>
          <w:color w:val="auto"/>
          <w:sz w:val="32"/>
          <w:szCs w:val="32"/>
          <w:lang w:val="en-US" w:eastAsia="zh-CN"/>
        </w:rPr>
        <w:t>，与虎溪街道办事处</w:t>
      </w:r>
      <w:r>
        <w:rPr>
          <w:rFonts w:hint="eastAsia" w:ascii="Times New Roman" w:hAnsi="Times New Roman" w:eastAsia="方正仿宋_GBK" w:cs="Times New Roman"/>
          <w:color w:val="auto"/>
          <w:sz w:val="32"/>
          <w:szCs w:val="32"/>
          <w:lang w:val="en-US" w:eastAsia="zh-CN"/>
        </w:rPr>
        <w:t>合并</w:t>
      </w:r>
      <w:r>
        <w:rPr>
          <w:rFonts w:hint="default" w:ascii="Times New Roman" w:hAnsi="Times New Roman" w:eastAsia="方正仿宋_GBK" w:cs="Times New Roman"/>
          <w:color w:val="auto"/>
          <w:sz w:val="32"/>
          <w:szCs w:val="32"/>
          <w:lang w:val="en-US" w:eastAsia="zh-CN"/>
        </w:rPr>
        <w:t>办公运行。</w:t>
      </w:r>
    </w:p>
    <w:p>
      <w:pPr>
        <w:pStyle w:val="9"/>
        <w:shd w:val="clear" w:color="auto" w:fill="FFFFFF"/>
        <w:spacing w:before="0" w:beforeAutospacing="0" w:after="0" w:afterAutospacing="0" w:line="596"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二、单位决算收支情况说明</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年度收、支总计均为</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lang w:val="en-US" w:eastAsia="zh-CN"/>
        </w:rPr>
        <w:t>本单位无</w:t>
      </w:r>
      <w:r>
        <w:rPr>
          <w:rFonts w:ascii="方正仿宋_GBK" w:hAnsi="方正仿宋_GBK" w:eastAsia="方正仿宋_GBK" w:cs="方正仿宋_GBK"/>
          <w:color w:val="auto"/>
          <w:sz w:val="32"/>
          <w:szCs w:val="32"/>
          <w:shd w:val="clear" w:color="auto" w:fill="FFFFFF"/>
        </w:rPr>
        <w:t>年初结转和结余。</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lang w:val="en-US" w:eastAsia="zh-CN"/>
        </w:rPr>
      </w:pPr>
      <w:r>
        <w:rPr>
          <w:rStyle w:val="11"/>
          <w:rFonts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结转和结余，</w:t>
      </w:r>
      <w:r>
        <w:rPr>
          <w:rFonts w:hint="default" w:ascii="Times New Roman" w:hAnsi="Times New Roman" w:eastAsia="方正仿宋_GBK"/>
          <w:color w:val="auto"/>
          <w:sz w:val="32"/>
          <w:szCs w:val="32"/>
          <w:shd w:val="clear" w:color="auto" w:fill="FFFFFF"/>
        </w:rPr>
        <w:t>与2023年</w:t>
      </w:r>
      <w:r>
        <w:rPr>
          <w:rFonts w:hint="eastAsia" w:ascii="Times New Roman" w:hAnsi="Times New Roman" w:eastAsia="方正仿宋_GBK"/>
          <w:color w:val="auto"/>
          <w:sz w:val="32"/>
          <w:szCs w:val="32"/>
          <w:shd w:val="clear" w:color="auto" w:fill="FFFFFF"/>
          <w:lang w:val="en-US" w:eastAsia="zh-CN"/>
        </w:rPr>
        <w:t>一致。</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年度相比，</w:t>
      </w:r>
      <w:r>
        <w:rPr>
          <w:rFonts w:hint="default" w:ascii="Times New Roman" w:hAnsi="Times New Roman" w:eastAsia="方正仿宋_GBK"/>
          <w:color w:val="auto"/>
          <w:sz w:val="32"/>
          <w:szCs w:val="32"/>
          <w:shd w:val="clear" w:color="auto" w:fill="FFFFFF"/>
        </w:rPr>
        <w:t>财政拨款收、支总计各减少44.27万元，下降38.8%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rPr>
      </w:pPr>
      <w:r>
        <w:rPr>
          <w:rStyle w:val="11"/>
          <w:rFonts w:hint="default" w:ascii="Times New Roman" w:hAnsi="Times New Roman" w:eastAsia="方正仿宋_GBK"/>
          <w:color w:val="auto"/>
          <w:sz w:val="32"/>
          <w:szCs w:val="32"/>
          <w:shd w:val="clear" w:color="auto" w:fill="FFFFFF"/>
        </w:rPr>
        <w:t>1</w:t>
      </w:r>
      <w:r>
        <w:rPr>
          <w:rStyle w:val="11"/>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olor w:val="auto"/>
          <w:sz w:val="32"/>
          <w:szCs w:val="32"/>
          <w:shd w:val="clear" w:color="auto" w:fill="FFFFFF"/>
        </w:rPr>
        <w:t>较年初预算数增加25.41万元，增长57.3%</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val="en-US" w:eastAsia="zh-CN"/>
        </w:rPr>
        <w:t>2024年年中追加相关工作经费</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此外，年初</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财政拨款结转和结余。</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hint="default" w:ascii="Times New Roman" w:hAnsi="Times New Roman" w:eastAsia="方正仿宋_GBK"/>
          <w:color w:val="auto"/>
          <w:sz w:val="32"/>
          <w:szCs w:val="32"/>
          <w:shd w:val="clear" w:color="auto" w:fill="FFFFFF"/>
        </w:rPr>
        <w:t>2</w:t>
      </w:r>
      <w:r>
        <w:rPr>
          <w:rStyle w:val="11"/>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与2023年度相比，减少44.27万元，下降38.8%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color w:val="auto"/>
          <w:sz w:val="32"/>
          <w:szCs w:val="32"/>
          <w:shd w:val="clear" w:color="auto" w:fill="FFFFFF"/>
        </w:rPr>
        <w:t>较年初预算数增加25.41万元，增长57.3%</w:t>
      </w:r>
      <w:r>
        <w:rPr>
          <w:rFonts w:ascii="方正仿宋_GBK" w:hAnsi="方正仿宋_GBK" w:eastAsia="方正仿宋_GBK" w:cs="方正仿宋_GBK"/>
          <w:color w:val="auto"/>
          <w:sz w:val="32"/>
          <w:szCs w:val="32"/>
          <w:shd w:val="clear" w:color="auto" w:fill="FFFFFF"/>
        </w:rPr>
        <w:t>。主要</w:t>
      </w:r>
      <w:r>
        <w:rPr>
          <w:rFonts w:hint="default" w:ascii="Times New Roman" w:hAnsi="Times New Roman" w:eastAsia="方正仿宋_GBK" w:cs="Times New Roman"/>
          <w:color w:val="auto"/>
          <w:sz w:val="32"/>
          <w:szCs w:val="32"/>
          <w:shd w:val="clear" w:color="auto" w:fill="FFFFFF"/>
          <w:lang w:val="en-US" w:eastAsia="zh-CN"/>
        </w:rPr>
        <w:t>原因是</w:t>
      </w:r>
      <w:r>
        <w:rPr>
          <w:rFonts w:hint="eastAsia" w:ascii="Times New Roman" w:hAnsi="Times New Roman" w:eastAsia="方正仿宋_GBK" w:cs="Times New Roman"/>
          <w:color w:val="auto"/>
          <w:sz w:val="32"/>
          <w:szCs w:val="32"/>
          <w:shd w:val="clear" w:color="auto" w:fill="FFFFFF"/>
          <w:lang w:val="en-US" w:eastAsia="zh-CN"/>
        </w:rPr>
        <w:t>2024年年中追加相关工作经费</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）社会保障和就业支出</w:t>
      </w:r>
      <w:r>
        <w:rPr>
          <w:rFonts w:hint="default" w:ascii="Times New Roman" w:hAnsi="Times New Roman" w:eastAsia="方正仿宋_GBK"/>
          <w:color w:val="auto"/>
          <w:sz w:val="32"/>
          <w:szCs w:val="32"/>
          <w:shd w:val="clear" w:color="auto" w:fill="FFFFFF"/>
        </w:rPr>
        <w:t>65.42</w:t>
      </w:r>
      <w:r>
        <w:rPr>
          <w:rFonts w:hint="eastAsia" w:ascii="Times New Roman" w:hAnsi="Times New Roman" w:eastAsia="方正仿宋_GBK" w:cs="Times New Roman"/>
          <w:color w:val="auto"/>
          <w:sz w:val="32"/>
          <w:szCs w:val="32"/>
          <w:shd w:val="clear" w:color="auto" w:fill="FFFFFF"/>
          <w:lang w:val="en-US" w:eastAsia="zh-CN"/>
        </w:rPr>
        <w:t>万元，占</w:t>
      </w:r>
      <w:r>
        <w:rPr>
          <w:rFonts w:hint="default" w:ascii="Times New Roman" w:hAnsi="Times New Roman" w:eastAsia="方正仿宋_GBK" w:cs="Times New Roman"/>
          <w:color w:val="auto"/>
          <w:sz w:val="32"/>
          <w:szCs w:val="32"/>
          <w:shd w:val="clear" w:color="auto" w:fill="FFFFFF"/>
          <w:lang w:val="en-US" w:eastAsia="zh-CN"/>
        </w:rPr>
        <w:t>93.7%</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较年初预算数增加25.43万元，增长63.6%</w:t>
      </w:r>
      <w:r>
        <w:rPr>
          <w:rFonts w:hint="eastAsia" w:ascii="Times New Roman" w:hAnsi="Times New Roman" w:eastAsia="方正仿宋_GBK" w:cs="Times New Roman"/>
          <w:color w:val="auto"/>
          <w:sz w:val="32"/>
          <w:szCs w:val="32"/>
          <w:shd w:val="clear" w:color="auto" w:fill="FFFFFF"/>
          <w:lang w:val="en-US" w:eastAsia="zh-CN"/>
        </w:rPr>
        <w:t>，主要原因是2024年年中追加相关工作经费</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2.32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较年初预算数减少0.01万元，下降0.4%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医疗保险缴费基数变化</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2.05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val="en-US" w:eastAsia="zh-CN" w:bidi="ar-SA"/>
        </w:rPr>
        <w:t>占</w:t>
      </w:r>
      <w:r>
        <w:rPr>
          <w:rFonts w:hint="eastAsia" w:ascii="Times New Roman" w:hAnsi="Times New Roman" w:eastAsia="方正仿宋_GBK" w:cs="Times New Roman"/>
          <w:color w:val="auto"/>
          <w:sz w:val="32"/>
          <w:szCs w:val="32"/>
          <w:shd w:val="clear" w:color="auto" w:fill="FFFFFF"/>
          <w:lang w:val="en-US" w:eastAsia="zh-CN" w:bidi="ar-SA"/>
        </w:rPr>
        <w:t>3</w:t>
      </w:r>
      <w:r>
        <w:rPr>
          <w:rFonts w:hint="default" w:ascii="Times New Roman" w:hAnsi="Times New Roman" w:eastAsia="方正仿宋_GBK" w:cs="Times New Roman"/>
          <w:color w:val="auto"/>
          <w:sz w:val="32"/>
          <w:szCs w:val="32"/>
          <w:shd w:val="clear" w:color="auto" w:fill="FFFFFF"/>
          <w:lang w:val="en-US" w:eastAsia="zh-CN" w:bidi="ar-SA"/>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较年初预算数减少0.01万元，下降0.5%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住房公积金缴费基数变化</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1"/>
          <w:rFonts w:hint="default" w:ascii="Times New Roman" w:hAnsi="Times New Roman" w:eastAsia="方正仿宋_GBK"/>
          <w:color w:val="auto"/>
          <w:sz w:val="32"/>
          <w:szCs w:val="32"/>
          <w:shd w:val="clear" w:color="auto" w:fill="FFFFFF"/>
        </w:rPr>
        <w:t>3</w:t>
      </w:r>
      <w:r>
        <w:rPr>
          <w:rStyle w:val="11"/>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一般公共预算财政拨款结转和结余，</w:t>
      </w:r>
      <w:r>
        <w:rPr>
          <w:rFonts w:hint="default" w:ascii="Times New Roman" w:hAnsi="Times New Roman" w:eastAsia="方正仿宋_GBK"/>
          <w:color w:val="auto"/>
          <w:sz w:val="32"/>
          <w:szCs w:val="32"/>
          <w:shd w:val="clear" w:color="auto" w:fill="FFFFFF"/>
        </w:rPr>
        <w:t>与2023年度</w:t>
      </w:r>
      <w:r>
        <w:rPr>
          <w:rFonts w:hint="eastAsia" w:ascii="Times New Roman" w:hAnsi="Times New Roman" w:eastAsia="方正仿宋_GBK"/>
          <w:color w:val="auto"/>
          <w:sz w:val="32"/>
          <w:szCs w:val="32"/>
          <w:shd w:val="clear" w:color="auto" w:fill="FFFFFF"/>
          <w:lang w:val="en-US" w:eastAsia="zh-CN"/>
        </w:rPr>
        <w:t>一致。</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69.79</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59.91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与2023年度相比，增加3.47万元，增长6.2%</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按规定调整人员</w:t>
      </w:r>
      <w:r>
        <w:rPr>
          <w:rFonts w:hint="eastAsia" w:ascii="Times New Roman" w:hAnsi="Times New Roman" w:eastAsia="方正仿宋_GBK" w:cs="Times New Roman"/>
          <w:color w:val="auto"/>
          <w:sz w:val="32"/>
          <w:szCs w:val="32"/>
          <w:shd w:val="clear" w:color="auto" w:fill="FFFFFF"/>
          <w:lang w:val="en-US" w:eastAsia="zh-CN"/>
        </w:rPr>
        <w:t>薪资待遇</w:t>
      </w:r>
      <w:r>
        <w:rPr>
          <w:rFonts w:ascii="方正仿宋_GBK" w:hAnsi="方正仿宋_GBK" w:eastAsia="方正仿宋_GBK" w:cs="方正仿宋_GBK"/>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工资、保险、公积金</w:t>
      </w:r>
      <w:r>
        <w:rPr>
          <w:rFonts w:hint="eastAsia" w:ascii="Times New Roman" w:hAnsi="Times New Roman" w:eastAsia="方正仿宋_GBK" w:cs="Times New Roman"/>
          <w:color w:val="auto"/>
          <w:sz w:val="32"/>
          <w:szCs w:val="32"/>
          <w:shd w:val="clear" w:color="auto" w:fill="FFFFFF"/>
          <w:lang w:val="en-US" w:eastAsia="zh-CN"/>
        </w:rPr>
        <w:t>、绩效考核</w:t>
      </w:r>
      <w:r>
        <w:rPr>
          <w:rFonts w:hint="default" w:ascii="Times New Roman" w:hAnsi="Times New Roman" w:eastAsia="方正仿宋_GBK" w:cs="Times New Roman"/>
          <w:color w:val="auto"/>
          <w:sz w:val="32"/>
          <w:szCs w:val="32"/>
          <w:shd w:val="clear" w:color="auto" w:fill="FFFFFF"/>
          <w:lang w:val="en-US" w:eastAsia="zh-CN"/>
        </w:rPr>
        <w:t>等</w:t>
      </w:r>
      <w:r>
        <w:rPr>
          <w:rFonts w:hint="eastAsia" w:ascii="Times New Roman" w:hAnsi="Times New Roman" w:eastAsia="方正仿宋_GBK" w:cs="Times New Roman"/>
          <w:color w:val="auto"/>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9.88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与2023年度相比，增加0.18万元，增长1.9%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本事业单位与机关本级合</w:t>
      </w:r>
      <w:r>
        <w:rPr>
          <w:rFonts w:hint="eastAsia" w:ascii="方正仿宋_GBK" w:hAnsi="方正仿宋_GBK" w:eastAsia="方正仿宋_GBK" w:cs="方正仿宋_GBK"/>
          <w:color w:val="auto"/>
          <w:sz w:val="32"/>
          <w:szCs w:val="32"/>
          <w:shd w:val="clear" w:color="auto" w:fill="FFFFFF"/>
          <w:lang w:val="en-US" w:eastAsia="zh-CN"/>
        </w:rPr>
        <w:t>并</w:t>
      </w:r>
      <w:r>
        <w:rPr>
          <w:rFonts w:hint="eastAsia" w:ascii="方正仿宋_GBK" w:hAnsi="方正仿宋_GBK" w:eastAsia="方正仿宋_GBK" w:cs="方正仿宋_GBK"/>
          <w:color w:val="auto"/>
          <w:sz w:val="32"/>
          <w:szCs w:val="32"/>
          <w:shd w:val="clear" w:color="auto" w:fill="FFFFFF"/>
        </w:rPr>
        <w:t>办公，办公经费统筹使用</w:t>
      </w:r>
      <w:r>
        <w:rPr>
          <w:rFonts w:ascii="方正仿宋_GBK" w:hAnsi="方正仿宋_GBK" w:eastAsia="方正仿宋_GBK" w:cs="方正仿宋_GBK"/>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val="en-US" w:eastAsia="zh-CN"/>
        </w:rPr>
        <w:t>办公费、水电费、邮电费、物业管理费、维修费等</w:t>
      </w:r>
      <w:r>
        <w:rPr>
          <w:rFonts w:ascii="方正仿宋_GBK" w:hAnsi="方正仿宋_GBK" w:eastAsia="方正仿宋_GBK" w:cs="方正仿宋_GBK"/>
          <w:color w:val="auto"/>
          <w:sz w:val="32"/>
          <w:szCs w:val="32"/>
          <w:shd w:val="clear" w:color="auto" w:fill="FFFFFF"/>
        </w:rPr>
        <w:t>。</w:t>
      </w:r>
    </w:p>
    <w:p>
      <w:pPr>
        <w:pStyle w:val="14"/>
        <w:autoSpaceDE w:val="0"/>
        <w:spacing w:line="596"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本单位2024年度无政府性基金预算财政拨款收支。</w:t>
      </w:r>
    </w:p>
    <w:p>
      <w:pPr>
        <w:pStyle w:val="14"/>
        <w:autoSpaceDE w:val="0"/>
        <w:spacing w:line="596" w:lineRule="exact"/>
        <w:ind w:firstLine="643"/>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本单位2024年度无国有资本经营预算财政拨款支出。</w:t>
      </w:r>
    </w:p>
    <w:p>
      <w:pPr>
        <w:pStyle w:val="9"/>
        <w:shd w:val="clear" w:color="auto" w:fill="FFFFFF"/>
        <w:spacing w:before="0" w:beforeAutospacing="0" w:after="0" w:afterAutospacing="0" w:line="596"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三、财政拨款“三公”经费情况说明</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lang w:eastAsia="zh-CN"/>
        </w:rPr>
        <w:t>。</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1"/>
          <w:rFonts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会议费支出，</w:t>
      </w:r>
      <w:r>
        <w:rPr>
          <w:rFonts w:hint="default" w:ascii="Times New Roman" w:hAnsi="Times New Roman" w:eastAsia="方正仿宋_GBK"/>
          <w:color w:val="auto"/>
          <w:sz w:val="32"/>
          <w:szCs w:val="32"/>
          <w:shd w:val="clear" w:color="auto" w:fill="FFFFFF"/>
        </w:rPr>
        <w:t>与2023年度</w:t>
      </w:r>
      <w:r>
        <w:rPr>
          <w:rFonts w:hint="eastAsia" w:ascii="Times New Roman" w:hAnsi="Times New Roman" w:eastAsia="方正仿宋_GBK"/>
          <w:color w:val="auto"/>
          <w:sz w:val="32"/>
          <w:szCs w:val="32"/>
          <w:shd w:val="clear" w:color="auto" w:fill="FFFFFF"/>
          <w:lang w:val="en-US" w:eastAsia="zh-CN"/>
        </w:rPr>
        <w:t>一致</w:t>
      </w:r>
      <w:r>
        <w:rPr>
          <w:rFonts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val="en-US" w:eastAsia="zh-CN"/>
        </w:rPr>
        <w:t>无</w:t>
      </w:r>
      <w:r>
        <w:rPr>
          <w:rFonts w:ascii="方正仿宋_GBK" w:hAnsi="方正仿宋_GBK" w:eastAsia="方正仿宋_GBK" w:cs="方正仿宋_GBK"/>
          <w:color w:val="auto"/>
          <w:sz w:val="32"/>
          <w:szCs w:val="32"/>
          <w:shd w:val="clear" w:color="auto" w:fill="FFFFFF"/>
        </w:rPr>
        <w:t>培训费支出，</w:t>
      </w:r>
      <w:r>
        <w:rPr>
          <w:rFonts w:hint="default" w:ascii="Times New Roman" w:hAnsi="Times New Roman" w:eastAsia="方正仿宋_GBK"/>
          <w:color w:val="auto"/>
          <w:sz w:val="32"/>
          <w:szCs w:val="32"/>
          <w:shd w:val="clear" w:color="auto" w:fill="FFFFFF"/>
        </w:rPr>
        <w:t>与2023年度相比，减少0.11万元，下降100%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本单</w:t>
      </w:r>
      <w:r>
        <w:rPr>
          <w:rFonts w:hint="eastAsia" w:ascii="Times New Roman" w:hAnsi="Times New Roman" w:eastAsia="方正仿宋_GBK"/>
          <w:color w:val="auto"/>
          <w:sz w:val="32"/>
          <w:szCs w:val="32"/>
          <w:shd w:val="clear" w:color="auto" w:fill="FFFFFF"/>
          <w:lang w:val="en-US" w:eastAsia="zh-CN"/>
        </w:rPr>
        <w:t>位2024年减少线下</w:t>
      </w:r>
      <w:r>
        <w:rPr>
          <w:rFonts w:hint="eastAsia" w:ascii="方正仿宋_GBK" w:hAnsi="方正仿宋_GBK" w:eastAsia="方正仿宋_GBK" w:cs="方正仿宋_GBK"/>
          <w:color w:val="auto"/>
          <w:sz w:val="32"/>
          <w:szCs w:val="32"/>
          <w:shd w:val="clear" w:color="auto" w:fill="FFFFFF"/>
          <w:lang w:val="en-US" w:eastAsia="zh-CN"/>
        </w:rPr>
        <w:t>培训相关费用支出。</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0.5</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与2023年度相比，增加0.5万元，增长100%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根据工作安排产生差旅费支出</w:t>
      </w:r>
      <w:r>
        <w:rPr>
          <w:rFonts w:ascii="方正仿宋_GBK" w:hAnsi="方正仿宋_GBK" w:eastAsia="方正仿宋_GBK" w:cs="方正仿宋_GBK"/>
          <w:color w:val="auto"/>
          <w:sz w:val="32"/>
          <w:szCs w:val="32"/>
          <w:shd w:val="clear" w:color="auto" w:fill="FFFFFF"/>
        </w:rPr>
        <w:t>。</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eastAsia="zh-CN"/>
        </w:rPr>
        <w:t>（</w:t>
      </w:r>
      <w:r>
        <w:rPr>
          <w:rFonts w:hint="eastAsia" w:ascii="楷体" w:hAnsi="楷体" w:eastAsia="楷体" w:cs="楷体"/>
          <w:b/>
          <w:bCs/>
          <w:color w:val="auto"/>
          <w:sz w:val="32"/>
          <w:szCs w:val="32"/>
          <w:shd w:val="clear" w:color="auto" w:fill="FFFFFF"/>
        </w:rPr>
        <w:t>二）机关运行经费情况说明</w:t>
      </w:r>
    </w:p>
    <w:p>
      <w:pPr>
        <w:pStyle w:val="14"/>
        <w:autoSpaceDE w:val="0"/>
        <w:spacing w:line="596" w:lineRule="exact"/>
        <w:ind w:firstLine="643"/>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按照部门决算列报口径，</w:t>
      </w:r>
      <w:r>
        <w:rPr>
          <w:rFonts w:hint="eastAsia"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lang w:val="en-US" w:eastAsia="zh-CN"/>
        </w:rPr>
        <w:t>不在机关运行经费统计范围之内。</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w:t>
      </w:r>
      <w:r>
        <w:rPr>
          <w:rFonts w:hint="eastAsia" w:ascii="Times New Roman" w:hAnsi="Times New Roman" w:eastAsia="方正仿宋_GBK" w:cs="Times New Roman"/>
          <w:color w:val="auto"/>
          <w:sz w:val="32"/>
          <w:szCs w:val="32"/>
          <w:shd w:val="clear" w:color="auto" w:fill="FFFFFF"/>
          <w:lang w:val="en-US" w:eastAsia="zh-CN"/>
        </w:rPr>
        <w:t>本单位</w:t>
      </w:r>
      <w:r>
        <w:rPr>
          <w:rFonts w:hint="default" w:ascii="Times New Roman" w:hAnsi="Times New Roman" w:eastAsia="方正仿宋_GBK" w:cs="Times New Roman"/>
          <w:color w:val="auto"/>
          <w:sz w:val="32"/>
          <w:szCs w:val="32"/>
          <w:shd w:val="clear" w:color="auto" w:fill="FFFFFF"/>
          <w:lang w:val="en-US" w:eastAsia="zh-CN"/>
        </w:rPr>
        <w:t>未发生政府采购事项，无相关经费支出。</w:t>
      </w:r>
    </w:p>
    <w:p>
      <w:pPr>
        <w:pStyle w:val="15"/>
        <w:spacing w:before="0" w:beforeAutospacing="0" w:after="0" w:afterAutospacing="0" w:line="596" w:lineRule="exact"/>
        <w:rPr>
          <w:rStyle w:val="11"/>
          <w:rFonts w:hint="default" w:ascii="Times New Roman" w:hAnsi="Times New Roman" w:eastAsia="黑体" w:cs="Times New Roman"/>
          <w:color w:val="auto"/>
          <w:sz w:val="32"/>
          <w:szCs w:val="32"/>
          <w:shd w:val="clear" w:color="auto" w:fill="FFFFFF"/>
        </w:rPr>
      </w:pPr>
      <w:bookmarkStart w:id="1" w:name="_GoBack"/>
      <w:bookmarkEnd w:id="1"/>
    </w:p>
    <w:p>
      <w:pPr>
        <w:pStyle w:val="15"/>
        <w:spacing w:before="0" w:beforeAutospacing="0" w:after="0" w:afterAutospacing="0" w:line="596" w:lineRule="exact"/>
        <w:ind w:left="638" w:leftChars="266" w:firstLine="0" w:firstLineChars="0"/>
        <w:rPr>
          <w:rStyle w:val="11"/>
          <w:rFonts w:hint="default" w:ascii="Times New Roman" w:hAnsi="Times New Roman" w:eastAsia="黑体" w:cs="Times New Roman"/>
          <w:color w:val="auto"/>
          <w:sz w:val="32"/>
          <w:szCs w:val="32"/>
          <w:shd w:val="clear" w:color="auto" w:fill="FFFFFF"/>
        </w:rPr>
      </w:pPr>
      <w:r>
        <w:rPr>
          <w:rStyle w:val="11"/>
          <w:rFonts w:hint="default" w:ascii="Times New Roman" w:hAnsi="Times New Roman" w:eastAsia="黑体" w:cs="Times New Roman"/>
          <w:color w:val="auto"/>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（一）单位自评情况</w:t>
      </w:r>
    </w:p>
    <w:p>
      <w:pPr>
        <w:pStyle w:val="17"/>
        <w:keepNext w:val="0"/>
        <w:keepLines w:val="0"/>
        <w:pageBreakBefore w:val="0"/>
        <w:widowControl/>
        <w:kinsoku/>
        <w:wordWrap/>
        <w:overflowPunct/>
        <w:topLinePunct w:val="0"/>
        <w:autoSpaceDE w:val="0"/>
        <w:autoSpaceDN/>
        <w:bidi w:val="0"/>
        <w:adjustRightInd/>
        <w:spacing w:beforeAutospacing="0" w:afterAutospacing="0" w:line="600" w:lineRule="exact"/>
        <w:ind w:left="0" w:firstLine="640" w:firstLineChars="200"/>
        <w:textAlignment w:val="auto"/>
        <w:outlineLvl w:val="9"/>
        <w:rPr>
          <w:rFonts w:hint="default" w:ascii="Times New Roman" w:hAnsi="Times New Roman" w:eastAsia="方正仿宋_GBK" w:cs="Times New Roman"/>
          <w:color w:val="auto"/>
          <w:sz w:val="32"/>
          <w:szCs w:val="32"/>
          <w:shd w:val="clear" w:color="auto" w:fill="FFFFFF"/>
        </w:rPr>
      </w:pPr>
      <w:bookmarkStart w:id="0" w:name="_Hlk177999677"/>
      <w:r>
        <w:rPr>
          <w:rFonts w:hint="default" w:ascii="Times New Roman" w:hAnsi="Times New Roman" w:eastAsia="方正仿宋_GBK" w:cs="Times New Roman"/>
          <w:color w:val="auto"/>
          <w:sz w:val="32"/>
          <w:szCs w:val="32"/>
          <w:shd w:val="clear" w:color="auto" w:fill="FFFFFF"/>
        </w:rPr>
        <w:t>本单位无项目支出，不涉及项目绩效自评</w:t>
      </w:r>
      <w:bookmarkEnd w:id="0"/>
      <w:r>
        <w:rPr>
          <w:rFonts w:hint="default" w:ascii="Times New Roman" w:hAnsi="Times New Roman" w:eastAsia="方正仿宋_GBK" w:cs="Times New Roman"/>
          <w:color w:val="auto"/>
          <w:sz w:val="32"/>
          <w:szCs w:val="32"/>
          <w:shd w:val="clear" w:color="auto" w:fill="FFFFFF"/>
        </w:rPr>
        <w:t>。</w:t>
      </w:r>
    </w:p>
    <w:p>
      <w:pPr>
        <w:pStyle w:val="15"/>
        <w:autoSpaceDE w:val="0"/>
        <w:spacing w:before="0" w:beforeAutospacing="0" w:after="0" w:afterAutospacing="0" w:line="596" w:lineRule="exact"/>
        <w:ind w:firstLine="643" w:firstLineChars="200"/>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（二）单位绩效评价情况</w:t>
      </w:r>
    </w:p>
    <w:p>
      <w:pPr>
        <w:pStyle w:val="19"/>
        <w:widowControl w:val="0"/>
        <w:tabs>
          <w:tab w:val="center" w:pos="4153"/>
          <w:tab w:val="left" w:pos="7275"/>
        </w:tabs>
        <w:spacing w:line="594" w:lineRule="exact"/>
        <w:ind w:firstLine="640"/>
        <w:rPr>
          <w:rFonts w:hint="eastAsia" w:ascii="Times New Roman" w:hAnsi="Times New Roman" w:eastAsia="方正仿宋_GBK" w:cs="Times New Roman"/>
          <w:bCs/>
          <w:color w:val="auto"/>
          <w:sz w:val="32"/>
          <w:szCs w:val="32"/>
          <w:lang w:eastAsia="zh-CN"/>
        </w:rPr>
      </w:pPr>
      <w:r>
        <w:rPr>
          <w:rFonts w:hint="eastAsia" w:ascii="Times New Roman" w:hAnsi="Times New Roman" w:eastAsia="方正仿宋_GBK" w:cs="Times New Roman"/>
          <w:bCs/>
          <w:color w:val="auto"/>
          <w:sz w:val="32"/>
          <w:szCs w:val="32"/>
          <w:lang w:eastAsia="zh-CN"/>
        </w:rPr>
        <w:t>本单位</w:t>
      </w:r>
      <w:r>
        <w:rPr>
          <w:rFonts w:hint="default" w:ascii="Times New Roman" w:hAnsi="Times New Roman" w:eastAsia="方正仿宋_GBK" w:cs="Times New Roman"/>
          <w:bCs/>
          <w:color w:val="auto"/>
          <w:sz w:val="32"/>
          <w:szCs w:val="32"/>
        </w:rPr>
        <w:t>未组织开展绩效评价。</w:t>
      </w:r>
    </w:p>
    <w:p>
      <w:pPr>
        <w:pStyle w:val="19"/>
        <w:autoSpaceDE w:val="0"/>
        <w:spacing w:line="596" w:lineRule="exact"/>
        <w:ind w:firstLine="643"/>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lang w:bidi="ar"/>
        </w:rPr>
        <w:t>（三）财政绩效评价情况</w:t>
      </w:r>
    </w:p>
    <w:p>
      <w:pPr>
        <w:pStyle w:val="19"/>
        <w:widowControl w:val="0"/>
        <w:tabs>
          <w:tab w:val="center" w:pos="4153"/>
          <w:tab w:val="left" w:pos="7275"/>
        </w:tabs>
        <w:spacing w:line="594" w:lineRule="exact"/>
        <w:ind w:firstLine="640"/>
        <w:rPr>
          <w:rFonts w:hint="eastAsia"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区财政局未委托第三方对</w:t>
      </w:r>
      <w:r>
        <w:rPr>
          <w:rFonts w:hint="eastAsia" w:ascii="Times New Roman" w:hAnsi="Times New Roman" w:eastAsia="方正仿宋_GBK" w:cs="Times New Roman"/>
          <w:bCs/>
          <w:color w:val="auto"/>
          <w:sz w:val="32"/>
          <w:szCs w:val="32"/>
          <w:lang w:eastAsia="zh-CN"/>
        </w:rPr>
        <w:t>本单位</w:t>
      </w:r>
      <w:r>
        <w:rPr>
          <w:rFonts w:hint="default" w:ascii="Times New Roman" w:hAnsi="Times New Roman" w:eastAsia="方正仿宋_GBK" w:cs="Times New Roman"/>
          <w:bCs/>
          <w:color w:val="auto"/>
          <w:sz w:val="32"/>
          <w:szCs w:val="32"/>
        </w:rPr>
        <w:t>开展绩效评价。</w:t>
      </w:r>
    </w:p>
    <w:p>
      <w:pPr>
        <w:pStyle w:val="15"/>
        <w:autoSpaceDE w:val="0"/>
        <w:spacing w:before="0" w:beforeAutospacing="0" w:after="0" w:afterAutospacing="0" w:line="596" w:lineRule="exact"/>
        <w:rPr>
          <w:rFonts w:hint="eastAsia" w:ascii="方正仿宋_GBK" w:hAnsi="方正仿宋_GBK" w:eastAsia="方正仿宋_GBK" w:cs="方正仿宋_GBK"/>
          <w:color w:val="auto"/>
          <w:sz w:val="32"/>
          <w:szCs w:val="32"/>
        </w:rPr>
      </w:pPr>
      <w:r>
        <w:rPr>
          <w:rStyle w:val="16"/>
          <w:rFonts w:hint="eastAsia" w:ascii="方正仿宋_GBK" w:hAnsi="方正仿宋_GBK" w:eastAsia="方正仿宋_GBK" w:cs="方正仿宋_GBK"/>
          <w:color w:val="auto"/>
          <w:sz w:val="32"/>
          <w:szCs w:val="32"/>
          <w:shd w:val="clear" w:color="auto" w:fill="FFFFFF"/>
        </w:rPr>
        <w:t xml:space="preserve">   </w:t>
      </w:r>
      <w:r>
        <w:rPr>
          <w:rStyle w:val="11"/>
          <w:rFonts w:hint="eastAsia" w:ascii="黑体" w:hAnsi="黑体" w:eastAsia="黑体" w:cs="黑体"/>
          <w:color w:val="auto"/>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（五）使用非财政拨款结余（含专用结余）：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color w:val="auto"/>
          <w:sz w:val="32"/>
          <w:szCs w:val="32"/>
        </w:rPr>
      </w:pPr>
      <w:r>
        <w:rPr>
          <w:rStyle w:val="11"/>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11"/>
          <w:rFonts w:hint="default" w:ascii="Times New Roman" w:hAnsi="Times New Roman" w:eastAsia="黑体" w:cs="Times New Roman"/>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4"/>
        <w:autoSpaceDE w:val="0"/>
        <w:spacing w:line="596" w:lineRule="exact"/>
        <w:ind w:firstLine="643"/>
        <w:jc w:val="both"/>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shd w:val="clear" w:color="auto" w:fill="FFFFFF"/>
          <w:lang w:val="en-US" w:eastAsia="zh-CN"/>
        </w:rPr>
        <w:t>石文静</w:t>
      </w:r>
      <w:r>
        <w:rPr>
          <w:rFonts w:hint="default" w:ascii="Times New Roman" w:hAnsi="Times New Roman" w:eastAsia="方正仿宋_GBK" w:cs="Times New Roman"/>
          <w:sz w:val="32"/>
          <w:szCs w:val="32"/>
          <w:shd w:val="clear" w:color="auto" w:fill="FFFFFF"/>
        </w:rPr>
        <w:t xml:space="preserve">   023-</w:t>
      </w:r>
      <w:r>
        <w:rPr>
          <w:rFonts w:hint="eastAsia" w:ascii="Times New Roman" w:hAnsi="Times New Roman" w:eastAsia="方正仿宋_GBK" w:cs="Times New Roman"/>
          <w:sz w:val="32"/>
          <w:szCs w:val="32"/>
          <w:shd w:val="clear" w:color="auto" w:fill="FFFFFF"/>
          <w:lang w:val="en-US" w:eastAsia="zh-CN"/>
        </w:rPr>
        <w:t>61691710</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重庆市沙坪坝区虎溪街道退役军人服务站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69.79</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sz w:val="20"/>
                <w:u w:color="auto"/>
              </w:rPr>
              <w:t>重庆市沙坪坝区虎溪街道退役军人服务站</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重庆市沙坪坝区虎溪街道退役军人服务站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重庆市沙坪坝区虎溪街道退役军人服务站</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69.79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3.95</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59.50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重庆市沙坪坝区虎溪街道退役军人服务站</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59.91</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重庆市沙坪坝区虎溪街道退役军人服务站</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sz w:val="16"/>
                <w:szCs w:val="16"/>
              </w:rPr>
            </w:pPr>
          </w:p>
        </w:tc>
      </w:tr>
    </w:tbl>
    <w:p>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AB256C"/>
    <w:rsid w:val="06F80EE2"/>
    <w:rsid w:val="07001CCA"/>
    <w:rsid w:val="075678DB"/>
    <w:rsid w:val="077B465F"/>
    <w:rsid w:val="079D7CC7"/>
    <w:rsid w:val="08051BCA"/>
    <w:rsid w:val="08062CED"/>
    <w:rsid w:val="086C12F4"/>
    <w:rsid w:val="08705944"/>
    <w:rsid w:val="08BA052C"/>
    <w:rsid w:val="08DB07BA"/>
    <w:rsid w:val="09055F84"/>
    <w:rsid w:val="0969353F"/>
    <w:rsid w:val="098305D0"/>
    <w:rsid w:val="09B1218B"/>
    <w:rsid w:val="0A3317EA"/>
    <w:rsid w:val="0A5C4B69"/>
    <w:rsid w:val="0A86124A"/>
    <w:rsid w:val="0A917CCA"/>
    <w:rsid w:val="0AB54CC0"/>
    <w:rsid w:val="0B9335CE"/>
    <w:rsid w:val="0BAD38B6"/>
    <w:rsid w:val="0BF2311A"/>
    <w:rsid w:val="0C7927C4"/>
    <w:rsid w:val="0C9B098C"/>
    <w:rsid w:val="0D673E11"/>
    <w:rsid w:val="0DDA54E4"/>
    <w:rsid w:val="0E3A5F83"/>
    <w:rsid w:val="0F836721"/>
    <w:rsid w:val="0FA25D96"/>
    <w:rsid w:val="107B59E5"/>
    <w:rsid w:val="10EC0126"/>
    <w:rsid w:val="10F70B9A"/>
    <w:rsid w:val="111445C7"/>
    <w:rsid w:val="114278C6"/>
    <w:rsid w:val="11477335"/>
    <w:rsid w:val="1158083A"/>
    <w:rsid w:val="11643A4B"/>
    <w:rsid w:val="11ED0F98"/>
    <w:rsid w:val="11F03528"/>
    <w:rsid w:val="12C42994"/>
    <w:rsid w:val="12C921C4"/>
    <w:rsid w:val="13871C70"/>
    <w:rsid w:val="13A71CB4"/>
    <w:rsid w:val="13AF1D43"/>
    <w:rsid w:val="13CE1647"/>
    <w:rsid w:val="13FD55AB"/>
    <w:rsid w:val="14200702"/>
    <w:rsid w:val="1429086F"/>
    <w:rsid w:val="14370EA1"/>
    <w:rsid w:val="15E16F83"/>
    <w:rsid w:val="163A6CEE"/>
    <w:rsid w:val="173708E3"/>
    <w:rsid w:val="17C374FC"/>
    <w:rsid w:val="182E4AB6"/>
    <w:rsid w:val="1881137E"/>
    <w:rsid w:val="189079DC"/>
    <w:rsid w:val="189B0D0B"/>
    <w:rsid w:val="18B43F7C"/>
    <w:rsid w:val="18D409BE"/>
    <w:rsid w:val="190B28D3"/>
    <w:rsid w:val="191C433B"/>
    <w:rsid w:val="194A1770"/>
    <w:rsid w:val="19B906A4"/>
    <w:rsid w:val="1B6F15B6"/>
    <w:rsid w:val="1BAA2EDC"/>
    <w:rsid w:val="1CA55E64"/>
    <w:rsid w:val="1D014A01"/>
    <w:rsid w:val="1D022362"/>
    <w:rsid w:val="1D1B04B0"/>
    <w:rsid w:val="1D8807FB"/>
    <w:rsid w:val="1DA52501"/>
    <w:rsid w:val="1DBD6767"/>
    <w:rsid w:val="1DC52125"/>
    <w:rsid w:val="1DD26311"/>
    <w:rsid w:val="1E374ACB"/>
    <w:rsid w:val="1E9800AC"/>
    <w:rsid w:val="1ECF0A66"/>
    <w:rsid w:val="1EF67CA4"/>
    <w:rsid w:val="1F020D3A"/>
    <w:rsid w:val="1F2C5189"/>
    <w:rsid w:val="1F4B0B02"/>
    <w:rsid w:val="1FBB35CD"/>
    <w:rsid w:val="1FCD26AF"/>
    <w:rsid w:val="20642787"/>
    <w:rsid w:val="20C91B14"/>
    <w:rsid w:val="21222CB4"/>
    <w:rsid w:val="21556F04"/>
    <w:rsid w:val="22403BD3"/>
    <w:rsid w:val="22AD3177"/>
    <w:rsid w:val="235417B6"/>
    <w:rsid w:val="24476007"/>
    <w:rsid w:val="24961D0D"/>
    <w:rsid w:val="24B92327"/>
    <w:rsid w:val="24C14514"/>
    <w:rsid w:val="2533755C"/>
    <w:rsid w:val="25791755"/>
    <w:rsid w:val="262B6C4E"/>
    <w:rsid w:val="26396DF4"/>
    <w:rsid w:val="27167136"/>
    <w:rsid w:val="271B442C"/>
    <w:rsid w:val="27443170"/>
    <w:rsid w:val="27B23302"/>
    <w:rsid w:val="29310A5F"/>
    <w:rsid w:val="29C37A35"/>
    <w:rsid w:val="2A076083"/>
    <w:rsid w:val="2A570191"/>
    <w:rsid w:val="2A73162E"/>
    <w:rsid w:val="2B167953"/>
    <w:rsid w:val="2B200583"/>
    <w:rsid w:val="2B2729C0"/>
    <w:rsid w:val="2B8209DE"/>
    <w:rsid w:val="2B821C91"/>
    <w:rsid w:val="2BF81A22"/>
    <w:rsid w:val="2C636760"/>
    <w:rsid w:val="2C6762A3"/>
    <w:rsid w:val="2DBD5517"/>
    <w:rsid w:val="2E520D36"/>
    <w:rsid w:val="2F143519"/>
    <w:rsid w:val="2FCA4B37"/>
    <w:rsid w:val="2FE029D7"/>
    <w:rsid w:val="2FF06E00"/>
    <w:rsid w:val="30586FEC"/>
    <w:rsid w:val="315F0B22"/>
    <w:rsid w:val="31A15828"/>
    <w:rsid w:val="31C93DF3"/>
    <w:rsid w:val="31D84415"/>
    <w:rsid w:val="32285F6F"/>
    <w:rsid w:val="32770556"/>
    <w:rsid w:val="329C0913"/>
    <w:rsid w:val="32AA0460"/>
    <w:rsid w:val="32CA32E9"/>
    <w:rsid w:val="3337290D"/>
    <w:rsid w:val="33E31118"/>
    <w:rsid w:val="33EF7674"/>
    <w:rsid w:val="342D7BC6"/>
    <w:rsid w:val="352930DB"/>
    <w:rsid w:val="35573069"/>
    <w:rsid w:val="355F6038"/>
    <w:rsid w:val="358C217E"/>
    <w:rsid w:val="366E7B77"/>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23B3C"/>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2674FE"/>
    <w:rsid w:val="45BE0F71"/>
    <w:rsid w:val="45CB699A"/>
    <w:rsid w:val="46423C66"/>
    <w:rsid w:val="465B470D"/>
    <w:rsid w:val="469D6AD4"/>
    <w:rsid w:val="471E6C84"/>
    <w:rsid w:val="47321912"/>
    <w:rsid w:val="4748792B"/>
    <w:rsid w:val="475D719D"/>
    <w:rsid w:val="47674801"/>
    <w:rsid w:val="48225EF7"/>
    <w:rsid w:val="488F422B"/>
    <w:rsid w:val="48E36915"/>
    <w:rsid w:val="48EB6572"/>
    <w:rsid w:val="495C4A24"/>
    <w:rsid w:val="497135DF"/>
    <w:rsid w:val="49850876"/>
    <w:rsid w:val="49F44C5D"/>
    <w:rsid w:val="4A263DF2"/>
    <w:rsid w:val="4A2F278B"/>
    <w:rsid w:val="4A6F6675"/>
    <w:rsid w:val="4B135857"/>
    <w:rsid w:val="4B7951CB"/>
    <w:rsid w:val="4B7C315C"/>
    <w:rsid w:val="4CD6689C"/>
    <w:rsid w:val="4D1F53CA"/>
    <w:rsid w:val="4DAC4ACA"/>
    <w:rsid w:val="4DBE01D2"/>
    <w:rsid w:val="4EFD467F"/>
    <w:rsid w:val="4F0C6BA3"/>
    <w:rsid w:val="4F186D58"/>
    <w:rsid w:val="4F4C0F2D"/>
    <w:rsid w:val="4FA64C4B"/>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3357A3"/>
    <w:rsid w:val="554E5773"/>
    <w:rsid w:val="555829E0"/>
    <w:rsid w:val="555A3CBC"/>
    <w:rsid w:val="5582012B"/>
    <w:rsid w:val="558E4E05"/>
    <w:rsid w:val="55BE2E85"/>
    <w:rsid w:val="56530F5D"/>
    <w:rsid w:val="567700D3"/>
    <w:rsid w:val="56FF7E9E"/>
    <w:rsid w:val="578867FC"/>
    <w:rsid w:val="57C2283E"/>
    <w:rsid w:val="580A3393"/>
    <w:rsid w:val="5842572D"/>
    <w:rsid w:val="591A5DA5"/>
    <w:rsid w:val="5A3B59D6"/>
    <w:rsid w:val="5AD134D8"/>
    <w:rsid w:val="5BF41F67"/>
    <w:rsid w:val="5C263CE4"/>
    <w:rsid w:val="5C5D2777"/>
    <w:rsid w:val="5C9B7CEB"/>
    <w:rsid w:val="5CED61D0"/>
    <w:rsid w:val="5CF66BF3"/>
    <w:rsid w:val="5D290C69"/>
    <w:rsid w:val="5D81321F"/>
    <w:rsid w:val="5DA80C2C"/>
    <w:rsid w:val="5F28567D"/>
    <w:rsid w:val="5F2D4A41"/>
    <w:rsid w:val="60C05441"/>
    <w:rsid w:val="60C74F6C"/>
    <w:rsid w:val="61015958"/>
    <w:rsid w:val="61025A59"/>
    <w:rsid w:val="613D5BBC"/>
    <w:rsid w:val="61536C39"/>
    <w:rsid w:val="62944DD7"/>
    <w:rsid w:val="62A11B8D"/>
    <w:rsid w:val="62EE098B"/>
    <w:rsid w:val="6319381F"/>
    <w:rsid w:val="635E05AE"/>
    <w:rsid w:val="63C25DC5"/>
    <w:rsid w:val="63C62057"/>
    <w:rsid w:val="64571EF5"/>
    <w:rsid w:val="64FB113D"/>
    <w:rsid w:val="656152C6"/>
    <w:rsid w:val="6587477F"/>
    <w:rsid w:val="658C3A08"/>
    <w:rsid w:val="65C031CA"/>
    <w:rsid w:val="65CE6852"/>
    <w:rsid w:val="66267C04"/>
    <w:rsid w:val="663F505A"/>
    <w:rsid w:val="666C2D2F"/>
    <w:rsid w:val="66AF5D7C"/>
    <w:rsid w:val="66EE5541"/>
    <w:rsid w:val="670C74B5"/>
    <w:rsid w:val="67924660"/>
    <w:rsid w:val="67DF3BC2"/>
    <w:rsid w:val="68407834"/>
    <w:rsid w:val="6864391B"/>
    <w:rsid w:val="6883293E"/>
    <w:rsid w:val="688412AD"/>
    <w:rsid w:val="68EB1B71"/>
    <w:rsid w:val="696C0310"/>
    <w:rsid w:val="6A6C7940"/>
    <w:rsid w:val="6A9F1565"/>
    <w:rsid w:val="6AAD2300"/>
    <w:rsid w:val="6B474EF5"/>
    <w:rsid w:val="6B5578C9"/>
    <w:rsid w:val="6BC938E5"/>
    <w:rsid w:val="6C0A5AC5"/>
    <w:rsid w:val="6C287C25"/>
    <w:rsid w:val="6C560CAE"/>
    <w:rsid w:val="6C576495"/>
    <w:rsid w:val="6C9C0048"/>
    <w:rsid w:val="6D5B0204"/>
    <w:rsid w:val="6D5D1F13"/>
    <w:rsid w:val="6D903FF5"/>
    <w:rsid w:val="6DA955B8"/>
    <w:rsid w:val="6DE346AB"/>
    <w:rsid w:val="6DE5391A"/>
    <w:rsid w:val="6E5A2F6E"/>
    <w:rsid w:val="6EFD1324"/>
    <w:rsid w:val="6F5A53AC"/>
    <w:rsid w:val="6FAC003D"/>
    <w:rsid w:val="6FD926BF"/>
    <w:rsid w:val="6FE55E12"/>
    <w:rsid w:val="6FFB2E76"/>
    <w:rsid w:val="70237187"/>
    <w:rsid w:val="708F6F7F"/>
    <w:rsid w:val="70D94BD3"/>
    <w:rsid w:val="71574775"/>
    <w:rsid w:val="71C34D91"/>
    <w:rsid w:val="72A72D20"/>
    <w:rsid w:val="72D466F0"/>
    <w:rsid w:val="72DB435C"/>
    <w:rsid w:val="72E2613A"/>
    <w:rsid w:val="72F771F4"/>
    <w:rsid w:val="73934AD2"/>
    <w:rsid w:val="73B12CD9"/>
    <w:rsid w:val="746F6492"/>
    <w:rsid w:val="750837F0"/>
    <w:rsid w:val="753719DA"/>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26693"/>
    <w:rsid w:val="7A1525F7"/>
    <w:rsid w:val="7A225C80"/>
    <w:rsid w:val="7B420052"/>
    <w:rsid w:val="7BD06A28"/>
    <w:rsid w:val="7C2C3246"/>
    <w:rsid w:val="7C3A7C0B"/>
    <w:rsid w:val="7C5248E4"/>
    <w:rsid w:val="7C566698"/>
    <w:rsid w:val="7C5866A3"/>
    <w:rsid w:val="7D7406BB"/>
    <w:rsid w:val="7DE94331"/>
    <w:rsid w:val="7E4436FD"/>
    <w:rsid w:val="7F446A19"/>
    <w:rsid w:val="7F7452B9"/>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8927</Words>
  <Characters>10892</Characters>
  <Lines>192</Lines>
  <Paragraphs>54</Paragraphs>
  <TotalTime>0</TotalTime>
  <ScaleCrop>false</ScaleCrop>
  <LinksUpToDate>false</LinksUpToDate>
  <CharactersWithSpaces>11362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2025-10-15T07:26:00Z</cp:lastPrinted>
  <dcterms:modified xsi:type="dcterms:W3CDTF">2025-10-22T08:17:49Z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y fmtid="{D5CDD505-2E9C-101B-9397-08002B2CF9AE}" pid="4" name="KSOTemplateDocerSaveRecord">
    <vt:lpwstr>eyJoZGlkIjoiNTZiMjEzNzI3ZjcxODNlMDA4YWEwNzgxMjgxMjViNGUiLCJ1c2VySWQiOiIyODExMTQ3MDkifQ==</vt:lpwstr>
  </property>
</Properties>
</file>