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overflowPunct/>
        <w:topLinePunct w:val="0"/>
        <w:autoSpaceDN/>
        <w:bidi w:val="0"/>
        <w:adjustRightInd/>
        <w:spacing w:before="0" w:beforeAutospacing="0" w:after="0" w:afterAutospacing="0" w:line="600" w:lineRule="exact"/>
        <w:jc w:val="center"/>
        <w:outlineLvl w:val="9"/>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重庆市沙坪坝区虎溪街道劳动就业和社会保障服务所</w:t>
      </w:r>
    </w:p>
    <w:p>
      <w:pPr>
        <w:pStyle w:val="9"/>
        <w:keepNext w:val="0"/>
        <w:keepLines w:val="0"/>
        <w:pageBreakBefore w:val="0"/>
        <w:kinsoku/>
        <w:overflowPunct/>
        <w:topLinePunct w:val="0"/>
        <w:autoSpaceDN/>
        <w:bidi w:val="0"/>
        <w:adjustRightInd/>
        <w:spacing w:before="0" w:beforeAutospacing="0" w:after="0" w:afterAutospacing="0" w:line="600" w:lineRule="exact"/>
        <w:jc w:val="center"/>
        <w:outlineLvl w:val="9"/>
        <w:rPr>
          <w:rFonts w:ascii="方正小标宋_GBK" w:hAnsi="方正小标宋_GBK" w:eastAsia="方正小标宋_GBK" w:cs="方正小标宋_GBK"/>
          <w:color w:val="auto"/>
          <w:sz w:val="36"/>
          <w:szCs w:val="36"/>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9"/>
        <w:keepNext w:val="0"/>
        <w:keepLines w:val="0"/>
        <w:pageBreakBefore w:val="0"/>
        <w:kinsoku/>
        <w:overflowPunct/>
        <w:topLinePunct w:val="0"/>
        <w:autoSpaceDN/>
        <w:bidi w:val="0"/>
        <w:adjustRightInd/>
        <w:spacing w:before="0" w:beforeAutospacing="0" w:after="0" w:afterAutospacing="0" w:line="600" w:lineRule="exact"/>
        <w:jc w:val="center"/>
        <w:outlineLvl w:val="9"/>
        <w:rPr>
          <w:rFonts w:ascii="方正小标宋_GBK" w:hAnsi="方正小标宋_GBK" w:eastAsia="方正小标宋_GBK" w:cs="方正小标宋_GBK"/>
          <w:color w:val="auto"/>
          <w:sz w:val="44"/>
          <w:szCs w:val="44"/>
          <w:shd w:val="clear" w:color="auto" w:fill="FFFFFF"/>
        </w:rPr>
      </w:pP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1285" w:firstLineChars="400"/>
        <w:outlineLvl w:val="9"/>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一、单位基本情况</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outlineLvl w:val="9"/>
        <w:rPr>
          <w:rFonts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outlineLvl w:val="9"/>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承担劳动就业、社会保障、政务服务等的事务性工作。</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outlineLvl w:val="9"/>
        <w:rPr>
          <w:rFonts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虎溪街道劳动就业和社会保障服务所是虎溪街道下属事业单位之一</w:t>
      </w:r>
      <w:r>
        <w:rPr>
          <w:rFonts w:hint="default" w:ascii="Times New Roman" w:hAnsi="Times New Roman" w:eastAsia="方正仿宋_GBK" w:cs="Times New Roman"/>
          <w:color w:val="auto"/>
          <w:sz w:val="32"/>
          <w:szCs w:val="32"/>
          <w:lang w:val="en-US" w:eastAsia="zh-CN"/>
        </w:rPr>
        <w:t>，与虎溪街道办事处</w:t>
      </w:r>
      <w:r>
        <w:rPr>
          <w:rFonts w:hint="eastAsia" w:ascii="Times New Roman" w:hAnsi="Times New Roman" w:eastAsia="方正仿宋_GBK" w:cs="Times New Roman"/>
          <w:color w:val="auto"/>
          <w:sz w:val="32"/>
          <w:szCs w:val="32"/>
          <w:lang w:val="en-US" w:eastAsia="zh-CN"/>
        </w:rPr>
        <w:t>合并</w:t>
      </w:r>
      <w:r>
        <w:rPr>
          <w:rFonts w:hint="default" w:ascii="Times New Roman" w:hAnsi="Times New Roman" w:eastAsia="方正仿宋_GBK" w:cs="Times New Roman"/>
          <w:color w:val="auto"/>
          <w:sz w:val="32"/>
          <w:szCs w:val="32"/>
          <w:lang w:val="en-US" w:eastAsia="zh-CN"/>
        </w:rPr>
        <w:t>办公运行。</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outlineLvl w:val="9"/>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二、单位决算收支情况说明</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147.57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收、支与2023年度相比，减少2.34万元，下降1.6%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outlineLvl w:val="9"/>
        <w:rPr>
          <w:rFonts w:ascii="方正仿宋_GBK" w:hAnsi="方正仿宋_GBK" w:eastAsia="方正仿宋_GBK" w:cs="方正仿宋_GBK"/>
          <w:color w:val="auto"/>
          <w:sz w:val="32"/>
          <w:szCs w:val="32"/>
          <w:shd w:val="clear" w:color="auto" w:fill="FFFFFF"/>
        </w:rPr>
      </w:pPr>
      <w:r>
        <w:rPr>
          <w:rStyle w:val="11"/>
          <w:rFonts w:ascii="Times New Roman" w:hAnsi="Times New Roman" w:eastAsia="方正仿宋_GBK"/>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147.57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与2023年度相比，减少2.34万元，下降1.6%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147.57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lang w:val="en-US" w:eastAsia="zh-CN"/>
        </w:rPr>
        <w:t>本单位无</w:t>
      </w:r>
      <w:r>
        <w:rPr>
          <w:rFonts w:ascii="方正仿宋_GBK" w:hAnsi="方正仿宋_GBK" w:eastAsia="方正仿宋_GBK" w:cs="方正仿宋_GBK"/>
          <w:color w:val="auto"/>
          <w:sz w:val="32"/>
          <w:szCs w:val="32"/>
          <w:shd w:val="clear" w:color="auto" w:fill="FFFFFF"/>
        </w:rPr>
        <w:t>年初结转和结余。</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outlineLvl w:val="9"/>
        <w:rPr>
          <w:rFonts w:hint="eastAsia" w:ascii="方正仿宋_GBK" w:hAnsi="方正仿宋_GBK" w:eastAsia="方正仿宋_GBK" w:cs="方正仿宋_GBK"/>
          <w:color w:val="auto"/>
          <w:sz w:val="32"/>
          <w:szCs w:val="32"/>
          <w:shd w:val="clear" w:color="auto" w:fill="FFFFFF"/>
          <w:lang w:val="en-US" w:eastAsia="zh-CN"/>
        </w:rPr>
      </w:pPr>
      <w:r>
        <w:rPr>
          <w:rStyle w:val="11"/>
          <w:rFonts w:ascii="Times New Roman" w:hAnsi="Times New Roman" w:eastAsia="方正仿宋_GBK"/>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147.57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与2023年度相比，减少2.34万元，下降1.6%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142.60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96.6%</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4.98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3.4%</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 xml:space="preserve"> </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outlineLvl w:val="9"/>
        <w:rPr>
          <w:rFonts w:ascii="方正仿宋_GBK" w:hAnsi="方正仿宋_GBK" w:eastAsia="方正仿宋_GBK" w:cs="方正仿宋_GBK"/>
          <w:color w:val="auto"/>
          <w:sz w:val="32"/>
          <w:szCs w:val="32"/>
        </w:rPr>
      </w:pPr>
      <w:r>
        <w:rPr>
          <w:rStyle w:val="11"/>
          <w:rFonts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结转和结余</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与2023年</w:t>
      </w:r>
      <w:r>
        <w:rPr>
          <w:rFonts w:hint="eastAsia" w:ascii="Times New Roman" w:hAnsi="Times New Roman" w:eastAsia="方正仿宋_GBK"/>
          <w:color w:val="auto"/>
          <w:sz w:val="32"/>
          <w:szCs w:val="32"/>
          <w:shd w:val="clear" w:color="auto" w:fill="FFFFFF"/>
          <w:lang w:val="en-US" w:eastAsia="zh-CN"/>
        </w:rPr>
        <w:t>一致</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147.57</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财政拨款收、支总计各减少2.34万元，下降1.6%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outlineLvl w:val="9"/>
        <w:rPr>
          <w:rFonts w:ascii="方正仿宋_GBK" w:hAnsi="方正仿宋_GBK" w:eastAsia="方正仿宋_GBK" w:cs="方正仿宋_GBK"/>
          <w:color w:val="auto"/>
          <w:sz w:val="32"/>
          <w:szCs w:val="32"/>
        </w:rPr>
      </w:pPr>
      <w:r>
        <w:rPr>
          <w:rStyle w:val="11"/>
          <w:rFonts w:hint="default" w:ascii="Times New Roman" w:hAnsi="Times New Roman" w:eastAsia="方正仿宋_GBK"/>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147.57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与2023年度相比，减少2.34万元，下降1.6%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olor w:val="auto"/>
          <w:sz w:val="32"/>
          <w:szCs w:val="32"/>
          <w:shd w:val="clear" w:color="auto" w:fill="FFFFFF"/>
        </w:rPr>
        <w:t>较年初预算数增加52.48万元，增长55.2%</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主要原因是</w:t>
      </w:r>
      <w:r>
        <w:rPr>
          <w:rFonts w:hint="eastAsia" w:ascii="Times New Roman" w:hAnsi="Times New Roman" w:eastAsia="方正仿宋_GBK" w:cs="Times New Roman"/>
          <w:color w:val="auto"/>
          <w:sz w:val="32"/>
          <w:szCs w:val="32"/>
          <w:shd w:val="clear" w:color="auto" w:fill="FFFFFF"/>
          <w:lang w:val="en-US" w:eastAsia="zh-CN"/>
        </w:rPr>
        <w:t>2024年年中</w:t>
      </w:r>
      <w:r>
        <w:rPr>
          <w:rFonts w:hint="eastAsia" w:ascii="方正仿宋_GBK" w:hAnsi="方正仿宋_GBK" w:eastAsia="方正仿宋_GBK" w:cs="方正仿宋_GBK"/>
          <w:color w:val="auto"/>
          <w:sz w:val="32"/>
          <w:szCs w:val="32"/>
          <w:shd w:val="clear" w:color="auto" w:fill="FFFFFF"/>
          <w:lang w:eastAsia="zh-CN"/>
        </w:rPr>
        <w:t>追加相关工作经费。</w:t>
      </w:r>
      <w:r>
        <w:rPr>
          <w:rFonts w:ascii="方正仿宋_GBK" w:hAnsi="方正仿宋_GBK" w:eastAsia="方正仿宋_GBK" w:cs="方正仿宋_GBK"/>
          <w:color w:val="auto"/>
          <w:sz w:val="32"/>
          <w:szCs w:val="32"/>
          <w:shd w:val="clear" w:color="auto" w:fill="FFFFFF"/>
        </w:rPr>
        <w:t>此外，年初</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财政拨款结转和结余。</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outlineLvl w:val="9"/>
        <w:rPr>
          <w:rFonts w:hint="eastAsia" w:ascii="方正仿宋_GBK" w:hAnsi="方正仿宋_GBK" w:eastAsia="方正仿宋_GBK" w:cs="方正仿宋_GBK"/>
          <w:color w:val="auto"/>
          <w:sz w:val="32"/>
          <w:szCs w:val="32"/>
          <w:shd w:val="clear" w:color="auto" w:fill="FFFFFF"/>
          <w:lang w:eastAsia="zh-CN"/>
        </w:rPr>
      </w:pPr>
      <w:r>
        <w:rPr>
          <w:rStyle w:val="11"/>
          <w:rFonts w:hint="default" w:ascii="Times New Roman" w:hAnsi="Times New Roman" w:eastAsia="方正仿宋_GBK"/>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147.57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与2023年度相比，减少2.34万元，下降1.6%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olor w:val="auto"/>
          <w:sz w:val="32"/>
          <w:szCs w:val="32"/>
          <w:shd w:val="clear" w:color="auto" w:fill="FFFFFF"/>
        </w:rPr>
        <w:t>较年初预算数增加52.48万元，增长55.2%</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w:t>
      </w:r>
      <w:r>
        <w:rPr>
          <w:rFonts w:hint="eastAsia" w:ascii="Times New Roman" w:hAnsi="Times New Roman" w:eastAsia="方正仿宋_GBK" w:cs="Times New Roman"/>
          <w:color w:val="auto"/>
          <w:sz w:val="32"/>
          <w:szCs w:val="32"/>
          <w:shd w:val="clear" w:color="auto" w:fill="FFFFFF"/>
          <w:lang w:val="en-US" w:eastAsia="zh-CN"/>
        </w:rPr>
        <w:t>是2024年年中</w:t>
      </w:r>
      <w:r>
        <w:rPr>
          <w:rFonts w:hint="eastAsia" w:ascii="方正仿宋_GBK" w:hAnsi="方正仿宋_GBK" w:eastAsia="方正仿宋_GBK" w:cs="方正仿宋_GBK"/>
          <w:color w:val="auto"/>
          <w:sz w:val="32"/>
          <w:szCs w:val="32"/>
          <w:shd w:val="clear" w:color="auto" w:fill="FFFFFF"/>
          <w:lang w:eastAsia="zh-CN"/>
        </w:rPr>
        <w:t>追加相关工作经费。</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139.46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较年初预算数增加52.49万元，增长60.4%</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w:t>
      </w:r>
      <w:r>
        <w:rPr>
          <w:rFonts w:hint="eastAsia" w:ascii="Times New Roman" w:hAnsi="Times New Roman" w:eastAsia="方正仿宋_GBK"/>
          <w:color w:val="auto"/>
          <w:sz w:val="32"/>
          <w:szCs w:val="32"/>
          <w:shd w:val="clear" w:color="auto" w:fill="FFFFFF"/>
          <w:lang w:eastAsia="zh-CN"/>
        </w:rPr>
        <w:t>是2024年</w:t>
      </w:r>
      <w:r>
        <w:rPr>
          <w:rFonts w:hint="eastAsia" w:ascii="方正仿宋_GBK" w:hAnsi="方正仿宋_GBK" w:eastAsia="方正仿宋_GBK" w:cs="方正仿宋_GBK"/>
          <w:color w:val="auto"/>
          <w:sz w:val="32"/>
          <w:szCs w:val="32"/>
          <w:shd w:val="clear" w:color="auto" w:fill="FFFFFF"/>
          <w:lang w:eastAsia="zh-CN"/>
        </w:rPr>
        <w:t>年中追加相关工作经费。</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4.36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lang w:val="en-US" w:eastAsia="zh-CN"/>
        </w:rPr>
        <w:t>医疗保险资金</w:t>
      </w:r>
      <w:r>
        <w:rPr>
          <w:rFonts w:hint="default" w:ascii="Times New Roman" w:hAnsi="Times New Roman" w:eastAsia="方正仿宋_GBK" w:cs="Times New Roman"/>
          <w:color w:val="auto"/>
          <w:sz w:val="32"/>
          <w:szCs w:val="32"/>
          <w:lang w:val="en-US" w:eastAsia="zh-CN"/>
        </w:rPr>
        <w:t>按预算有效使用</w:t>
      </w:r>
      <w:r>
        <w:rPr>
          <w:rFonts w:ascii="方正仿宋_GBK" w:hAnsi="方正仿宋_GBK" w:eastAsia="方正仿宋_GBK" w:cs="方正仿宋_GBK"/>
          <w:color w:val="auto"/>
          <w:sz w:val="32"/>
          <w:szCs w:val="32"/>
          <w:shd w:val="clear" w:color="auto" w:fill="FFFFFF"/>
        </w:rPr>
        <w:t>。</w:t>
      </w:r>
    </w:p>
    <w:p>
      <w:pPr>
        <w:keepNext w:val="0"/>
        <w:keepLines w:val="0"/>
        <w:pageBreakBefore w:val="0"/>
        <w:kinsoku/>
        <w:overflowPunct/>
        <w:topLinePunct w:val="0"/>
        <w:autoSpaceDN/>
        <w:bidi w:val="0"/>
        <w:adjustRightInd/>
        <w:spacing w:line="600" w:lineRule="exact"/>
        <w:ind w:firstLine="640" w:firstLineChars="200"/>
        <w:jc w:val="both"/>
        <w:outlineLvl w:val="9"/>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3.75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住房公积金按预算有效使用</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outlineLvl w:val="9"/>
        <w:rPr>
          <w:rFonts w:hint="eastAsia" w:ascii="方正仿宋_GBK" w:hAnsi="方正仿宋_GBK" w:eastAsia="方正仿宋_GBK" w:cs="方正仿宋_GBK"/>
          <w:color w:val="auto"/>
          <w:sz w:val="32"/>
          <w:szCs w:val="32"/>
          <w:shd w:val="clear" w:color="auto" w:fill="FFFFFF"/>
          <w:lang w:val="en-US" w:eastAsia="zh-CN"/>
        </w:rPr>
      </w:pPr>
      <w:r>
        <w:rPr>
          <w:rStyle w:val="11"/>
          <w:rFonts w:hint="default"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一般公共预算财政拨款结转和结余，</w:t>
      </w:r>
      <w:r>
        <w:rPr>
          <w:rFonts w:hint="default" w:ascii="Times New Roman" w:hAnsi="Times New Roman" w:eastAsia="方正仿宋_GBK"/>
          <w:color w:val="auto"/>
          <w:sz w:val="32"/>
          <w:szCs w:val="32"/>
          <w:shd w:val="clear" w:color="auto" w:fill="FFFFFF"/>
        </w:rPr>
        <w:t>与2023年度</w:t>
      </w:r>
      <w:r>
        <w:rPr>
          <w:rFonts w:hint="eastAsia" w:ascii="Times New Roman" w:hAnsi="Times New Roman" w:eastAsia="方正仿宋_GBK"/>
          <w:color w:val="auto"/>
          <w:sz w:val="32"/>
          <w:szCs w:val="32"/>
          <w:shd w:val="clear" w:color="auto" w:fill="FFFFFF"/>
          <w:lang w:val="en-US" w:eastAsia="zh-CN"/>
        </w:rPr>
        <w:t>一致。</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142.6</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jc w:val="both"/>
        <w:outlineLvl w:val="9"/>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122.99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与2023年度相比，增加6.67万元，增长5.7%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增人增资</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工资、保险、公积金等</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19.61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与2023年度相比，增加0.32万元，增长1.7%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本事业单位与机关本级合</w:t>
      </w:r>
      <w:r>
        <w:rPr>
          <w:rFonts w:hint="eastAsia" w:ascii="方正仿宋_GBK" w:hAnsi="方正仿宋_GBK" w:eastAsia="方正仿宋_GBK" w:cs="方正仿宋_GBK"/>
          <w:color w:val="auto"/>
          <w:sz w:val="32"/>
          <w:szCs w:val="32"/>
          <w:shd w:val="clear" w:color="auto" w:fill="FFFFFF"/>
          <w:lang w:val="en-US" w:eastAsia="zh-CN"/>
        </w:rPr>
        <w:t>并</w:t>
      </w:r>
      <w:r>
        <w:rPr>
          <w:rFonts w:hint="eastAsia" w:ascii="方正仿宋_GBK" w:hAnsi="方正仿宋_GBK" w:eastAsia="方正仿宋_GBK" w:cs="方正仿宋_GBK"/>
          <w:color w:val="auto"/>
          <w:sz w:val="32"/>
          <w:szCs w:val="32"/>
          <w:shd w:val="clear" w:color="auto" w:fill="FFFFFF"/>
        </w:rPr>
        <w:t>办公，办公经费统筹使用</w:t>
      </w:r>
      <w:r>
        <w:rPr>
          <w:rFonts w:ascii="方正仿宋_GBK" w:hAnsi="方正仿宋_GBK" w:eastAsia="方正仿宋_GBK" w:cs="方正仿宋_GBK"/>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val="en-US" w:eastAsia="zh-CN"/>
        </w:rPr>
        <w:t>办公费、水电费、邮电费、物业管理费、维修费等</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本单位2024年度无政府性基金预算财政拨款收支。</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rPr>
        <w:t>本单位2024年度无国有资本经营预算财政拨款支出。</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outlineLvl w:val="9"/>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三、财政拨款“三公”经费情况说明</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outlineLvl w:val="9"/>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outlineLvl w:val="9"/>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outlineLvl w:val="9"/>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会议费支出，</w:t>
      </w:r>
      <w:r>
        <w:rPr>
          <w:rFonts w:hint="default" w:ascii="Times New Roman" w:hAnsi="Times New Roman" w:eastAsia="方正仿宋_GBK"/>
          <w:color w:val="auto"/>
          <w:sz w:val="32"/>
          <w:szCs w:val="32"/>
          <w:shd w:val="clear" w:color="auto" w:fill="FFFFFF"/>
        </w:rPr>
        <w:t>与2023年度</w:t>
      </w:r>
      <w:r>
        <w:rPr>
          <w:rFonts w:hint="eastAsia" w:ascii="Times New Roman" w:hAnsi="Times New Roman" w:eastAsia="方正仿宋_GBK"/>
          <w:color w:val="auto"/>
          <w:sz w:val="32"/>
          <w:szCs w:val="32"/>
          <w:shd w:val="clear" w:color="auto" w:fill="FFFFFF"/>
          <w:lang w:val="en-US" w:eastAsia="zh-CN"/>
        </w:rPr>
        <w:t>一致</w:t>
      </w: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培训费支出，</w:t>
      </w:r>
      <w:r>
        <w:rPr>
          <w:rFonts w:hint="default" w:ascii="Times New Roman" w:hAnsi="Times New Roman" w:eastAsia="方正仿宋_GBK"/>
          <w:color w:val="auto"/>
          <w:sz w:val="32"/>
          <w:szCs w:val="32"/>
          <w:shd w:val="clear" w:color="auto" w:fill="FFFFFF"/>
        </w:rPr>
        <w:t>与2023年度相比，减少0.21万元，下降100%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年减少线下培训相关费用支出</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4.39</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与2023年度相比，增加4.39万元，增长100%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根据工作安排产生差旅费支出</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lang w:eastAsia="zh-CN"/>
        </w:rPr>
        <w:t>（</w:t>
      </w:r>
      <w:r>
        <w:rPr>
          <w:rFonts w:hint="eastAsia" w:ascii="楷体" w:hAnsi="楷体" w:eastAsia="楷体" w:cs="楷体"/>
          <w:b/>
          <w:bCs/>
          <w:color w:val="auto"/>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按照部门决算列报口径，我单位不在机关运行经费统计范围之内。</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bookmarkStart w:id="0" w:name="_GoBack"/>
      <w:bookmarkEnd w:id="0"/>
      <w:r>
        <w:rPr>
          <w:rFonts w:hint="eastAsia" w:ascii="楷体" w:hAnsi="楷体" w:eastAsia="楷体" w:cs="楷体"/>
          <w:b/>
          <w:bCs/>
          <w:color w:val="auto"/>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kinsoku/>
        <w:overflowPunct/>
        <w:topLinePunct w:val="0"/>
        <w:autoSpaceDE w:val="0"/>
        <w:autoSpaceDN/>
        <w:bidi w:val="0"/>
        <w:adjustRightInd/>
        <w:spacing w:line="600" w:lineRule="exact"/>
        <w:ind w:firstLine="643"/>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15"/>
        <w:keepNext w:val="0"/>
        <w:keepLines w:val="0"/>
        <w:pageBreakBefore w:val="0"/>
        <w:kinsoku/>
        <w:overflowPunct/>
        <w:topLinePunct w:val="0"/>
        <w:autoSpaceDN/>
        <w:bidi w:val="0"/>
        <w:adjustRightInd/>
        <w:spacing w:before="0" w:beforeAutospacing="0" w:after="0" w:afterAutospacing="0" w:line="600" w:lineRule="exact"/>
        <w:ind w:firstLine="640" w:firstLineChars="200"/>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w:t>
      </w:r>
      <w:r>
        <w:rPr>
          <w:rFonts w:hint="eastAsia" w:ascii="Times New Roman" w:hAnsi="Times New Roman" w:eastAsia="方正仿宋_GBK" w:cs="Times New Roman"/>
          <w:color w:val="auto"/>
          <w:sz w:val="32"/>
          <w:szCs w:val="32"/>
          <w:shd w:val="clear" w:color="auto" w:fill="FFFFFF"/>
          <w:lang w:val="en-US" w:eastAsia="zh-CN"/>
        </w:rPr>
        <w:t>本单位</w:t>
      </w:r>
      <w:r>
        <w:rPr>
          <w:rFonts w:hint="default" w:ascii="Times New Roman" w:hAnsi="Times New Roman" w:eastAsia="方正仿宋_GBK" w:cs="Times New Roman"/>
          <w:color w:val="auto"/>
          <w:sz w:val="32"/>
          <w:szCs w:val="32"/>
          <w:shd w:val="clear" w:color="auto" w:fill="FFFFFF"/>
          <w:lang w:val="en-US" w:eastAsia="zh-CN"/>
        </w:rPr>
        <w:t>未发生政府采购事项，无相关经费支出。</w:t>
      </w:r>
    </w:p>
    <w:p>
      <w:pPr>
        <w:pStyle w:val="15"/>
        <w:keepNext w:val="0"/>
        <w:keepLines w:val="0"/>
        <w:pageBreakBefore w:val="0"/>
        <w:kinsoku/>
        <w:overflowPunct/>
        <w:topLinePunct w:val="0"/>
        <w:autoSpaceDN/>
        <w:bidi w:val="0"/>
        <w:adjustRightInd/>
        <w:spacing w:before="0" w:beforeAutospacing="0" w:after="0" w:afterAutospacing="0" w:line="600" w:lineRule="exact"/>
        <w:outlineLvl w:val="9"/>
        <w:rPr>
          <w:rStyle w:val="11"/>
          <w:rFonts w:hint="eastAsia" w:ascii="黑体" w:hAnsi="黑体" w:eastAsia="黑体" w:cs="黑体"/>
          <w:color w:val="auto"/>
          <w:sz w:val="32"/>
          <w:szCs w:val="32"/>
          <w:shd w:val="clear" w:color="auto" w:fill="FFFFFF"/>
        </w:rPr>
      </w:pP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Style w:val="11"/>
          <w:rFonts w:hint="eastAsia" w:ascii="黑体" w:hAnsi="黑体" w:eastAsia="黑体" w:cs="黑体"/>
          <w:color w:val="auto"/>
          <w:sz w:val="32"/>
          <w:szCs w:val="32"/>
          <w:shd w:val="clear" w:color="auto" w:fill="FFFFFF"/>
        </w:rPr>
      </w:pPr>
      <w:r>
        <w:rPr>
          <w:rStyle w:val="11"/>
          <w:rFonts w:hint="eastAsia" w:ascii="黑体" w:hAnsi="黑体" w:eastAsia="黑体" w:cs="黑体"/>
          <w:color w:val="auto"/>
          <w:sz w:val="32"/>
          <w:szCs w:val="32"/>
          <w:shd w:val="clear" w:color="auto" w:fill="FFFFFF"/>
        </w:rPr>
        <w:t>五、2024年度预算绩效管理情况说明</w:t>
      </w:r>
    </w:p>
    <w:p>
      <w:pPr>
        <w:pStyle w:val="15"/>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pPr>
        <w:pStyle w:val="15"/>
        <w:keepNext w:val="0"/>
        <w:keepLines w:val="0"/>
        <w:pageBreakBefore w:val="0"/>
        <w:kinsoku/>
        <w:overflowPunct/>
        <w:topLinePunct w:val="0"/>
        <w:autoSpaceDN/>
        <w:bidi w:val="0"/>
        <w:adjustRightInd/>
        <w:spacing w:before="0" w:beforeAutospacing="0" w:after="0" w:afterAutospacing="0" w:line="600" w:lineRule="exact"/>
        <w:ind w:firstLine="640" w:firstLineChars="200"/>
        <w:outlineLvl w:val="9"/>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根据预算绩效管理要求，</w:t>
      </w: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个二级项目开展了绩效自评，涉及财政拨款项目支出资金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rPr>
        <w:t>4.98</w:t>
      </w:r>
      <w:r>
        <w:rPr>
          <w:rFonts w:hint="default" w:ascii="Times New Roman" w:hAnsi="Times New Roman" w:eastAsia="方正仿宋_GBK" w:cs="Times New Roman"/>
          <w:color w:val="auto"/>
          <w:sz w:val="32"/>
          <w:szCs w:val="32"/>
          <w:shd w:val="clear" w:color="auto" w:fill="FFFFFF"/>
        </w:rPr>
        <w:t>万</w:t>
      </w:r>
      <w:r>
        <w:rPr>
          <w:rFonts w:hint="eastAsia" w:ascii="方正仿宋_GBK" w:hAnsi="方正仿宋_GBK" w:eastAsia="方正仿宋_GBK" w:cs="方正仿宋_GBK"/>
          <w:color w:val="auto"/>
          <w:sz w:val="32"/>
          <w:szCs w:val="32"/>
          <w:shd w:val="clear" w:color="auto" w:fill="FFFFFF"/>
        </w:rPr>
        <w:t>元</w:t>
      </w:r>
      <w:r>
        <w:rPr>
          <w:rFonts w:hint="default" w:ascii="Times New Roman" w:hAnsi="Times New Roman" w:eastAsia="方正仿宋_GBK" w:cs="Times New Roman"/>
          <w:color w:val="auto"/>
          <w:sz w:val="32"/>
          <w:szCs w:val="32"/>
          <w:shd w:val="clear" w:color="auto" w:fill="FFFFFF"/>
          <w:lang w:val="en-US" w:eastAsia="zh-CN"/>
        </w:rPr>
        <w:t>。</w:t>
      </w:r>
    </w:p>
    <w:p>
      <w:pPr>
        <w:pStyle w:val="15"/>
        <w:keepNext w:val="0"/>
        <w:keepLines w:val="0"/>
        <w:pageBreakBefore w:val="0"/>
        <w:kinsoku/>
        <w:overflowPunct/>
        <w:topLinePunct w:val="0"/>
        <w:autoSpaceDN/>
        <w:bidi w:val="0"/>
        <w:adjustRightInd/>
        <w:spacing w:before="0" w:beforeAutospacing="0" w:after="0" w:afterAutospacing="0" w:line="600" w:lineRule="exact"/>
        <w:ind w:firstLine="640" w:firstLineChars="200"/>
        <w:outlineLvl w:val="9"/>
        <w:rPr>
          <w:rFonts w:hint="eastAsia" w:ascii="方正仿宋_GBK" w:hAnsi="方正仿宋_GBK" w:eastAsia="方正仿宋_GBK" w:cs="方正仿宋_GBK"/>
          <w:b/>
          <w:bCs/>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项目支出绩效自评表</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lang w:val="en-US" w:eastAsia="zh-CN"/>
        </w:rPr>
        <w:t>见附件。</w:t>
      </w:r>
    </w:p>
    <w:p>
      <w:pPr>
        <w:pStyle w:val="15"/>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outlineLvl w:val="9"/>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（二）单位绩效评价情况</w:t>
      </w:r>
    </w:p>
    <w:p>
      <w:pPr>
        <w:pStyle w:val="19"/>
        <w:keepNext w:val="0"/>
        <w:keepLines w:val="0"/>
        <w:pageBreakBefore w:val="0"/>
        <w:widowControl w:val="0"/>
        <w:tabs>
          <w:tab w:val="center" w:pos="4153"/>
          <w:tab w:val="left" w:pos="7275"/>
        </w:tabs>
        <w:kinsoku/>
        <w:overflowPunct/>
        <w:topLinePunct w:val="0"/>
        <w:autoSpaceDN/>
        <w:bidi w:val="0"/>
        <w:adjustRightInd/>
        <w:spacing w:line="600" w:lineRule="exact"/>
        <w:ind w:firstLine="640"/>
        <w:outlineLvl w:val="9"/>
        <w:rPr>
          <w:rFonts w:hint="default" w:ascii="Times New Roman" w:hAnsi="Times New Roman" w:eastAsia="方正仿宋_GBK"/>
          <w:bCs/>
          <w:color w:val="auto"/>
          <w:sz w:val="32"/>
          <w:szCs w:val="32"/>
        </w:rPr>
      </w:pPr>
      <w:r>
        <w:rPr>
          <w:rFonts w:hint="eastAsia" w:ascii="Times New Roman" w:hAnsi="Times New Roman" w:eastAsia="方正仿宋_GBK"/>
          <w:bCs/>
          <w:color w:val="auto"/>
          <w:sz w:val="32"/>
          <w:szCs w:val="32"/>
          <w:lang w:eastAsia="zh-CN"/>
        </w:rPr>
        <w:t>本单位</w:t>
      </w:r>
      <w:r>
        <w:rPr>
          <w:rFonts w:hint="default" w:ascii="Times New Roman" w:hAnsi="Times New Roman" w:eastAsia="方正仿宋_GBK"/>
          <w:bCs/>
          <w:color w:val="auto"/>
          <w:sz w:val="32"/>
          <w:szCs w:val="32"/>
        </w:rPr>
        <w:t>未组织开展绩效评价。</w:t>
      </w:r>
    </w:p>
    <w:p>
      <w:pPr>
        <w:pStyle w:val="19"/>
        <w:keepNext w:val="0"/>
        <w:keepLines w:val="0"/>
        <w:pageBreakBefore w:val="0"/>
        <w:kinsoku/>
        <w:overflowPunct/>
        <w:topLinePunct w:val="0"/>
        <w:autoSpaceDE w:val="0"/>
        <w:autoSpaceDN/>
        <w:bidi w:val="0"/>
        <w:adjustRightInd/>
        <w:spacing w:line="600" w:lineRule="exact"/>
        <w:ind w:firstLine="643"/>
        <w:outlineLvl w:val="9"/>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pPr>
        <w:pStyle w:val="19"/>
        <w:keepNext w:val="0"/>
        <w:keepLines w:val="0"/>
        <w:pageBreakBefore w:val="0"/>
        <w:widowControl w:val="0"/>
        <w:tabs>
          <w:tab w:val="center" w:pos="4153"/>
          <w:tab w:val="left" w:pos="7275"/>
        </w:tabs>
        <w:kinsoku/>
        <w:overflowPunct/>
        <w:topLinePunct w:val="0"/>
        <w:autoSpaceDN/>
        <w:bidi w:val="0"/>
        <w:adjustRightInd/>
        <w:spacing w:line="600" w:lineRule="exact"/>
        <w:ind w:firstLine="640"/>
        <w:outlineLvl w:val="9"/>
        <w:rPr>
          <w:rFonts w:hint="default" w:ascii="Times New Roman" w:hAnsi="Times New Roman" w:eastAsia="方正仿宋_GBK"/>
          <w:bCs/>
          <w:color w:val="auto"/>
          <w:sz w:val="32"/>
          <w:szCs w:val="32"/>
        </w:rPr>
      </w:pPr>
      <w:r>
        <w:rPr>
          <w:rFonts w:hint="default" w:ascii="Times New Roman" w:hAnsi="Times New Roman" w:eastAsia="方正仿宋_GBK"/>
          <w:bCs/>
          <w:color w:val="auto"/>
          <w:sz w:val="32"/>
          <w:szCs w:val="32"/>
        </w:rPr>
        <w:t>区财政局未委托第三方对</w:t>
      </w:r>
      <w:r>
        <w:rPr>
          <w:rFonts w:hint="eastAsia" w:ascii="Times New Roman" w:hAnsi="Times New Roman" w:eastAsia="方正仿宋_GBK"/>
          <w:bCs/>
          <w:color w:val="auto"/>
          <w:sz w:val="32"/>
          <w:szCs w:val="32"/>
          <w:lang w:eastAsia="zh-CN"/>
        </w:rPr>
        <w:t>本单位</w:t>
      </w:r>
      <w:r>
        <w:rPr>
          <w:rFonts w:hint="default" w:ascii="Times New Roman" w:hAnsi="Times New Roman" w:eastAsia="方正仿宋_GBK"/>
          <w:bCs/>
          <w:color w:val="auto"/>
          <w:sz w:val="32"/>
          <w:szCs w:val="32"/>
        </w:rPr>
        <w:t>开展绩效评价。</w:t>
      </w:r>
    </w:p>
    <w:p>
      <w:pPr>
        <w:pStyle w:val="15"/>
        <w:keepNext w:val="0"/>
        <w:keepLines w:val="0"/>
        <w:pageBreakBefore w:val="0"/>
        <w:kinsoku/>
        <w:overflowPunct/>
        <w:topLinePunct w:val="0"/>
        <w:autoSpaceDE w:val="0"/>
        <w:autoSpaceDN/>
        <w:bidi w:val="0"/>
        <w:adjustRightInd/>
        <w:spacing w:before="0" w:beforeAutospacing="0" w:after="0" w:afterAutospacing="0" w:line="600" w:lineRule="exact"/>
        <w:outlineLvl w:val="9"/>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1"/>
          <w:rFonts w:hint="eastAsia" w:ascii="黑体" w:hAnsi="黑体" w:eastAsia="黑体" w:cs="黑体"/>
          <w:color w:val="auto"/>
          <w:sz w:val="32"/>
          <w:szCs w:val="32"/>
          <w:shd w:val="clear" w:color="auto" w:fill="FFFFFF"/>
        </w:rPr>
        <w:t xml:space="preserve"> 六、专业名词解释</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outlineLvl w:val="9"/>
        <w:rPr>
          <w:rFonts w:hint="eastAsia" w:ascii="方正仿宋_GBK" w:hAnsi="方正仿宋_GBK" w:eastAsia="方正仿宋_GBK" w:cs="方正仿宋_GBK"/>
          <w:color w:val="auto"/>
          <w:sz w:val="32"/>
          <w:szCs w:val="32"/>
        </w:rPr>
      </w:pPr>
      <w:r>
        <w:rPr>
          <w:rStyle w:val="11"/>
          <w:rFonts w:hint="eastAsia" w:ascii="黑体" w:hAnsi="黑体" w:eastAsia="黑体" w:cs="黑体"/>
          <w:color w:val="auto"/>
          <w:sz w:val="32"/>
          <w:szCs w:val="32"/>
          <w:shd w:val="clear" w:color="auto" w:fill="FFFFFF"/>
        </w:rPr>
        <w:t>七、决算公开联系方式及信息反馈渠道</w:t>
      </w:r>
    </w:p>
    <w:p>
      <w:pPr>
        <w:pStyle w:val="15"/>
        <w:keepNext w:val="0"/>
        <w:keepLines w:val="0"/>
        <w:pageBreakBefore w:val="0"/>
        <w:kinsoku/>
        <w:overflowPunct/>
        <w:topLinePunct w:val="0"/>
        <w:autoSpaceDN/>
        <w:bidi w:val="0"/>
        <w:adjustRightInd/>
        <w:spacing w:before="0" w:beforeAutospacing="0" w:after="0" w:afterAutospacing="0" w:line="6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pPr>
        <w:pStyle w:val="15"/>
        <w:keepNext w:val="0"/>
        <w:keepLines w:val="0"/>
        <w:pageBreakBefore w:val="0"/>
        <w:kinsoku/>
        <w:overflowPunct/>
        <w:topLinePunct w:val="0"/>
        <w:autoSpaceDN/>
        <w:bidi w:val="0"/>
        <w:adjustRightInd/>
        <w:spacing w:before="0" w:beforeAutospacing="0" w:after="0" w:afterAutospacing="0" w:line="600" w:lineRule="exact"/>
        <w:ind w:firstLine="640" w:firstLineChars="200"/>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val="en-US" w:eastAsia="zh-CN"/>
        </w:rPr>
        <w:t>石文静</w:t>
      </w:r>
      <w:r>
        <w:rPr>
          <w:rFonts w:hint="default" w:ascii="Times New Roman" w:hAnsi="Times New Roman" w:eastAsia="方正仿宋_GBK" w:cs="Times New Roman"/>
          <w:color w:val="auto"/>
          <w:sz w:val="32"/>
          <w:szCs w:val="32"/>
          <w:shd w:val="clear" w:color="auto" w:fill="FFFFFF"/>
        </w:rPr>
        <w:t xml:space="preserve">   023-</w:t>
      </w:r>
      <w:r>
        <w:rPr>
          <w:rFonts w:hint="default" w:ascii="Times New Roman" w:hAnsi="Times New Roman" w:eastAsia="方正仿宋_GBK" w:cs="Times New Roman"/>
          <w:color w:val="auto"/>
          <w:sz w:val="32"/>
          <w:szCs w:val="32"/>
          <w:shd w:val="clear" w:color="auto" w:fill="FFFFFF"/>
          <w:lang w:val="en-US" w:eastAsia="zh-CN"/>
        </w:rPr>
        <w:t>61691710</w:t>
      </w:r>
    </w:p>
    <w:p>
      <w:pPr>
        <w:pStyle w:val="14"/>
        <w:keepNext w:val="0"/>
        <w:keepLines w:val="0"/>
        <w:pageBreakBefore w:val="0"/>
        <w:kinsoku/>
        <w:overflowPunct/>
        <w:topLinePunct w:val="0"/>
        <w:autoSpaceDE w:val="0"/>
        <w:autoSpaceDN/>
        <w:bidi w:val="0"/>
        <w:adjustRightInd/>
        <w:spacing w:line="600" w:lineRule="exact"/>
        <w:ind w:firstLine="643"/>
        <w:jc w:val="both"/>
        <w:outlineLvl w:val="9"/>
        <w:rPr>
          <w:rStyle w:val="11"/>
          <w:rFonts w:hint="eastAsia" w:ascii="方正仿宋_GBK" w:hAnsi="方正仿宋_GBK" w:eastAsia="方正仿宋_GBK" w:cs="方正仿宋_GBK"/>
          <w:color w:val="auto"/>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Arial" w:hAnsi="Arial" w:cs="Arial"/>
                <w:color w:val="auto"/>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outlineLvl w:val="9"/>
              <w:rPr>
                <w:rFonts w:hint="default" w:ascii="Arial" w:hAnsi="Arial" w:cs="Arial"/>
                <w:color w:val="auto"/>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Arial" w:hAnsi="Arial" w:cs="Arial"/>
                <w:color w:val="auto"/>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Arial" w:hAnsi="Arial" w:cs="Arial"/>
                <w:color w:val="auto"/>
                <w:sz w:val="22"/>
                <w:szCs w:val="22"/>
              </w:rPr>
            </w:pPr>
            <w:r>
              <w:rPr>
                <w:rFonts w:cs="宋体"/>
                <w:color w:val="auto"/>
                <w:sz w:val="20"/>
                <w:szCs w:val="20"/>
              </w:rPr>
              <w:t>单位：</w:t>
            </w:r>
            <w:r>
              <w:rPr>
                <w:color w:val="auto"/>
                <w:sz w:val="20"/>
                <w:u w:color="auto"/>
              </w:rPr>
              <w:t>重庆市沙坪坝区虎溪街道劳动就业和社会保障服务所</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Arial" w:hAnsi="Arial" w:cs="Arial"/>
                <w:color w:val="auto"/>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147.57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139.46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4.36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3.75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147.57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147.57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147.57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147.57</w:t>
            </w:r>
            <w:r>
              <w:rPr>
                <w:rFonts w:ascii="Times New Roman" w:hAnsi="Times New Roman"/>
                <w:color w:val="auto"/>
                <w:sz w:val="20"/>
                <w:u w:color="auto"/>
              </w:rPr>
              <w:t xml:space="preserve"> </w:t>
            </w:r>
          </w:p>
        </w:tc>
      </w:tr>
    </w:tbl>
    <w:p>
      <w:pPr>
        <w:keepNext w:val="0"/>
        <w:keepLines w:val="0"/>
        <w:pageBreakBefore w:val="0"/>
        <w:kinsoku/>
        <w:overflowPunct/>
        <w:topLinePunct w:val="0"/>
        <w:autoSpaceDN/>
        <w:bidi w:val="0"/>
        <w:adjustRightInd/>
        <w:spacing w:line="600" w:lineRule="exact"/>
        <w:outlineLvl w:val="9"/>
        <w:rPr>
          <w:rFonts w:cs="宋体"/>
          <w:color w:val="auto"/>
          <w:sz w:val="21"/>
          <w:szCs w:val="21"/>
        </w:rPr>
      </w:pPr>
    </w:p>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单位：</w:t>
            </w:r>
            <w:r>
              <w:rPr>
                <w:color w:val="auto"/>
                <w:sz w:val="20"/>
                <w:u w:color="auto"/>
              </w:rPr>
              <w:t>重庆市沙坪坝区虎溪街道劳动就业和社会保障服务所</w:t>
            </w:r>
          </w:p>
        </w:tc>
        <w:tc>
          <w:tcPr>
            <w:tcW w:w="14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20"/>
                <w:szCs w:val="20"/>
              </w:rPr>
            </w:pPr>
            <w:r>
              <w:rPr>
                <w:rFonts w:cs="宋体"/>
                <w:b/>
                <w:color w:val="auto"/>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20"/>
                <w:szCs w:val="20"/>
              </w:rPr>
            </w:pPr>
            <w:r>
              <w:rPr>
                <w:rFonts w:cs="宋体"/>
                <w:b/>
                <w:color w:val="auto"/>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147.57</w:t>
            </w:r>
            <w:r>
              <w:rPr>
                <w:rFonts w:ascii="Times New Roman" w:hAnsi="Times New Roman"/>
                <w:b/>
                <w:color w:val="auto"/>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147.57</w:t>
            </w:r>
            <w:r>
              <w:rPr>
                <w:rFonts w:ascii="Times New Roman" w:hAnsi="Times New Roman"/>
                <w:b/>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139.46</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139.46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114.38</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114.38</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2080150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114.38</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114.38</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20.10</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20.10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5.87</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5.87</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2.93</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2.93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11.30</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11.30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就业补助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2080799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其他就业补助支出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1.71</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1.71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3.75</w:t>
            </w:r>
            <w:r>
              <w:rPr>
                <w:rFonts w:ascii="Times New Roman" w:hAnsi="Times New Roman"/>
                <w:color w:val="auto"/>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3.75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keepNext w:val="0"/>
        <w:keepLines w:val="0"/>
        <w:pageBreakBefore w:val="0"/>
        <w:kinsoku/>
        <w:overflowPunct/>
        <w:topLinePunct w:val="0"/>
        <w:autoSpaceDN/>
        <w:bidi w:val="0"/>
        <w:adjustRightInd/>
        <w:spacing w:line="600" w:lineRule="exact"/>
        <w:ind w:left="600" w:hanging="600" w:hangingChars="300"/>
        <w:outlineLvl w:val="9"/>
        <w:rPr>
          <w:rFonts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br w:type="page"/>
      </w:r>
    </w:p>
    <w:tbl>
      <w:tblPr>
        <w:tblStyle w:val="12"/>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单位：</w:t>
            </w:r>
            <w:r>
              <w:rPr>
                <w:color w:val="auto"/>
                <w:sz w:val="20"/>
                <w:u w:color="auto"/>
              </w:rPr>
              <w:t xml:space="preserve">重庆市沙坪坝区虎溪街道劳动就业和社会保障服务所 </w:t>
            </w:r>
          </w:p>
        </w:tc>
        <w:tc>
          <w:tcPr>
            <w:tcW w:w="17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20"/>
                <w:szCs w:val="20"/>
              </w:rPr>
            </w:pPr>
            <w:r>
              <w:rPr>
                <w:rFonts w:cs="宋体"/>
                <w:b/>
                <w:color w:val="auto"/>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147.57</w:t>
            </w:r>
            <w:r>
              <w:rPr>
                <w:rFonts w:ascii="Times New Roman" w:hAnsi="Times New Roman"/>
                <w:b/>
                <w:color w:val="auto"/>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142.60</w:t>
            </w:r>
            <w:r>
              <w:rPr>
                <w:rFonts w:ascii="Times New Roman" w:hAnsi="Times New Roman"/>
                <w:b/>
                <w:color w:val="auto"/>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4.98</w:t>
            </w:r>
            <w:r>
              <w:rPr>
                <w:rFonts w:ascii="Times New Roman" w:hAnsi="Times New Roman"/>
                <w:b/>
                <w:color w:val="auto"/>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139.46</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134.48</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114.38</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114.38</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2080150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114.38</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114.38</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20.10</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20.10</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5.87</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5.87</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2.93</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2.93</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11.30</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11.30</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就业补助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2080799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其他就业补助支出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1.71</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1.71</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3.75</w:t>
            </w:r>
            <w:r>
              <w:rPr>
                <w:rFonts w:ascii="Times New Roman" w:hAnsi="Times New Roman"/>
                <w:color w:val="auto"/>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3.75</w:t>
            </w:r>
            <w:r>
              <w:rPr>
                <w:rFonts w:ascii="Times New Roman" w:hAnsi="Times New Roman"/>
                <w:color w:val="auto"/>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keepNext w:val="0"/>
        <w:keepLines w:val="0"/>
        <w:pageBreakBefore w:val="0"/>
        <w:kinsoku/>
        <w:overflowPunct/>
        <w:topLinePunct w:val="0"/>
        <w:autoSpaceDN/>
        <w:bidi w:val="0"/>
        <w:adjustRightInd/>
        <w:spacing w:line="600" w:lineRule="exact"/>
        <w:outlineLvl w:val="9"/>
        <w:rPr>
          <w:rFonts w:cs="宋体"/>
          <w:color w:val="auto"/>
          <w:sz w:val="21"/>
          <w:szCs w:val="21"/>
        </w:rPr>
      </w:pPr>
      <w:r>
        <w:rPr>
          <w:rFonts w:cs="宋体"/>
          <w:color w:val="auto"/>
          <w:sz w:val="21"/>
          <w:szCs w:val="21"/>
        </w:rPr>
        <w:br w:type="page"/>
      </w:r>
    </w:p>
    <w:p>
      <w:pPr>
        <w:keepNext w:val="0"/>
        <w:keepLines w:val="0"/>
        <w:pageBreakBefore w:val="0"/>
        <w:kinsoku/>
        <w:overflowPunct/>
        <w:topLinePunct w:val="0"/>
        <w:autoSpaceDN/>
        <w:bidi w:val="0"/>
        <w:adjustRightInd/>
        <w:spacing w:line="600" w:lineRule="exact"/>
        <w:outlineLvl w:val="9"/>
        <w:rPr>
          <w:rFonts w:cs="宋体"/>
          <w:color w:val="auto"/>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r>
              <w:rPr>
                <w:rFonts w:cs="宋体"/>
                <w:color w:val="auto"/>
                <w:sz w:val="20"/>
                <w:szCs w:val="20"/>
              </w:rPr>
              <w:t>单位：</w:t>
            </w:r>
            <w:r>
              <w:rPr>
                <w:color w:val="auto"/>
                <w:sz w:val="20"/>
                <w:u w:color="auto"/>
              </w:rPr>
              <w:t>重庆市沙坪坝区虎溪街道劳动就业和社会保障服务所</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147.57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139.46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139.46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4.36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4.36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3.75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3.75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147.57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147.57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147.57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147.57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147.57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147.57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bl>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单位：</w:t>
            </w:r>
            <w:r>
              <w:rPr>
                <w:color w:val="auto"/>
                <w:sz w:val="20"/>
                <w:u w:color="auto"/>
              </w:rPr>
              <w:t>重庆市沙坪坝区虎溪街道劳动就业和社会保障服务所</w:t>
            </w:r>
          </w:p>
        </w:tc>
        <w:tc>
          <w:tcPr>
            <w:tcW w:w="32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147.57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142.60</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4.98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139.46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134.48</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114.38</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114.38</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114.38</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114.38</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20.10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20.10</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5.87</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5.87</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2.93</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2.93</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11.30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11.30</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4.98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2080799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其他就业补助支出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4.36</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1.71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1.71</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3.75</w:t>
            </w:r>
            <w:r>
              <w:rPr>
                <w:rFonts w:ascii="Times New Roman" w:hAnsi="Times New Roman"/>
                <w:b/>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3.75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3.75</w:t>
            </w:r>
            <w:r>
              <w:rPr>
                <w:rFonts w:ascii="Times New Roman" w:hAnsi="Times New Roman"/>
                <w:color w:val="auto"/>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keepNext w:val="0"/>
        <w:keepLines w:val="0"/>
        <w:pageBreakBefore w:val="0"/>
        <w:kinsoku/>
        <w:overflowPunct/>
        <w:topLinePunct w:val="0"/>
        <w:autoSpaceDN/>
        <w:bidi w:val="0"/>
        <w:adjustRightInd/>
        <w:spacing w:line="600" w:lineRule="exact"/>
        <w:outlineLvl w:val="9"/>
        <w:rPr>
          <w:rFonts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keepNext w:val="0"/>
        <w:keepLines w:val="0"/>
        <w:pageBreakBefore w:val="0"/>
        <w:kinsoku/>
        <w:overflowPunct/>
        <w:topLinePunct w:val="0"/>
        <w:autoSpaceDN/>
        <w:bidi w:val="0"/>
        <w:adjustRightInd/>
        <w:spacing w:line="600" w:lineRule="exact"/>
        <w:ind w:firstLine="630" w:firstLineChars="300"/>
        <w:outlineLvl w:val="9"/>
        <w:rPr>
          <w:rFonts w:cs="宋体"/>
          <w:color w:val="auto"/>
          <w:sz w:val="21"/>
          <w:szCs w:val="21"/>
        </w:rPr>
      </w:pPr>
      <w:r>
        <w:rPr>
          <w:rFonts w:cs="宋体"/>
          <w:color w:val="auto"/>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r>
              <w:rPr>
                <w:rFonts w:cs="宋体"/>
                <w:color w:val="auto"/>
                <w:sz w:val="20"/>
                <w:szCs w:val="20"/>
              </w:rPr>
              <w:t>单位：</w:t>
            </w:r>
            <w:r>
              <w:rPr>
                <w:color w:val="auto"/>
                <w:sz w:val="20"/>
                <w:u w:color="auto"/>
              </w:rPr>
              <w:t>重庆市沙坪坝区虎溪街道劳动就业和社会保障服务所</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111.69</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19.61</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16.25</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1.00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0.62</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75.82</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5.87</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1.00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2.93</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1.25</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2.66</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2.00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0.76</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3.75</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1.24</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1.00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1.80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11.30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10.70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0.60</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7.41</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1.56</w:t>
            </w: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firstLine="180" w:firstLineChars="100"/>
              <w:textAlignment w:val="center"/>
              <w:outlineLvl w:val="9"/>
              <w:rPr>
                <w:rFonts w:cs="宋体"/>
                <w:color w:val="auto"/>
                <w:sz w:val="18"/>
                <w:szCs w:val="18"/>
              </w:rPr>
            </w:pPr>
            <w:r>
              <w:rPr>
                <w:rFonts w:cs="宋体"/>
                <w:color w:val="auto"/>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8"/>
                <w:szCs w:val="18"/>
              </w:rPr>
            </w:pPr>
            <w:r>
              <w:rPr>
                <w:rFonts w:cs="宋体"/>
                <w:b/>
                <w:bCs/>
                <w:color w:val="auto"/>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18"/>
                <w:szCs w:val="18"/>
              </w:rPr>
            </w:pPr>
            <w:r>
              <w:rPr>
                <w:rFonts w:cs="宋体"/>
                <w:color w:val="auto"/>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hint="default" w:ascii="Times New Roman" w:hAnsi="Times New Roman"/>
                <w:color w:val="auto"/>
                <w:sz w:val="18"/>
                <w:szCs w:val="18"/>
              </w:rPr>
            </w:pPr>
            <w:r>
              <w:rPr>
                <w:rFonts w:hint="default" w:ascii="Times New Roman" w:hAnsi="Times New Roman"/>
                <w:color w:val="auto"/>
                <w:sz w:val="18"/>
                <w:szCs w:val="18"/>
              </w:rPr>
              <w:t>122.99</w:t>
            </w:r>
            <w:r>
              <w:rPr>
                <w:rFonts w:ascii="Times New Roman" w:hAnsi="Times New Roman"/>
                <w:color w:val="auto"/>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18"/>
                <w:szCs w:val="18"/>
              </w:rPr>
            </w:pPr>
            <w:r>
              <w:rPr>
                <w:rFonts w:cs="宋体"/>
                <w:b/>
                <w:color w:val="auto"/>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19.61</w:t>
            </w:r>
            <w:r>
              <w:rPr>
                <w:rFonts w:ascii="Times New Roman" w:hAnsi="Times New Roman"/>
                <w:color w:val="auto"/>
                <w:sz w:val="18"/>
                <w:u w:color="auto"/>
              </w:rPr>
              <w:t xml:space="preserve"> </w:t>
            </w:r>
          </w:p>
        </w:tc>
      </w:tr>
    </w:tbl>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单位：</w:t>
            </w:r>
            <w:r>
              <w:rPr>
                <w:color w:val="auto"/>
                <w:sz w:val="20"/>
                <w:u w:color="auto"/>
              </w:rPr>
              <w:t>重庆市沙坪坝区虎溪街道劳动就业和社会保障服务所</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outlineLvl w:val="9"/>
              <w:rPr>
                <w:rFonts w:cs="宋体"/>
                <w:color w:val="auto"/>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outlineLvl w:val="9"/>
              <w:rPr>
                <w:rFonts w:cs="宋体"/>
                <w:color w:val="auto"/>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keepNext w:val="0"/>
        <w:keepLines w:val="0"/>
        <w:pageBreakBefore w:val="0"/>
        <w:kinsoku/>
        <w:overflowPunct/>
        <w:topLinePunct w:val="0"/>
        <w:autoSpaceDN/>
        <w:bidi w:val="0"/>
        <w:adjustRightInd/>
        <w:spacing w:line="600" w:lineRule="exact"/>
        <w:outlineLvl w:val="9"/>
        <w:rPr>
          <w:rFonts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keepNext w:val="0"/>
        <w:keepLines w:val="0"/>
        <w:pageBreakBefore w:val="0"/>
        <w:kinsoku/>
        <w:overflowPunct/>
        <w:topLinePunct w:val="0"/>
        <w:autoSpaceDN/>
        <w:bidi w:val="0"/>
        <w:adjustRightInd/>
        <w:spacing w:line="600" w:lineRule="exact"/>
        <w:outlineLvl w:val="9"/>
        <w:rPr>
          <w:rFonts w:cs="宋体"/>
          <w:color w:val="auto"/>
          <w:sz w:val="21"/>
          <w:szCs w:val="21"/>
        </w:rPr>
      </w:pPr>
      <w:r>
        <w:rPr>
          <w:rFonts w:cs="宋体"/>
          <w:color w:val="auto"/>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r>
              <w:rPr>
                <w:rFonts w:cs="宋体"/>
                <w:color w:val="auto"/>
                <w:sz w:val="20"/>
                <w:szCs w:val="20"/>
              </w:rPr>
              <w:t>单位：</w:t>
            </w:r>
            <w:r>
              <w:rPr>
                <w:color w:val="auto"/>
                <w:sz w:val="20"/>
                <w:u w:color="auto"/>
              </w:rPr>
              <w:t>重庆市沙坪坝区虎溪街道劳动就业和社会保障服务所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20"/>
                <w:szCs w:val="20"/>
              </w:rPr>
            </w:pPr>
            <w:r>
              <w:rPr>
                <w:rFonts w:cs="宋体"/>
                <w:b/>
                <w:color w:val="auto"/>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outlineLvl w:val="9"/>
              <w:rPr>
                <w:rFonts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outlineLvl w:val="9"/>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outlineLvl w:val="9"/>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keepNext w:val="0"/>
        <w:keepLines w:val="0"/>
        <w:pageBreakBefore w:val="0"/>
        <w:kinsoku/>
        <w:overflowPunct/>
        <w:topLinePunct w:val="0"/>
        <w:autoSpaceDN/>
        <w:bidi w:val="0"/>
        <w:adjustRightInd/>
        <w:spacing w:line="600" w:lineRule="exact"/>
        <w:outlineLvl w:val="9"/>
        <w:rPr>
          <w:rFonts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keepNext w:val="0"/>
        <w:keepLines w:val="0"/>
        <w:pageBreakBefore w:val="0"/>
        <w:kinsoku/>
        <w:overflowPunct/>
        <w:topLinePunct w:val="0"/>
        <w:autoSpaceDN/>
        <w:bidi w:val="0"/>
        <w:adjustRightInd/>
        <w:spacing w:line="600" w:lineRule="exact"/>
        <w:outlineLvl w:val="9"/>
        <w:rPr>
          <w:rFonts w:cs="宋体"/>
          <w:color w:val="auto"/>
          <w:sz w:val="21"/>
          <w:szCs w:val="21"/>
        </w:rPr>
      </w:pPr>
      <w:r>
        <w:rPr>
          <w:rFonts w:hint="default" w:cs="宋体"/>
          <w:color w:val="auto"/>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outlineLvl w:val="9"/>
              <w:rPr>
                <w:rFonts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outlineLvl w:val="9"/>
              <w:rPr>
                <w:rFonts w:cs="宋体"/>
                <w:color w:val="auto"/>
                <w:kern w:val="2"/>
                <w:sz w:val="20"/>
                <w:szCs w:val="20"/>
              </w:rPr>
            </w:pPr>
          </w:p>
        </w:tc>
        <w:tc>
          <w:tcPr>
            <w:tcW w:w="2374"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outlineLvl w:val="9"/>
              <w:rPr>
                <w:rFonts w:cs="宋体"/>
                <w:color w:val="auto"/>
                <w:kern w:val="2"/>
                <w:sz w:val="20"/>
                <w:szCs w:val="20"/>
              </w:rPr>
            </w:pPr>
          </w:p>
        </w:tc>
        <w:tc>
          <w:tcPr>
            <w:tcW w:w="3671"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kern w:val="2"/>
                <w:sz w:val="20"/>
                <w:szCs w:val="20"/>
              </w:rPr>
            </w:pPr>
          </w:p>
        </w:tc>
        <w:tc>
          <w:tcPr>
            <w:tcW w:w="2493"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kern w:val="2"/>
                <w:sz w:val="20"/>
                <w:szCs w:val="20"/>
              </w:rPr>
            </w:pPr>
            <w:r>
              <w:rPr>
                <w:rFonts w:cs="宋体"/>
                <w:color w:val="auto"/>
                <w:kern w:val="2"/>
                <w:sz w:val="20"/>
                <w:szCs w:val="20"/>
              </w:rPr>
              <w:t>单位：</w:t>
            </w:r>
            <w:r>
              <w:rPr>
                <w:color w:val="auto"/>
                <w:sz w:val="20"/>
                <w:u w:color="auto"/>
              </w:rPr>
              <w:t>重庆市沙坪坝区虎溪街道劳动就业和社会保障服务所</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outlineLvl w:val="9"/>
              <w:rPr>
                <w:rFonts w:cs="宋体"/>
                <w:color w:val="auto"/>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outlineLvl w:val="9"/>
              <w:rPr>
                <w:rFonts w:cs="宋体"/>
                <w:color w:val="auto"/>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outlineLvl w:val="9"/>
              <w:rPr>
                <w:rFonts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kern w:val="2"/>
                <w:sz w:val="16"/>
                <w:szCs w:val="16"/>
              </w:rPr>
            </w:pPr>
            <w:r>
              <w:rPr>
                <w:rFonts w:cs="宋体"/>
                <w:b/>
                <w:color w:val="auto"/>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kern w:val="2"/>
                <w:sz w:val="16"/>
                <w:szCs w:val="16"/>
              </w:rPr>
            </w:pPr>
            <w:r>
              <w:rPr>
                <w:rFonts w:cs="宋体"/>
                <w:b/>
                <w:color w:val="auto"/>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kern w:val="2"/>
                <w:sz w:val="16"/>
                <w:szCs w:val="16"/>
              </w:rPr>
            </w:pPr>
            <w:r>
              <w:rPr>
                <w:rFonts w:cs="宋体"/>
                <w:b/>
                <w:color w:val="auto"/>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color w:val="auto"/>
                <w:kern w:val="2"/>
                <w:sz w:val="16"/>
                <w:szCs w:val="16"/>
              </w:rPr>
            </w:pPr>
            <w:r>
              <w:rPr>
                <w:rFonts w:cs="宋体"/>
                <w:b/>
                <w:color w:val="auto"/>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kern w:val="2"/>
                <w:sz w:val="16"/>
                <w:szCs w:val="16"/>
              </w:rPr>
            </w:pPr>
            <w:r>
              <w:rPr>
                <w:rFonts w:cs="宋体"/>
                <w:b/>
                <w:bCs/>
                <w:color w:val="auto"/>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outlineLvl w:val="9"/>
              <w:rPr>
                <w:rFonts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outlineLvl w:val="9"/>
              <w:rPr>
                <w:rFonts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outlineLvl w:val="9"/>
              <w:rPr>
                <w:rFonts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outlineLvl w:val="9"/>
              <w:rPr>
                <w:rFonts w:hint="default" w:ascii="Times New Roman" w:hAnsi="Times New Roman"/>
                <w:color w:val="auto"/>
                <w:sz w:val="18"/>
                <w:szCs w:val="18"/>
              </w:rPr>
            </w:pPr>
            <w:r>
              <w:rPr>
                <w:rFonts w:hint="default" w:ascii="Times New Roman" w:hAnsi="Times New Roman"/>
                <w:color w:val="auto"/>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outlineLvl w:val="9"/>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outlineLvl w:val="9"/>
              <w:rPr>
                <w:rFonts w:cs="宋体"/>
                <w:color w:val="auto"/>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outlineLvl w:val="9"/>
              <w:rPr>
                <w:rFonts w:cs="宋体"/>
                <w:color w:val="auto"/>
                <w:sz w:val="16"/>
                <w:szCs w:val="16"/>
              </w:rPr>
            </w:pPr>
          </w:p>
        </w:tc>
      </w:tr>
    </w:tbl>
    <w:p>
      <w:pPr>
        <w:keepNext w:val="0"/>
        <w:keepLines w:val="0"/>
        <w:pageBreakBefore w:val="0"/>
        <w:kinsoku/>
        <w:overflowPunct/>
        <w:topLinePunct w:val="0"/>
        <w:autoSpaceDN/>
        <w:bidi w:val="0"/>
        <w:adjustRightInd/>
        <w:spacing w:line="600" w:lineRule="exact"/>
        <w:outlineLvl w:val="9"/>
        <w:rPr>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764F9F"/>
    <w:rsid w:val="03B87EA0"/>
    <w:rsid w:val="03E3214F"/>
    <w:rsid w:val="044C50BA"/>
    <w:rsid w:val="05BC6D49"/>
    <w:rsid w:val="06194FF1"/>
    <w:rsid w:val="06755C6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5827AB"/>
    <w:rsid w:val="0C7927C4"/>
    <w:rsid w:val="0C9B098C"/>
    <w:rsid w:val="0D673E11"/>
    <w:rsid w:val="0DDA54E4"/>
    <w:rsid w:val="0E3A5F83"/>
    <w:rsid w:val="0F836721"/>
    <w:rsid w:val="0FA25D96"/>
    <w:rsid w:val="0FF7412C"/>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75564C"/>
    <w:rsid w:val="17C374FC"/>
    <w:rsid w:val="182E4AB6"/>
    <w:rsid w:val="189079DC"/>
    <w:rsid w:val="189B0D0B"/>
    <w:rsid w:val="18B43F7C"/>
    <w:rsid w:val="191C433B"/>
    <w:rsid w:val="194A1770"/>
    <w:rsid w:val="19B906A4"/>
    <w:rsid w:val="1B6F15B6"/>
    <w:rsid w:val="1BAA2EDC"/>
    <w:rsid w:val="1C55656D"/>
    <w:rsid w:val="1CA55E64"/>
    <w:rsid w:val="1D014A01"/>
    <w:rsid w:val="1D022362"/>
    <w:rsid w:val="1D1B04B0"/>
    <w:rsid w:val="1DA52501"/>
    <w:rsid w:val="1DBD6767"/>
    <w:rsid w:val="1DC52125"/>
    <w:rsid w:val="1DD26311"/>
    <w:rsid w:val="1E021D88"/>
    <w:rsid w:val="1E374ACB"/>
    <w:rsid w:val="1ECF0A66"/>
    <w:rsid w:val="1EEE0A3B"/>
    <w:rsid w:val="1EF67CA4"/>
    <w:rsid w:val="1F020D3A"/>
    <w:rsid w:val="1F2C5189"/>
    <w:rsid w:val="1F4B0B02"/>
    <w:rsid w:val="1FBB35CD"/>
    <w:rsid w:val="1FCD26AF"/>
    <w:rsid w:val="20642787"/>
    <w:rsid w:val="21556F04"/>
    <w:rsid w:val="22403BD3"/>
    <w:rsid w:val="22AD3177"/>
    <w:rsid w:val="235417B6"/>
    <w:rsid w:val="23EA51B0"/>
    <w:rsid w:val="24287E17"/>
    <w:rsid w:val="24B92327"/>
    <w:rsid w:val="24C14514"/>
    <w:rsid w:val="2533755C"/>
    <w:rsid w:val="25791755"/>
    <w:rsid w:val="26396DF4"/>
    <w:rsid w:val="27167136"/>
    <w:rsid w:val="271B442C"/>
    <w:rsid w:val="27B23302"/>
    <w:rsid w:val="284D4C64"/>
    <w:rsid w:val="29310A5F"/>
    <w:rsid w:val="29C37A35"/>
    <w:rsid w:val="2A076083"/>
    <w:rsid w:val="2A73162E"/>
    <w:rsid w:val="2B167953"/>
    <w:rsid w:val="2B200583"/>
    <w:rsid w:val="2B2729C0"/>
    <w:rsid w:val="2B392655"/>
    <w:rsid w:val="2B8209DE"/>
    <w:rsid w:val="2B821C91"/>
    <w:rsid w:val="2BF81A22"/>
    <w:rsid w:val="2C2D5BEE"/>
    <w:rsid w:val="2C636760"/>
    <w:rsid w:val="2C6762A3"/>
    <w:rsid w:val="2CFA726F"/>
    <w:rsid w:val="2DBD5517"/>
    <w:rsid w:val="2E7013CB"/>
    <w:rsid w:val="2FCA4B37"/>
    <w:rsid w:val="2FE029D7"/>
    <w:rsid w:val="2FF06E00"/>
    <w:rsid w:val="30586FEC"/>
    <w:rsid w:val="315F0B22"/>
    <w:rsid w:val="31A15828"/>
    <w:rsid w:val="31D84415"/>
    <w:rsid w:val="32090B93"/>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D62C0E"/>
    <w:rsid w:val="3D041511"/>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6532FD"/>
    <w:rsid w:val="467A5E37"/>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DF63A8A"/>
    <w:rsid w:val="4EFD467F"/>
    <w:rsid w:val="4F0C6BA3"/>
    <w:rsid w:val="4F186D58"/>
    <w:rsid w:val="4F4C0F2D"/>
    <w:rsid w:val="4FFE7F08"/>
    <w:rsid w:val="504B6EAA"/>
    <w:rsid w:val="50F06B6E"/>
    <w:rsid w:val="51064DCD"/>
    <w:rsid w:val="51D21804"/>
    <w:rsid w:val="52234D33"/>
    <w:rsid w:val="522F6E0C"/>
    <w:rsid w:val="52463BA1"/>
    <w:rsid w:val="52F163D4"/>
    <w:rsid w:val="52F4137F"/>
    <w:rsid w:val="531A2DB4"/>
    <w:rsid w:val="53C0244D"/>
    <w:rsid w:val="53CA0B56"/>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5A6EE1"/>
    <w:rsid w:val="567700D3"/>
    <w:rsid w:val="56E053E6"/>
    <w:rsid w:val="56FF7E9E"/>
    <w:rsid w:val="578867FC"/>
    <w:rsid w:val="580A3393"/>
    <w:rsid w:val="5842572D"/>
    <w:rsid w:val="5A3B59D6"/>
    <w:rsid w:val="5AAE3D4B"/>
    <w:rsid w:val="5AD134D8"/>
    <w:rsid w:val="5BA72135"/>
    <w:rsid w:val="5BF41F67"/>
    <w:rsid w:val="5C263CE4"/>
    <w:rsid w:val="5C5D2777"/>
    <w:rsid w:val="5CED61D0"/>
    <w:rsid w:val="5CF66BF3"/>
    <w:rsid w:val="5D290C69"/>
    <w:rsid w:val="5D81321F"/>
    <w:rsid w:val="5DA80C2C"/>
    <w:rsid w:val="5DDC02C8"/>
    <w:rsid w:val="5F2D4A41"/>
    <w:rsid w:val="60C74F6C"/>
    <w:rsid w:val="61015958"/>
    <w:rsid w:val="61025A59"/>
    <w:rsid w:val="61096DE8"/>
    <w:rsid w:val="613D5BBC"/>
    <w:rsid w:val="61536C39"/>
    <w:rsid w:val="62944DD7"/>
    <w:rsid w:val="6319381F"/>
    <w:rsid w:val="63C25DC5"/>
    <w:rsid w:val="63C62057"/>
    <w:rsid w:val="644E7CEB"/>
    <w:rsid w:val="64571EF5"/>
    <w:rsid w:val="64FB113D"/>
    <w:rsid w:val="656152C6"/>
    <w:rsid w:val="6587477F"/>
    <w:rsid w:val="658C3A08"/>
    <w:rsid w:val="65B00DFB"/>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AEE4579"/>
    <w:rsid w:val="6B08193B"/>
    <w:rsid w:val="6B474EF5"/>
    <w:rsid w:val="6BC938E5"/>
    <w:rsid w:val="6BF31C5D"/>
    <w:rsid w:val="6C0A5AC5"/>
    <w:rsid w:val="6C560CAE"/>
    <w:rsid w:val="6C576495"/>
    <w:rsid w:val="6C8219AC"/>
    <w:rsid w:val="6D903FF5"/>
    <w:rsid w:val="6DA955B8"/>
    <w:rsid w:val="6DE346AB"/>
    <w:rsid w:val="6DE5391A"/>
    <w:rsid w:val="6EFD1324"/>
    <w:rsid w:val="6F5A53AC"/>
    <w:rsid w:val="6FA35E9E"/>
    <w:rsid w:val="6FAC003D"/>
    <w:rsid w:val="6FD926BF"/>
    <w:rsid w:val="6FE55E12"/>
    <w:rsid w:val="6FFB2E76"/>
    <w:rsid w:val="70237187"/>
    <w:rsid w:val="708F6F7F"/>
    <w:rsid w:val="70D94BD3"/>
    <w:rsid w:val="71574775"/>
    <w:rsid w:val="71C34D91"/>
    <w:rsid w:val="71E837D8"/>
    <w:rsid w:val="72D466F0"/>
    <w:rsid w:val="72DB435C"/>
    <w:rsid w:val="72E2613A"/>
    <w:rsid w:val="72F771F4"/>
    <w:rsid w:val="73200D0C"/>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C846B3"/>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4751</Words>
  <Characters>6033</Characters>
  <Lines>192</Lines>
  <Paragraphs>54</Paragraphs>
  <TotalTime>0</TotalTime>
  <ScaleCrop>false</ScaleCrop>
  <LinksUpToDate>false</LinksUpToDate>
  <CharactersWithSpaces>6349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2025-10-15T07:28:00Z</cp:lastPrinted>
  <dcterms:modified xsi:type="dcterms:W3CDTF">2025-10-22T08:29:19Z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CC9E504AF2DF46499278CD6DE21E6BBC</vt:lpwstr>
  </property>
  <property fmtid="{D5CDD505-2E9C-101B-9397-08002B2CF9AE}" pid="4" name="KSOTemplateDocerSaveRecord">
    <vt:lpwstr>eyJoZGlkIjoiNTZiMjEzNzI3ZjcxODNlMDA4YWEwNzgxMjgxMjViNGUiLCJ1c2VySWQiOiIyODExMTQ3MDkifQ==</vt:lpwstr>
  </property>
</Properties>
</file>