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3FFC" w14:textId="1598D223" w:rsidR="008C33B7" w:rsidRDefault="00000000">
      <w:pPr>
        <w:pStyle w:val="a7"/>
        <w:spacing w:before="0" w:beforeAutospacing="0" w:after="0" w:afterAutospacing="0" w:line="600" w:lineRule="exact"/>
        <w:ind w:firstLineChars="200" w:firstLine="720"/>
        <w:jc w:val="center"/>
        <w:rPr>
          <w:rFonts w:ascii="Times New Roman" w:eastAsia="方正小标宋_GBK" w:hAnsi="Times New Roman" w:hint="default"/>
          <w:sz w:val="36"/>
          <w:szCs w:val="36"/>
          <w:shd w:val="clear" w:color="auto" w:fill="FFFFFF"/>
        </w:rPr>
      </w:pPr>
      <w:r>
        <w:rPr>
          <w:rFonts w:ascii="Times New Roman" w:eastAsia="方正小标宋_GBK" w:hAnsi="Times New Roman" w:hint="default"/>
          <w:sz w:val="36"/>
          <w:szCs w:val="36"/>
        </w:rPr>
        <w:t>重庆市沙坪坝区人民政府虎溪街道办事处</w:t>
      </w:r>
      <w:r>
        <w:rPr>
          <w:rFonts w:ascii="Times New Roman" w:eastAsia="方正小标宋_GBK" w:hAnsi="Times New Roman"/>
          <w:sz w:val="36"/>
          <w:szCs w:val="36"/>
        </w:rPr>
        <w:t>（本级）</w:t>
      </w:r>
      <w:r>
        <w:rPr>
          <w:rFonts w:ascii="Times New Roman" w:eastAsia="方正小标宋_GBK" w:hAnsi="Times New Roman" w:hint="default"/>
          <w:sz w:val="36"/>
          <w:szCs w:val="36"/>
          <w:shd w:val="clear" w:color="auto" w:fill="FFFFFF"/>
        </w:rPr>
        <w:t>2023</w:t>
      </w:r>
      <w:r>
        <w:rPr>
          <w:rFonts w:ascii="Times New Roman" w:eastAsia="方正小标宋_GBK" w:hAnsi="Times New Roman" w:hint="default"/>
          <w:sz w:val="36"/>
          <w:szCs w:val="36"/>
          <w:shd w:val="clear" w:color="auto" w:fill="FFFFFF"/>
        </w:rPr>
        <w:t>年度</w:t>
      </w:r>
      <w:r w:rsidR="00A72C90">
        <w:rPr>
          <w:rFonts w:ascii="Times New Roman" w:eastAsia="方正小标宋_GBK" w:hAnsi="Times New Roman"/>
          <w:sz w:val="36"/>
          <w:szCs w:val="36"/>
          <w:shd w:val="clear" w:color="auto" w:fill="FFFFFF"/>
        </w:rPr>
        <w:t>部门</w:t>
      </w:r>
      <w:r>
        <w:rPr>
          <w:rFonts w:ascii="Times New Roman" w:eastAsia="方正小标宋_GBK" w:hAnsi="Times New Roman" w:hint="default"/>
          <w:sz w:val="36"/>
          <w:szCs w:val="36"/>
          <w:shd w:val="clear" w:color="auto" w:fill="FFFFFF"/>
        </w:rPr>
        <w:t>决算公开说明</w:t>
      </w:r>
    </w:p>
    <w:p w14:paraId="3CD6608B" w14:textId="77777777" w:rsidR="008C33B7" w:rsidRDefault="00000000">
      <w:pPr>
        <w:pStyle w:val="a7"/>
        <w:shd w:val="clear" w:color="auto" w:fill="FFFFFF"/>
        <w:spacing w:beforeAutospacing="0" w:after="0" w:afterAutospacing="0" w:line="600" w:lineRule="exact"/>
        <w:ind w:firstLineChars="200" w:firstLine="643"/>
        <w:rPr>
          <w:rFonts w:ascii="方正黑体_GBK" w:eastAsia="方正黑体_GBK" w:hAnsi="方正黑体_GBK" w:cs="方正黑体_GBK" w:hint="default"/>
          <w:sz w:val="32"/>
          <w:szCs w:val="32"/>
        </w:rPr>
      </w:pPr>
      <w:r>
        <w:rPr>
          <w:rStyle w:val="a8"/>
          <w:rFonts w:ascii="方正黑体_GBK" w:eastAsia="方正黑体_GBK" w:hAnsi="方正黑体_GBK" w:cs="方正黑体_GBK"/>
          <w:sz w:val="32"/>
          <w:szCs w:val="32"/>
          <w:shd w:val="clear" w:color="auto" w:fill="FFFFFF"/>
        </w:rPr>
        <w:t>一、单位基本情况</w:t>
      </w:r>
    </w:p>
    <w:p w14:paraId="07427E9B" w14:textId="77777777" w:rsidR="008C33B7" w:rsidRDefault="00000000">
      <w:pPr>
        <w:pStyle w:val="a7"/>
        <w:shd w:val="clear" w:color="auto" w:fill="FFFFFF"/>
        <w:spacing w:beforeAutospacing="0" w:after="0" w:afterAutospacing="0" w:line="600" w:lineRule="exact"/>
        <w:ind w:firstLineChars="200" w:firstLine="643"/>
        <w:rPr>
          <w:rFonts w:ascii="方正楷体_GBK" w:eastAsia="方正楷体_GBK" w:hAnsi="方正楷体_GBK" w:cs="方正楷体_GBK" w:hint="default"/>
          <w:sz w:val="32"/>
          <w:szCs w:val="32"/>
        </w:rPr>
      </w:pPr>
      <w:r>
        <w:rPr>
          <w:rStyle w:val="a8"/>
          <w:rFonts w:ascii="方正楷体_GBK" w:eastAsia="方正楷体_GBK" w:hAnsi="方正楷体_GBK" w:cs="方正楷体_GBK"/>
          <w:sz w:val="32"/>
          <w:szCs w:val="32"/>
          <w:shd w:val="clear" w:color="auto" w:fill="FFFFFF"/>
        </w:rPr>
        <w:t>（一）职能职责</w:t>
      </w:r>
    </w:p>
    <w:p w14:paraId="1CFFA613"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主要负责信息、机要、档案、保密、文秘、会务、接待等日常运转和后勤保障工作，以及综合协调、目标管理、督查督办、宣传、意识形态等职责。承办人大、政协工作的具体事务。</w:t>
      </w:r>
    </w:p>
    <w:p w14:paraId="1692EF5C"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主要负责组织、机构编制、干部人事、统战侨台、群团建设等职责。</w:t>
      </w:r>
    </w:p>
    <w:p w14:paraId="1DF568B4"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主要负责经济发展规划、经济发展统计、扶贫开发、科技创新等职责。</w:t>
      </w:r>
    </w:p>
    <w:p w14:paraId="6ABE716B"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主要负责财政收支、预决算、总会计、财政资金监督检查、绩效评价、村级财务管理、政府采购、内部审计、国有资产监督管理等职责。</w:t>
      </w:r>
    </w:p>
    <w:p w14:paraId="27120045"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主要负责规划、建设、人防、物业管理、农村道路、生态环境、耕地保护、地质灾害预防和治理等职责。</w:t>
      </w:r>
    </w:p>
    <w:p w14:paraId="78A12E34"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主要负责民政、卫生、计生、老龄、体育、社会救助、残疾人事业、民族宗教、武装、退役军人服务等职责。</w:t>
      </w:r>
    </w:p>
    <w:p w14:paraId="5A768A9C"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7.</w:t>
      </w:r>
      <w:r>
        <w:rPr>
          <w:rFonts w:ascii="Times New Roman" w:eastAsia="方正仿宋_GBK" w:hAnsi="Times New Roman" w:hint="default"/>
          <w:sz w:val="32"/>
          <w:szCs w:val="32"/>
        </w:rPr>
        <w:t>主要负责集中行使依法授权或委托的农林水利、规划建设、生态环境保护、卫生计生、文化旅游、民政管理等领域行政</w:t>
      </w:r>
      <w:r>
        <w:rPr>
          <w:rFonts w:ascii="Times New Roman" w:eastAsia="方正仿宋_GBK" w:hAnsi="Times New Roman" w:hint="default"/>
          <w:sz w:val="32"/>
          <w:szCs w:val="32"/>
        </w:rPr>
        <w:lastRenderedPageBreak/>
        <w:t>执法权，承担辖区内各类执法机构和执法队伍的综合协调和</w:t>
      </w:r>
      <w:proofErr w:type="gramStart"/>
      <w:r>
        <w:rPr>
          <w:rFonts w:ascii="Times New Roman" w:eastAsia="方正仿宋_GBK" w:hAnsi="Times New Roman" w:hint="default"/>
          <w:sz w:val="32"/>
          <w:szCs w:val="32"/>
        </w:rPr>
        <w:t>联动保障</w:t>
      </w:r>
      <w:proofErr w:type="gramEnd"/>
      <w:r>
        <w:rPr>
          <w:rFonts w:ascii="Times New Roman" w:eastAsia="方正仿宋_GBK" w:hAnsi="Times New Roman" w:hint="default"/>
          <w:sz w:val="32"/>
          <w:szCs w:val="32"/>
        </w:rPr>
        <w:t>工作。</w:t>
      </w:r>
    </w:p>
    <w:p w14:paraId="10B0571F" w14:textId="77777777" w:rsidR="008C33B7" w:rsidRDefault="00000000">
      <w:pPr>
        <w:widowControl w:val="0"/>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8.</w:t>
      </w:r>
      <w:r>
        <w:rPr>
          <w:rFonts w:ascii="Times New Roman" w:eastAsia="方正仿宋_GBK" w:hAnsi="Times New Roman" w:hint="default"/>
          <w:sz w:val="32"/>
          <w:szCs w:val="32"/>
        </w:rPr>
        <w:t>主要负责法制、信访、维稳、社会治安综合治理、防范和处置邪教等职责。</w:t>
      </w:r>
    </w:p>
    <w:p w14:paraId="580AE892" w14:textId="77777777" w:rsidR="008C33B7" w:rsidRDefault="00000000">
      <w:pPr>
        <w:spacing w:line="600" w:lineRule="exact"/>
        <w:ind w:firstLineChars="200" w:firstLine="640"/>
        <w:rPr>
          <w:rFonts w:ascii="Times New Roman" w:eastAsia="楷体_GB2312" w:hAnsi="Times New Roman" w:hint="default"/>
          <w:b/>
          <w:sz w:val="32"/>
          <w:szCs w:val="32"/>
        </w:rPr>
      </w:pPr>
      <w:r>
        <w:rPr>
          <w:rFonts w:ascii="Times New Roman" w:eastAsia="方正仿宋_GBK" w:hAnsi="Times New Roman" w:hint="default"/>
          <w:sz w:val="32"/>
          <w:szCs w:val="32"/>
        </w:rPr>
        <w:t>9.</w:t>
      </w:r>
      <w:r>
        <w:rPr>
          <w:rFonts w:ascii="Times New Roman" w:eastAsia="方正仿宋_GBK" w:hAnsi="Times New Roman" w:hint="default"/>
          <w:sz w:val="32"/>
          <w:szCs w:val="32"/>
        </w:rPr>
        <w:t>主要负责安全生产综合监督、应急管理等职责，协助开展煤矿、非煤矿山、危险化学品、烟花爆竹等安全生产日常监督工作。</w:t>
      </w:r>
    </w:p>
    <w:p w14:paraId="35891E9A" w14:textId="77777777" w:rsidR="008C33B7" w:rsidRDefault="00000000">
      <w:pPr>
        <w:pStyle w:val="a7"/>
        <w:shd w:val="clear" w:color="auto" w:fill="FFFFFF"/>
        <w:spacing w:beforeAutospacing="0" w:after="0" w:afterAutospacing="0" w:line="600" w:lineRule="exact"/>
        <w:ind w:firstLineChars="200" w:firstLine="643"/>
        <w:rPr>
          <w:rStyle w:val="a8"/>
          <w:rFonts w:ascii="方正楷体_GBK" w:eastAsia="方正楷体_GBK" w:hAnsi="方正楷体_GBK" w:cs="方正楷体_GBK" w:hint="default"/>
          <w:sz w:val="32"/>
          <w:szCs w:val="32"/>
          <w:shd w:val="clear" w:color="auto" w:fill="FFFFFF"/>
        </w:rPr>
      </w:pPr>
      <w:r>
        <w:rPr>
          <w:rStyle w:val="a8"/>
          <w:rFonts w:ascii="方正楷体_GBK" w:eastAsia="方正楷体_GBK" w:hAnsi="方正楷体_GBK" w:cs="方正楷体_GBK" w:hint="default"/>
          <w:sz w:val="32"/>
          <w:szCs w:val="32"/>
          <w:shd w:val="clear" w:color="auto" w:fill="FFFFFF"/>
        </w:rPr>
        <w:t>（二）机构设置</w:t>
      </w:r>
    </w:p>
    <w:p w14:paraId="6867D38F" w14:textId="77777777" w:rsidR="008C33B7" w:rsidRDefault="00000000">
      <w:pPr>
        <w:spacing w:after="0" w:line="600"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重庆市沙坪坝区人民政府虎溪街道办事处（本级）设有</w:t>
      </w:r>
      <w:r>
        <w:rPr>
          <w:rFonts w:ascii="Times New Roman" w:eastAsia="方正仿宋_GBK" w:hAnsi="Times New Roman" w:hint="default"/>
          <w:sz w:val="32"/>
          <w:szCs w:val="32"/>
        </w:rPr>
        <w:t>9</w:t>
      </w:r>
      <w:r>
        <w:rPr>
          <w:rFonts w:ascii="Times New Roman" w:eastAsia="方正仿宋_GBK" w:hAnsi="Times New Roman" w:hint="default"/>
          <w:sz w:val="32"/>
          <w:szCs w:val="32"/>
        </w:rPr>
        <w:t>个内设机构，分别是党政办公室、党建工作办公室、经济发展办公室、财政办公室、规划建设管理环保办公室、民政和社区事务办公室、综合行政执法办公室、平安建设办公室和应急管理办公室。</w:t>
      </w:r>
    </w:p>
    <w:p w14:paraId="722BF814" w14:textId="77777777" w:rsidR="008C33B7"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二、单位决算情况说明</w:t>
      </w:r>
    </w:p>
    <w:p w14:paraId="1BD8FD05"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（一）收入支出决算总体情况说明。</w:t>
      </w:r>
    </w:p>
    <w:p w14:paraId="6E6F7611" w14:textId="77777777" w:rsidR="008C33B7" w:rsidRDefault="00000000">
      <w:pPr>
        <w:pStyle w:val="a7"/>
        <w:shd w:val="clear" w:color="auto" w:fill="FFFFFF"/>
        <w:spacing w:beforeAutospacing="0" w:after="0" w:afterAutospacing="0" w:line="600"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7013.42</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7013.42</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2078.66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22.86%</w:t>
      </w:r>
      <w:r>
        <w:rPr>
          <w:rFonts w:ascii="Times New Roman" w:eastAsia="方正仿宋_GBK" w:hAnsi="Times New Roman" w:hint="default"/>
          <w:sz w:val="32"/>
          <w:szCs w:val="32"/>
          <w:shd w:val="clear" w:color="auto" w:fill="FFFFFF"/>
        </w:rPr>
        <w:t>，主要</w:t>
      </w:r>
      <w:r>
        <w:rPr>
          <w:rFonts w:ascii="Times New Roman" w:eastAsia="仿宋_GB2312" w:hAnsi="Times New Roman" w:hint="default"/>
          <w:sz w:val="32"/>
          <w:szCs w:val="32"/>
        </w:rPr>
        <w:t>原因一是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p>
    <w:p w14:paraId="45114E6E"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7013.42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2078.66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22.86%</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7013.42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p>
    <w:p w14:paraId="43FAAD4C"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7013.42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2078.66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22.86%</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1270.31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18.11%</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5743.11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81.89%</w:t>
      </w:r>
      <w:r>
        <w:rPr>
          <w:rFonts w:ascii="Times New Roman" w:eastAsia="方正仿宋_GBK" w:hAnsi="Times New Roman" w:hint="default"/>
          <w:sz w:val="32"/>
          <w:szCs w:val="32"/>
          <w:shd w:val="clear" w:color="auto" w:fill="FFFFFF"/>
        </w:rPr>
        <w:t>。</w:t>
      </w:r>
    </w:p>
    <w:p w14:paraId="02D72690"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年度年末无结转和结余，较上年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12EF0FA6"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（二）财政拨款收入支出决算总体情况说明</w:t>
      </w:r>
    </w:p>
    <w:p w14:paraId="783802A9"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7013.42</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2078.66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22.86%</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p>
    <w:p w14:paraId="17CAF672"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（三）一般公共预算财政拨款收入支出决算情况说明</w:t>
      </w:r>
    </w:p>
    <w:p w14:paraId="605D405D"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6945.3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2114.17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23.34%</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2618.96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60.54%</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年中追加五次经济普查、限上企业培育、基层党组织工作、妇联、社区设备购置、残疾人补助慰问、困难人员、优抚抚恤等专项工作经费。</w:t>
      </w:r>
    </w:p>
    <w:p w14:paraId="747B1E87" w14:textId="77777777" w:rsidR="008C33B7" w:rsidRDefault="00000000">
      <w:pPr>
        <w:pStyle w:val="a7"/>
        <w:snapToGrid w:val="0"/>
        <w:spacing w:before="0" w:beforeAutospacing="0" w:after="0" w:afterAutospacing="0" w:line="600" w:lineRule="exact"/>
        <w:ind w:firstLineChars="200" w:firstLine="643"/>
        <w:jc w:val="both"/>
        <w:rPr>
          <w:rFonts w:ascii="Times New Roman" w:eastAsia="仿宋_GB2312"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6945.3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2114.17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23.34%</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一是</w:t>
      </w:r>
      <w:r>
        <w:rPr>
          <w:rFonts w:ascii="Times New Roman" w:eastAsia="仿宋_GB2312" w:hAnsi="Times New Roman" w:hint="default"/>
          <w:sz w:val="32"/>
          <w:szCs w:val="32"/>
        </w:rPr>
        <w:t>2022</w:t>
      </w:r>
      <w:r>
        <w:rPr>
          <w:rFonts w:ascii="Times New Roman" w:eastAsia="仿宋_GB2312" w:hAnsi="Times New Roman" w:hint="default"/>
          <w:sz w:val="32"/>
          <w:szCs w:val="32"/>
        </w:rPr>
        <w:t>年决算机关</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个事业单位合并到机关本级进行填报，而</w:t>
      </w:r>
      <w:r>
        <w:rPr>
          <w:rFonts w:ascii="Times New Roman" w:eastAsia="仿宋_GB2312" w:hAnsi="Times New Roman" w:hint="default"/>
          <w:sz w:val="32"/>
          <w:szCs w:val="32"/>
        </w:rPr>
        <w:t>2023</w:t>
      </w:r>
      <w:r>
        <w:rPr>
          <w:rFonts w:ascii="Times New Roman" w:eastAsia="仿宋_GB2312" w:hAnsi="Times New Roman" w:hint="default"/>
          <w:sz w:val="32"/>
          <w:szCs w:val="32"/>
        </w:rPr>
        <w:t>年</w:t>
      </w:r>
      <w:r>
        <w:rPr>
          <w:rFonts w:ascii="Times New Roman" w:eastAsia="仿宋_GB2312" w:hAnsi="Times New Roman" w:hint="default"/>
          <w:sz w:val="32"/>
          <w:szCs w:val="32"/>
        </w:rPr>
        <w:t>5</w:t>
      </w:r>
      <w:r>
        <w:rPr>
          <w:rFonts w:ascii="Times New Roman" w:eastAsia="仿宋_GB2312" w:hAnsi="Times New Roman" w:hint="default"/>
          <w:sz w:val="32"/>
          <w:szCs w:val="32"/>
        </w:rPr>
        <w:t>个事业单位单独填报，二是</w:t>
      </w:r>
      <w:r>
        <w:rPr>
          <w:rFonts w:ascii="Times New Roman" w:eastAsia="仿宋_GB2312" w:hAnsi="Times New Roman" w:hint="default"/>
          <w:sz w:val="32"/>
          <w:szCs w:val="32"/>
        </w:rPr>
        <w:t>2023</w:t>
      </w:r>
      <w:r>
        <w:rPr>
          <w:rFonts w:ascii="Times New Roman" w:eastAsia="仿宋_GB2312" w:hAnsi="Times New Roman" w:hint="default"/>
          <w:sz w:val="32"/>
          <w:szCs w:val="32"/>
        </w:rPr>
        <w:t>年年中减少疫情等专项经费追加。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2618.96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60.54%</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年中追加五次经济普查、限上企业培育、基层党组织工作、妇联、社区设备购置、残疾人补助慰问、困难人员、优抚抚恤等专项工作经费。</w:t>
      </w:r>
    </w:p>
    <w:p w14:paraId="324F0CB7"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年度年末一般公共预算财政拨款无结转和结余，较上年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1DA7A312"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4327B42B"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2268.35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32.66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644.8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39.72%</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主要</w:t>
      </w:r>
      <w:r>
        <w:rPr>
          <w:rFonts w:ascii="Times New Roman" w:eastAsia="仿宋_GB2312" w:hAnsi="Times New Roman" w:hint="default"/>
          <w:sz w:val="32"/>
          <w:szCs w:val="32"/>
        </w:rPr>
        <w:t>原因是年中追加五次经济普查、限上企业培育、基层党组织工作和妇联等专项工作经费。</w:t>
      </w:r>
    </w:p>
    <w:p w14:paraId="6537AC29"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）公共安全支出</w:t>
      </w:r>
      <w:r>
        <w:rPr>
          <w:rFonts w:ascii="Times New Roman" w:eastAsia="方正仿宋_GBK" w:hAnsi="Times New Roman" w:hint="default"/>
          <w:sz w:val="32"/>
          <w:szCs w:val="32"/>
        </w:rPr>
        <w:t>227.55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3.28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9.05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3.83%</w:t>
      </w:r>
      <w:r>
        <w:rPr>
          <w:rFonts w:ascii="Times New Roman" w:eastAsia="方正仿宋_GBK" w:hAnsi="Times New Roman" w:hint="default"/>
          <w:sz w:val="32"/>
          <w:szCs w:val="32"/>
          <w:shd w:val="clear" w:color="auto" w:fill="FFFFFF"/>
        </w:rPr>
        <w:t>，主要原因是公共安全服务工作厉行节约、注重工作效率。</w:t>
      </w:r>
    </w:p>
    <w:p w14:paraId="23D4993B"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）科学技术支出</w:t>
      </w:r>
      <w:r>
        <w:rPr>
          <w:rFonts w:ascii="Times New Roman" w:eastAsia="方正仿宋_GBK" w:hAnsi="Times New Roman" w:hint="default"/>
          <w:sz w:val="32"/>
          <w:szCs w:val="32"/>
        </w:rPr>
        <w:t>2.95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，主要原因是年中追加相关工作经费。</w:t>
      </w:r>
    </w:p>
    <w:p w14:paraId="2E073B56"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15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0.22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，主要原因是年中追加</w:t>
      </w:r>
      <w:r>
        <w:rPr>
          <w:rFonts w:ascii="Times New Roman" w:eastAsia="方正仿宋_GBK" w:hAnsi="Times New Roman"/>
          <w:sz w:val="32"/>
          <w:szCs w:val="32"/>
          <w:shd w:val="clear" w:color="auto" w:fill="FFFFFF"/>
        </w:rPr>
        <w:t>文化等</w:t>
      </w:r>
      <w:r>
        <w:rPr>
          <w:rFonts w:ascii="Times New Roman" w:eastAsia="方正仿宋_GBK" w:hAnsi="Times New Roman" w:hint="default"/>
          <w:sz w:val="32"/>
          <w:szCs w:val="32"/>
          <w:shd w:val="clear" w:color="auto" w:fill="FFFFFF"/>
        </w:rPr>
        <w:t>相关工作经费。</w:t>
      </w:r>
    </w:p>
    <w:p w14:paraId="667C0FFB" w14:textId="77777777" w:rsidR="008C33B7"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2100.53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30.24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520.56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32.95%</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年中追加社区设备购置、残疾人补助慰问、困难人员、优抚抚恤等专项经费。</w:t>
      </w:r>
    </w:p>
    <w:p w14:paraId="407E03CC" w14:textId="77777777" w:rsidR="008C33B7"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302.18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4.35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84.39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38.75%</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年中追加</w:t>
      </w:r>
      <w:proofErr w:type="gramStart"/>
      <w:r>
        <w:rPr>
          <w:rFonts w:ascii="Times New Roman" w:eastAsia="仿宋_GB2312" w:hAnsi="Times New Roman" w:hint="default"/>
          <w:sz w:val="32"/>
          <w:szCs w:val="32"/>
        </w:rPr>
        <w:t>计生特扶资金</w:t>
      </w:r>
      <w:proofErr w:type="gramEnd"/>
      <w:r>
        <w:rPr>
          <w:rFonts w:ascii="Times New Roman" w:eastAsia="仿宋_GB2312" w:hAnsi="Times New Roman" w:hint="default"/>
          <w:sz w:val="32"/>
          <w:szCs w:val="32"/>
        </w:rPr>
        <w:t>、优抚对象医疗补助等专项经费。</w:t>
      </w:r>
    </w:p>
    <w:p w14:paraId="3D648D5D" w14:textId="77777777" w:rsidR="008C33B7"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860.5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12.39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419.51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95.13%</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主要原因是</w:t>
      </w:r>
      <w:r>
        <w:rPr>
          <w:rFonts w:ascii="Times New Roman" w:eastAsia="仿宋_GB2312" w:hAnsi="Times New Roman" w:hint="default"/>
          <w:sz w:val="32"/>
          <w:szCs w:val="32"/>
        </w:rPr>
        <w:t>年中追加生活垃圾分类等专项经费。</w:t>
      </w:r>
    </w:p>
    <w:p w14:paraId="559003F9"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141.36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67.62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91.7%</w:t>
      </w:r>
      <w:r>
        <w:rPr>
          <w:rFonts w:ascii="Times New Roman" w:eastAsia="方正仿宋_GBK" w:hAnsi="Times New Roman" w:hint="default"/>
          <w:sz w:val="32"/>
          <w:szCs w:val="32"/>
          <w:shd w:val="clear" w:color="auto" w:fill="FFFFFF"/>
        </w:rPr>
        <w:t>，主要原因是年中追加地灾防治等相关工作经费。</w:t>
      </w:r>
    </w:p>
    <w:p w14:paraId="10F54379" w14:textId="77777777" w:rsidR="008C33B7"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）交通运输支出</w:t>
      </w:r>
      <w:r>
        <w:rPr>
          <w:rFonts w:ascii="Times New Roman" w:eastAsia="方正仿宋_GBK" w:hAnsi="Times New Roman" w:hint="default"/>
          <w:sz w:val="32"/>
          <w:szCs w:val="32"/>
        </w:rPr>
        <w:t>66.52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0.96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66.51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sz w:val="32"/>
          <w:szCs w:val="32"/>
        </w:rPr>
        <w:t>年中</w:t>
      </w:r>
      <w:r>
        <w:rPr>
          <w:rFonts w:ascii="Times New Roman" w:eastAsia="仿宋_GB2312" w:hAnsi="Times New Roman" w:hint="default"/>
          <w:sz w:val="32"/>
          <w:szCs w:val="32"/>
        </w:rPr>
        <w:t>追加邹王路改扩建工程尾款</w:t>
      </w:r>
      <w:r>
        <w:rPr>
          <w:rFonts w:ascii="Times New Roman" w:eastAsia="仿宋_GB2312" w:hAnsi="Times New Roman" w:hint="default"/>
          <w:sz w:val="32"/>
          <w:szCs w:val="32"/>
        </w:rPr>
        <w:t>66.51</w:t>
      </w:r>
      <w:r>
        <w:rPr>
          <w:rFonts w:ascii="Times New Roman" w:eastAsia="仿宋_GB2312" w:hAnsi="Times New Roman" w:hint="default"/>
          <w:sz w:val="32"/>
          <w:szCs w:val="32"/>
        </w:rPr>
        <w:t>万元。</w:t>
      </w:r>
    </w:p>
    <w:p w14:paraId="2C2A2E88" w14:textId="77777777" w:rsidR="008C33B7"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10</w:t>
      </w:r>
      <w:r>
        <w:rPr>
          <w:rFonts w:ascii="Times New Roman" w:eastAsia="方正仿宋_GBK" w:hAnsi="Times New Roman" w:hint="default"/>
          <w:sz w:val="32"/>
          <w:szCs w:val="32"/>
          <w:shd w:val="clear" w:color="auto" w:fill="FFFFFF"/>
        </w:rPr>
        <w:t>）资源勘探信息等支出</w:t>
      </w:r>
      <w:r>
        <w:rPr>
          <w:rFonts w:ascii="Times New Roman" w:eastAsia="方正仿宋_GBK" w:hAnsi="Times New Roman" w:hint="default"/>
          <w:sz w:val="32"/>
          <w:szCs w:val="32"/>
        </w:rPr>
        <w:t>35.56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0.51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35.56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sz w:val="32"/>
          <w:szCs w:val="32"/>
        </w:rPr>
        <w:t>年中</w:t>
      </w:r>
      <w:r>
        <w:rPr>
          <w:rFonts w:ascii="Times New Roman" w:eastAsia="仿宋_GB2312" w:hAnsi="Times New Roman" w:hint="default"/>
          <w:sz w:val="32"/>
          <w:szCs w:val="32"/>
        </w:rPr>
        <w:t>追加机关节约用电经费</w:t>
      </w:r>
      <w:r>
        <w:rPr>
          <w:rFonts w:ascii="Times New Roman" w:eastAsia="仿宋_GB2312" w:hAnsi="Times New Roman" w:hint="default"/>
          <w:sz w:val="32"/>
          <w:szCs w:val="32"/>
        </w:rPr>
        <w:t>35.56</w:t>
      </w:r>
      <w:r>
        <w:rPr>
          <w:rFonts w:ascii="Times New Roman" w:eastAsia="仿宋_GB2312" w:hAnsi="Times New Roman" w:hint="default"/>
          <w:sz w:val="32"/>
          <w:szCs w:val="32"/>
        </w:rPr>
        <w:t>万元。</w:t>
      </w:r>
    </w:p>
    <w:p w14:paraId="6947EC5F" w14:textId="77777777" w:rsidR="008C33B7" w:rsidRDefault="00000000">
      <w:pPr>
        <w:snapToGrid w:val="0"/>
        <w:spacing w:line="52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自然资源海洋气象等支出</w:t>
      </w:r>
      <w:r>
        <w:rPr>
          <w:rFonts w:ascii="Times New Roman" w:eastAsia="方正仿宋_GBK" w:hAnsi="Times New Roman" w:hint="default"/>
          <w:sz w:val="32"/>
          <w:szCs w:val="32"/>
        </w:rPr>
        <w:t>750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750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sz w:val="32"/>
          <w:szCs w:val="32"/>
        </w:rPr>
        <w:t>年中</w:t>
      </w:r>
      <w:r>
        <w:rPr>
          <w:rFonts w:ascii="Times New Roman" w:eastAsia="仿宋_GB2312" w:hAnsi="Times New Roman" w:hint="default"/>
          <w:sz w:val="32"/>
          <w:szCs w:val="32"/>
        </w:rPr>
        <w:t>追加洪灾安置房项目工作经费</w:t>
      </w:r>
      <w:r>
        <w:rPr>
          <w:rFonts w:ascii="Times New Roman" w:eastAsia="仿宋_GB2312" w:hAnsi="Times New Roman" w:hint="default"/>
          <w:sz w:val="32"/>
          <w:szCs w:val="32"/>
        </w:rPr>
        <w:t>750</w:t>
      </w:r>
      <w:r>
        <w:rPr>
          <w:rFonts w:ascii="Times New Roman" w:eastAsia="仿宋_GB2312" w:hAnsi="Times New Roman" w:hint="default"/>
          <w:sz w:val="32"/>
          <w:szCs w:val="32"/>
        </w:rPr>
        <w:t>万元。</w:t>
      </w:r>
    </w:p>
    <w:p w14:paraId="0743F7F8" w14:textId="77777777" w:rsidR="008C33B7" w:rsidRDefault="00000000">
      <w:pPr>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107.55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1.55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3.67%</w:t>
      </w:r>
      <w:r>
        <w:rPr>
          <w:rFonts w:ascii="Times New Roman" w:eastAsia="方正仿宋_GBK" w:hAnsi="Times New Roman" w:hint="default"/>
          <w:sz w:val="32"/>
          <w:szCs w:val="32"/>
          <w:shd w:val="clear" w:color="auto" w:fill="FFFFFF"/>
        </w:rPr>
        <w:t>，主要原因是本单位年中有人员变动。</w:t>
      </w:r>
    </w:p>
    <w:p w14:paraId="558C9772" w14:textId="77777777" w:rsidR="008C33B7" w:rsidRDefault="00000000">
      <w:pPr>
        <w:spacing w:line="600" w:lineRule="exact"/>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67.26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0.96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34.63%</w:t>
      </w:r>
      <w:r>
        <w:rPr>
          <w:rFonts w:ascii="Times New Roman" w:eastAsia="方正仿宋_GBK" w:hAnsi="Times New Roman" w:hint="default"/>
          <w:sz w:val="32"/>
          <w:szCs w:val="32"/>
          <w:shd w:val="clear" w:color="auto" w:fill="FFFFFF"/>
        </w:rPr>
        <w:t>，主要原因是年中追加应急等相关工作经费。</w:t>
      </w:r>
    </w:p>
    <w:p w14:paraId="0D9ACCA7"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lastRenderedPageBreak/>
        <w:t>（四）一般公共预算财政拨款基本支出决算情况说明</w:t>
      </w:r>
    </w:p>
    <w:p w14:paraId="06A9ED27"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1270.31</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1049.57</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590.77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36.02%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2022</w:t>
      </w:r>
      <w:r>
        <w:rPr>
          <w:rFonts w:ascii="Times New Roman" w:eastAsia="方正仿宋_GBK"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人员经费用途主要包括工资、保险、公积金等。公用经费</w:t>
      </w:r>
      <w:r>
        <w:rPr>
          <w:rFonts w:ascii="Times New Roman" w:eastAsia="方正仿宋_GBK" w:hAnsi="Times New Roman" w:hint="default"/>
          <w:sz w:val="32"/>
          <w:szCs w:val="32"/>
        </w:rPr>
        <w:t>220.75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164.71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42.73%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本单位严控办公经费，</w:t>
      </w:r>
      <w:r>
        <w:rPr>
          <w:rFonts w:ascii="Times New Roman" w:eastAsia="方正仿宋_GBK" w:hAnsi="Times New Roman"/>
          <w:sz w:val="32"/>
          <w:szCs w:val="32"/>
        </w:rPr>
        <w:t>严格落实过“</w:t>
      </w:r>
      <w:r>
        <w:rPr>
          <w:rFonts w:ascii="Times New Roman" w:eastAsia="方正仿宋_GBK" w:hAnsi="Times New Roman" w:hint="default"/>
          <w:sz w:val="32"/>
          <w:szCs w:val="32"/>
        </w:rPr>
        <w:t>紧日子</w:t>
      </w:r>
      <w:r>
        <w:rPr>
          <w:rFonts w:ascii="Times New Roman" w:eastAsia="方正仿宋_GBK" w:hAnsi="Times New Roman"/>
          <w:sz w:val="32"/>
          <w:szCs w:val="32"/>
        </w:rPr>
        <w:t>”的要求</w:t>
      </w:r>
      <w:r>
        <w:rPr>
          <w:rFonts w:ascii="Times New Roman" w:eastAsia="方正仿宋_GBK" w:hAnsi="Times New Roman" w:hint="default"/>
          <w:sz w:val="32"/>
          <w:szCs w:val="32"/>
        </w:rPr>
        <w:t>。</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hint="default"/>
          <w:sz w:val="32"/>
          <w:szCs w:val="32"/>
        </w:rPr>
        <w:t>办公费、水费、电费、物业管理费、劳务费等。</w:t>
      </w:r>
    </w:p>
    <w:p w14:paraId="3FFB9369"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（五）政府性基金预算收支决算情况说明</w:t>
      </w:r>
    </w:p>
    <w:p w14:paraId="3152FD5C"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年度政府性基金预算财政拨款年初无结转结余，年末无结转结余。本年收入</w:t>
      </w:r>
      <w:r>
        <w:rPr>
          <w:rFonts w:ascii="Times New Roman" w:eastAsia="方正仿宋_GBK" w:hAnsi="Times New Roman" w:hint="default"/>
          <w:sz w:val="32"/>
          <w:szCs w:val="32"/>
        </w:rPr>
        <w:t>68.13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42.38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164.58%</w:t>
      </w:r>
      <w:r>
        <w:rPr>
          <w:rFonts w:ascii="Times New Roman" w:eastAsia="方正仿宋_GBK" w:hAnsi="Times New Roman" w:hint="default"/>
          <w:sz w:val="32"/>
          <w:szCs w:val="32"/>
          <w:shd w:val="clear" w:color="auto" w:fill="FFFFFF"/>
        </w:rPr>
        <w:t>，主要原因是年中追加社区养老服务站建设补助经费、区级体彩公益金分成项目等专项工作经费。本年支出</w:t>
      </w:r>
      <w:r>
        <w:rPr>
          <w:rFonts w:ascii="Times New Roman" w:eastAsia="方正仿宋_GBK" w:hAnsi="Times New Roman" w:hint="default"/>
          <w:sz w:val="32"/>
          <w:szCs w:val="32"/>
        </w:rPr>
        <w:t>68.13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42.38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164.58%</w:t>
      </w:r>
      <w:r>
        <w:rPr>
          <w:rFonts w:ascii="Times New Roman" w:eastAsia="方正仿宋_GBK" w:hAnsi="Times New Roman" w:hint="default"/>
          <w:sz w:val="32"/>
          <w:szCs w:val="32"/>
          <w:shd w:val="clear" w:color="auto" w:fill="FFFFFF"/>
        </w:rPr>
        <w:t>，主要原因是年中追加社区养老服务站建设补助经费、区级体彩公益金分成项目等专项工作经费。</w:t>
      </w:r>
    </w:p>
    <w:p w14:paraId="57CE8092"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（六）国有资本经营预算财政拨款支出决算情况说明</w:t>
      </w:r>
    </w:p>
    <w:p w14:paraId="28274C30"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06A29D8A" w14:textId="77777777" w:rsidR="008C33B7"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三、“三公”经费情况说明</w:t>
      </w:r>
    </w:p>
    <w:p w14:paraId="27827147"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lastRenderedPageBreak/>
        <w:t>（一）</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经费支出总体情况说明</w:t>
      </w:r>
    </w:p>
    <w:p w14:paraId="524088D5"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4.57</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10.43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69.53%</w:t>
      </w:r>
      <w:r>
        <w:rPr>
          <w:rFonts w:ascii="Times New Roman" w:eastAsia="方正仿宋_GBK" w:hAnsi="Times New Roman" w:hint="default"/>
          <w:sz w:val="32"/>
          <w:szCs w:val="32"/>
          <w:shd w:val="clear" w:color="auto" w:fill="FFFFFF"/>
        </w:rPr>
        <w:t>，主要原因是本单位厉行节约，高效使用公务车。较上年支出数减少</w:t>
      </w:r>
      <w:r>
        <w:rPr>
          <w:rFonts w:ascii="Times New Roman" w:eastAsia="方正仿宋_GBK" w:hAnsi="Times New Roman" w:hint="default"/>
          <w:sz w:val="32"/>
          <w:szCs w:val="32"/>
          <w:shd w:val="clear" w:color="auto" w:fill="FFFFFF"/>
        </w:rPr>
        <w:t>5.18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53.13%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2022</w:t>
      </w:r>
      <w:r>
        <w:rPr>
          <w:rFonts w:ascii="Times New Roman" w:eastAsia="方正仿宋_GBK" w:hAnsi="Times New Roman" w:hint="default"/>
          <w:sz w:val="32"/>
          <w:szCs w:val="32"/>
        </w:rPr>
        <w:t>年</w:t>
      </w:r>
      <w:r>
        <w:rPr>
          <w:rFonts w:ascii="Times New Roman" w:eastAsia="方正仿宋_GBK" w:hAnsi="Times New Roman"/>
          <w:sz w:val="32"/>
          <w:szCs w:val="32"/>
        </w:rPr>
        <w:t>“</w:t>
      </w:r>
      <w:r>
        <w:rPr>
          <w:rFonts w:ascii="Times New Roman" w:eastAsia="方正仿宋_GBK" w:hAnsi="Times New Roman" w:hint="default"/>
          <w:sz w:val="32"/>
          <w:szCs w:val="32"/>
        </w:rPr>
        <w:t>三公</w:t>
      </w:r>
      <w:r>
        <w:rPr>
          <w:rFonts w:ascii="Times New Roman" w:eastAsia="方正仿宋_GBK" w:hAnsi="Times New Roman"/>
          <w:sz w:val="32"/>
          <w:szCs w:val="32"/>
        </w:rPr>
        <w:t>”</w:t>
      </w:r>
      <w:r>
        <w:rPr>
          <w:rFonts w:ascii="Times New Roman" w:eastAsia="方正仿宋_GBK" w:hAnsi="Times New Roman" w:hint="default"/>
          <w:sz w:val="32"/>
          <w:szCs w:val="32"/>
        </w:rPr>
        <w:t>经费合并到机关本级进行填报。</w:t>
      </w:r>
    </w:p>
    <w:p w14:paraId="10CE3DA1"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经费分项支出情况</w:t>
      </w:r>
    </w:p>
    <w:p w14:paraId="531F12B1"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年度本单位无因公出国（境）费用、公务车购置费、和公务接待费。</w:t>
      </w:r>
    </w:p>
    <w:p w14:paraId="6A1CFBE5"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4.57</w:t>
      </w:r>
      <w:r>
        <w:rPr>
          <w:rFonts w:ascii="Times New Roman" w:eastAsia="方正仿宋_GBK" w:hAnsi="Times New Roman" w:hint="default"/>
          <w:sz w:val="32"/>
          <w:szCs w:val="32"/>
          <w:shd w:val="clear" w:color="auto" w:fill="FFFFFF"/>
        </w:rPr>
        <w:t>万元，主要用于公务车维修保养、加油费、洗停车费等。费用支出较年初预算数减少</w:t>
      </w:r>
      <w:r>
        <w:rPr>
          <w:rFonts w:ascii="Times New Roman" w:eastAsia="方正仿宋_GBK" w:hAnsi="Times New Roman" w:hint="default"/>
          <w:sz w:val="32"/>
          <w:szCs w:val="32"/>
          <w:shd w:val="clear" w:color="auto" w:fill="FFFFFF"/>
        </w:rPr>
        <w:t>10.43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69.53%</w:t>
      </w:r>
      <w:r>
        <w:rPr>
          <w:rFonts w:ascii="Times New Roman" w:eastAsia="方正仿宋_GBK" w:hAnsi="Times New Roman" w:hint="default"/>
          <w:sz w:val="32"/>
          <w:szCs w:val="32"/>
          <w:shd w:val="clear" w:color="auto" w:fill="FFFFFF"/>
        </w:rPr>
        <w:t>，主要原因是本单位厉行节约，高效使用公务车。较上年支出数减少</w:t>
      </w:r>
      <w:r>
        <w:rPr>
          <w:rFonts w:ascii="Times New Roman" w:eastAsia="方正仿宋_GBK" w:hAnsi="Times New Roman" w:hint="default"/>
          <w:sz w:val="32"/>
          <w:szCs w:val="32"/>
          <w:shd w:val="clear" w:color="auto" w:fill="FFFFFF"/>
        </w:rPr>
        <w:t>5.18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53.13%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2022</w:t>
      </w:r>
      <w:r>
        <w:rPr>
          <w:rFonts w:ascii="Times New Roman" w:eastAsia="方正仿宋_GBK" w:hAnsi="Times New Roman" w:hint="default"/>
          <w:sz w:val="32"/>
          <w:szCs w:val="32"/>
        </w:rPr>
        <w:t>年</w:t>
      </w:r>
      <w:r>
        <w:rPr>
          <w:rFonts w:ascii="Times New Roman" w:eastAsia="方正仿宋_GBK" w:hAnsi="Times New Roman"/>
          <w:sz w:val="32"/>
          <w:szCs w:val="32"/>
        </w:rPr>
        <w:t>“</w:t>
      </w:r>
      <w:r>
        <w:rPr>
          <w:rFonts w:ascii="Times New Roman" w:eastAsia="方正仿宋_GBK" w:hAnsi="Times New Roman" w:hint="default"/>
          <w:sz w:val="32"/>
          <w:szCs w:val="32"/>
        </w:rPr>
        <w:t>三公</w:t>
      </w:r>
      <w:r>
        <w:rPr>
          <w:rFonts w:ascii="Times New Roman" w:eastAsia="方正仿宋_GBK" w:hAnsi="Times New Roman"/>
          <w:sz w:val="32"/>
          <w:szCs w:val="32"/>
        </w:rPr>
        <w:t>”</w:t>
      </w:r>
      <w:r>
        <w:rPr>
          <w:rFonts w:ascii="Times New Roman" w:eastAsia="方正仿宋_GBK" w:hAnsi="Times New Roman" w:hint="default"/>
          <w:sz w:val="32"/>
          <w:szCs w:val="32"/>
        </w:rPr>
        <w:t>经费合并到机关本级进行填报。</w:t>
      </w:r>
    </w:p>
    <w:p w14:paraId="74F87A19"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经费实物量情况</w:t>
      </w:r>
    </w:p>
    <w:p w14:paraId="7B70FF39"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年度本单位</w:t>
      </w:r>
      <w:r>
        <w:rPr>
          <w:rFonts w:ascii="Times New Roman" w:eastAsia="方正仿宋_GBK" w:hAnsi="Times New Roman" w:hint="default"/>
          <w:sz w:val="32"/>
          <w:szCs w:val="32"/>
          <w:shd w:val="clear" w:color="auto" w:fill="FFFFFF"/>
        </w:rPr>
        <w:t>公务车保有量为</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辆，车均维护费</w:t>
      </w:r>
      <w:r>
        <w:rPr>
          <w:rFonts w:ascii="Times New Roman" w:eastAsia="方正仿宋_GBK" w:hAnsi="Times New Roman" w:hint="default"/>
          <w:sz w:val="32"/>
          <w:szCs w:val="32"/>
        </w:rPr>
        <w:t>1.52</w:t>
      </w:r>
      <w:r>
        <w:rPr>
          <w:rFonts w:ascii="Times New Roman" w:eastAsia="方正仿宋_GBK" w:hAnsi="Times New Roman" w:hint="default"/>
          <w:sz w:val="32"/>
          <w:szCs w:val="32"/>
          <w:shd w:val="clear" w:color="auto" w:fill="FFFFFF"/>
        </w:rPr>
        <w:t>万元。</w:t>
      </w:r>
    </w:p>
    <w:p w14:paraId="38FC2E82" w14:textId="77777777" w:rsidR="008C33B7"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四、其他需要说明的事项</w:t>
      </w:r>
    </w:p>
    <w:p w14:paraId="3D91145B"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（一）财政拨款会议费和培训费情况说明</w:t>
      </w:r>
    </w:p>
    <w:p w14:paraId="01C6CCD1"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本年度无会议费支出，较上年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1.44</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1.34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48.2%</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42AC14AA"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（二）机关运行经费情况说明</w:t>
      </w:r>
    </w:p>
    <w:p w14:paraId="5EA19413"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220.75</w:t>
      </w:r>
      <w:r>
        <w:rPr>
          <w:rFonts w:ascii="Times New Roman" w:eastAsia="方正仿宋_GBK" w:hAnsi="Times New Roman" w:hint="default"/>
          <w:sz w:val="32"/>
          <w:szCs w:val="32"/>
          <w:shd w:val="clear" w:color="auto" w:fill="FFFFFF"/>
        </w:rPr>
        <w:t>万元，机关运行经费主要用于开支办公费、电费、水费、邮电费、物业管理费、劳务费等。机关运行经费较上年支出数减少</w:t>
      </w:r>
      <w:r>
        <w:rPr>
          <w:rFonts w:ascii="Times New Roman" w:eastAsia="方正仿宋_GBK" w:hAnsi="Times New Roman" w:hint="default"/>
          <w:sz w:val="32"/>
          <w:szCs w:val="32"/>
          <w:shd w:val="clear" w:color="auto" w:fill="FFFFFF"/>
        </w:rPr>
        <w:t>86.68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28.2%</w:t>
      </w:r>
      <w:r>
        <w:rPr>
          <w:rFonts w:ascii="Times New Roman" w:eastAsia="方正仿宋_GBK" w:hAnsi="Times New Roman" w:hint="default"/>
          <w:sz w:val="32"/>
          <w:szCs w:val="32"/>
          <w:shd w:val="clear" w:color="auto" w:fill="FFFFFF"/>
        </w:rPr>
        <w:t>，主要原因是本单位厉行节约，</w:t>
      </w:r>
      <w:r>
        <w:rPr>
          <w:rFonts w:ascii="Times New Roman" w:eastAsia="方正仿宋_GBK" w:hAnsi="Times New Roman"/>
          <w:sz w:val="32"/>
          <w:szCs w:val="32"/>
        </w:rPr>
        <w:t>严格落实过“</w:t>
      </w:r>
      <w:r>
        <w:rPr>
          <w:rFonts w:ascii="Times New Roman" w:eastAsia="方正仿宋_GBK" w:hAnsi="Times New Roman" w:hint="default"/>
          <w:sz w:val="32"/>
          <w:szCs w:val="32"/>
        </w:rPr>
        <w:t>紧日子</w:t>
      </w:r>
      <w:r>
        <w:rPr>
          <w:rFonts w:ascii="Times New Roman" w:eastAsia="方正仿宋_GBK" w:hAnsi="Times New Roman"/>
          <w:sz w:val="32"/>
          <w:szCs w:val="32"/>
        </w:rPr>
        <w:t>”的要求</w:t>
      </w:r>
      <w:r>
        <w:rPr>
          <w:rFonts w:ascii="Times New Roman" w:eastAsia="方正仿宋_GBK" w:hAnsi="Times New Roman" w:hint="default"/>
          <w:sz w:val="32"/>
          <w:szCs w:val="32"/>
          <w:shd w:val="clear" w:color="auto" w:fill="FFFFFF"/>
        </w:rPr>
        <w:t>。</w:t>
      </w:r>
    </w:p>
    <w:p w14:paraId="77BA9755"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（三）国有资产占用情况说明</w:t>
      </w:r>
    </w:p>
    <w:p w14:paraId="4C4C9070"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3</w:t>
      </w:r>
      <w:r>
        <w:rPr>
          <w:rFonts w:ascii="Times New Roman" w:eastAsia="方正仿宋_GBK" w:hAnsi="Times New Roman" w:hint="default"/>
          <w:sz w:val="32"/>
          <w:szCs w:val="32"/>
          <w:shd w:val="clear" w:color="auto" w:fill="FFFFFF"/>
        </w:rPr>
        <w:t>辆，其中，机要通信用车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辆。无单价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p>
    <w:p w14:paraId="304DFC91"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（四）政府采购支出情况说明</w:t>
      </w:r>
    </w:p>
    <w:p w14:paraId="3ADF2563"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507.57</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503.57</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507.57</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507.57</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。主要用于采购办公电脑、</w:t>
      </w:r>
      <w:r>
        <w:rPr>
          <w:rFonts w:ascii="Times New Roman" w:eastAsia="方正仿宋_GBK" w:hAnsi="Times New Roman" w:hint="default"/>
          <w:sz w:val="32"/>
          <w:szCs w:val="32"/>
          <w:shd w:val="clear" w:color="auto" w:fill="FFFFFF"/>
        </w:rPr>
        <w:t>2023-2026</w:t>
      </w:r>
      <w:r>
        <w:rPr>
          <w:rFonts w:ascii="Times New Roman" w:eastAsia="方正仿宋_GBK" w:hAnsi="Times New Roman" w:hint="default"/>
          <w:sz w:val="32"/>
          <w:szCs w:val="32"/>
          <w:shd w:val="clear" w:color="auto" w:fill="FFFFFF"/>
        </w:rPr>
        <w:t>年市政设施维修维护。</w:t>
      </w:r>
    </w:p>
    <w:p w14:paraId="1DAA1139" w14:textId="77777777" w:rsidR="008C33B7" w:rsidRDefault="00000000">
      <w:pPr>
        <w:pStyle w:val="a7"/>
        <w:numPr>
          <w:ilvl w:val="0"/>
          <w:numId w:val="1"/>
        </w:numPr>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lastRenderedPageBreak/>
        <w:t>预算绩效管理情况说明</w:t>
      </w:r>
    </w:p>
    <w:p w14:paraId="20636B69"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（一）单位自评情况</w:t>
      </w:r>
    </w:p>
    <w:p w14:paraId="211C5B5C" w14:textId="77777777" w:rsidR="008C33B7"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71</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hint="eastAsia"/>
          <w:sz w:val="32"/>
          <w:szCs w:val="32"/>
          <w:shd w:val="clear" w:color="auto" w:fill="FFFFFF"/>
        </w:rPr>
        <w:t>5743.11</w:t>
      </w:r>
      <w:r>
        <w:rPr>
          <w:rFonts w:ascii="Times New Roman" w:eastAsia="方正仿宋_GBK" w:hAnsi="Times New Roman"/>
          <w:sz w:val="32"/>
          <w:szCs w:val="32"/>
          <w:shd w:val="clear" w:color="auto" w:fill="FFFFFF"/>
        </w:rPr>
        <w:t>万元</w:t>
      </w:r>
      <w:r>
        <w:rPr>
          <w:rFonts w:ascii="Times New Roman" w:eastAsia="方正仿宋_GBK" w:hAnsi="Times New Roman" w:hint="eastAsia"/>
          <w:sz w:val="32"/>
          <w:szCs w:val="32"/>
          <w:shd w:val="clear" w:color="auto" w:fill="FFFFFF"/>
        </w:rPr>
        <w:t>。</w:t>
      </w:r>
    </w:p>
    <w:p w14:paraId="57E9A572" w14:textId="77777777" w:rsidR="008C33B7" w:rsidRDefault="00000000">
      <w:pPr>
        <w:pStyle w:val="Char"/>
        <w:spacing w:before="0" w:beforeAutospacing="0" w:after="0" w:afterAutospacing="0" w:line="600" w:lineRule="exact"/>
        <w:ind w:firstLineChars="200" w:firstLine="560"/>
        <w:rPr>
          <w:rFonts w:ascii="Times New Roman" w:eastAsia="楷体" w:hAnsi="Times New Roman"/>
          <w:b/>
          <w:bCs/>
          <w:sz w:val="32"/>
          <w:szCs w:val="32"/>
          <w:shd w:val="clear" w:color="auto" w:fill="FFFFFF"/>
        </w:rPr>
      </w:pPr>
      <w:r>
        <w:rPr>
          <w:rFonts w:ascii="Times New Roman" w:eastAsia="方正仿宋_GBK" w:hAnsi="Times New Roman"/>
          <w:sz w:val="28"/>
          <w:szCs w:val="28"/>
          <w:shd w:val="clear" w:color="auto" w:fill="FFFFFF"/>
        </w:rPr>
        <w:t>项目支出绩效自评表（二级项目）：见附件</w:t>
      </w:r>
    </w:p>
    <w:p w14:paraId="397CFC21"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（二）单位绩效评价情况</w:t>
      </w:r>
    </w:p>
    <w:p w14:paraId="0AE13F2E" w14:textId="77777777" w:rsidR="008C33B7" w:rsidRDefault="00000000">
      <w:pPr>
        <w:pStyle w:val="1"/>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7E417C3B" w14:textId="77777777" w:rsidR="008C33B7"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（三）财政绩效评价情况</w:t>
      </w:r>
    </w:p>
    <w:p w14:paraId="3147F04D" w14:textId="77777777" w:rsidR="008C33B7" w:rsidRDefault="00000000">
      <w:pPr>
        <w:pStyle w:val="2"/>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重庆高新区财政局未委托第三方对我单位开展绩效评价。</w:t>
      </w:r>
    </w:p>
    <w:p w14:paraId="2FDA8008" w14:textId="77777777" w:rsidR="008C33B7"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六、专业名词解释</w:t>
      </w:r>
    </w:p>
    <w:p w14:paraId="6C6E8660"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Fonts w:ascii="Times New Roman" w:eastAsia="楷体" w:hAnsi="Times New Roman" w:hint="default"/>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6725F80D"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36A9E935"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2F6471F8"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w:t>
      </w:r>
      <w:r>
        <w:rPr>
          <w:rFonts w:ascii="Times New Roman" w:eastAsia="方正仿宋_GBK" w:hAnsi="Times New Roman" w:hint="default"/>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74F728"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113A9EFD"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10F20124"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2F228285"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14:paraId="59F5E3E2"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外的其他支出。</w:t>
      </w:r>
    </w:p>
    <w:p w14:paraId="49343E73"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lastRenderedPageBreak/>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14:paraId="744CAA73"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3C33F477"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（十二）</w:t>
      </w:r>
      <w:r>
        <w:rPr>
          <w:rStyle w:val="a8"/>
          <w:rFonts w:ascii="Times New Roman" w:eastAsia="楷体" w:hAnsi="Times New Roman"/>
          <w:sz w:val="32"/>
          <w:szCs w:val="32"/>
          <w:shd w:val="clear" w:color="auto" w:fill="FFFFFF"/>
        </w:rPr>
        <w:t>“</w:t>
      </w:r>
      <w:r>
        <w:rPr>
          <w:rStyle w:val="a8"/>
          <w:rFonts w:ascii="Times New Roman" w:eastAsia="楷体" w:hAnsi="Times New Roman" w:hint="default"/>
          <w:sz w:val="32"/>
          <w:szCs w:val="32"/>
          <w:shd w:val="clear" w:color="auto" w:fill="FFFFFF"/>
        </w:rPr>
        <w:t>三公</w:t>
      </w:r>
      <w:r>
        <w:rPr>
          <w:rStyle w:val="a8"/>
          <w:rFonts w:ascii="Times New Roman" w:eastAsia="楷体" w:hAnsi="Times New Roman"/>
          <w:sz w:val="32"/>
          <w:szCs w:val="32"/>
          <w:shd w:val="clear" w:color="auto" w:fill="FFFFFF"/>
        </w:rPr>
        <w:t>”</w:t>
      </w:r>
      <w:r>
        <w:rPr>
          <w:rStyle w:val="a8"/>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14:paraId="30364848"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7FBDD6"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14:paraId="18A27FC1"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lastRenderedPageBreak/>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2D0BCDC1"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（十六）对个人和家庭的补助（支出经济分类科目类级）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14:paraId="38E13942" w14:textId="77777777" w:rsidR="008C33B7"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335E7224" w14:textId="77777777" w:rsidR="008C33B7" w:rsidRDefault="00000000">
      <w:pPr>
        <w:pStyle w:val="a7"/>
        <w:shd w:val="clear" w:color="auto" w:fill="FFFFFF"/>
        <w:spacing w:beforeAutospacing="0" w:after="0" w:afterAutospacing="0" w:line="600" w:lineRule="exact"/>
        <w:ind w:firstLineChars="200" w:firstLine="643"/>
        <w:rPr>
          <w:rStyle w:val="a8"/>
          <w:rFonts w:ascii="Times New Roman" w:eastAsia="方正仿宋_GBK"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七、决算公开联系方式及信息反馈渠道</w:t>
      </w:r>
    </w:p>
    <w:p w14:paraId="494DAEC3" w14:textId="77777777" w:rsidR="008C33B7"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023-61691710</w:t>
      </w:r>
      <w:r>
        <w:rPr>
          <w:rFonts w:ascii="Times New Roman" w:eastAsia="方正仿宋_GBK" w:hAnsi="Times New Roman" w:hint="default"/>
          <w:sz w:val="32"/>
          <w:szCs w:val="32"/>
          <w:shd w:val="clear" w:color="auto" w:fill="FFFFFF"/>
        </w:rPr>
        <w:t>。</w:t>
      </w:r>
    </w:p>
    <w:p w14:paraId="443646F5" w14:textId="77777777" w:rsidR="008C33B7" w:rsidRDefault="008C33B7">
      <w:pPr>
        <w:pStyle w:val="1"/>
        <w:autoSpaceDE w:val="0"/>
        <w:spacing w:line="600" w:lineRule="exact"/>
        <w:ind w:firstLine="643"/>
        <w:rPr>
          <w:rStyle w:val="a8"/>
          <w:rFonts w:ascii="Times New Roman" w:eastAsia="方正仿宋_GBK" w:hAnsi="Times New Roman"/>
          <w:sz w:val="32"/>
          <w:szCs w:val="32"/>
          <w:shd w:val="clear" w:color="auto" w:fill="FFFF00"/>
        </w:rPr>
        <w:sectPr w:rsidR="008C33B7">
          <w:footerReference w:type="default" r:id="rId8"/>
          <w:pgSz w:w="11915" w:h="16840"/>
          <w:pgMar w:top="2098" w:right="1531" w:bottom="1984" w:left="1531" w:header="851" w:footer="992" w:gutter="0"/>
          <w:pgNumType w:fmt="numberInDash"/>
          <w:cols w:space="720"/>
          <w:docGrid w:type="lines" w:linePitch="312"/>
        </w:sectPr>
      </w:pPr>
    </w:p>
    <w:p w14:paraId="714CEFDB" w14:textId="77777777" w:rsidR="008C33B7" w:rsidRDefault="008C33B7">
      <w:pPr>
        <w:spacing w:line="600" w:lineRule="exact"/>
        <w:ind w:firstLineChars="200" w:firstLine="420"/>
        <w:rPr>
          <w:rFonts w:ascii="Times New Roman" w:hAnsi="Times New Roman" w:hint="default"/>
          <w:sz w:val="21"/>
          <w:szCs w:val="21"/>
        </w:rPr>
      </w:pPr>
    </w:p>
    <w:p w14:paraId="2F9A9002" w14:textId="77777777" w:rsidR="008C33B7" w:rsidRDefault="00000000">
      <w:pPr>
        <w:spacing w:line="600" w:lineRule="exact"/>
        <w:ind w:firstLineChars="200" w:firstLine="400"/>
        <w:rPr>
          <w:rFonts w:ascii="Times New Roman" w:hAnsi="Times New Roman" w:hint="default"/>
          <w:sz w:val="21"/>
          <w:szCs w:val="21"/>
        </w:rPr>
      </w:pPr>
      <w:r>
        <w:rPr>
          <w:rFonts w:ascii="Times New Roman" w:hAnsi="Times New Roman" w:hint="default"/>
          <w:sz w:val="20"/>
          <w:szCs w:val="20"/>
        </w:rPr>
        <w:br/>
      </w:r>
    </w:p>
    <w:sectPr w:rsidR="008C33B7">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1D30" w14:textId="77777777" w:rsidR="00D55E87" w:rsidRDefault="00D55E87">
      <w:pPr>
        <w:spacing w:after="0" w:line="240" w:lineRule="auto"/>
        <w:rPr>
          <w:rFonts w:hint="default"/>
        </w:rPr>
      </w:pPr>
      <w:r>
        <w:separator/>
      </w:r>
    </w:p>
  </w:endnote>
  <w:endnote w:type="continuationSeparator" w:id="0">
    <w:p w14:paraId="6DA9E8A6" w14:textId="77777777" w:rsidR="00D55E87" w:rsidRDefault="00D55E87">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4224" w14:textId="77777777" w:rsidR="008C33B7" w:rsidRDefault="00000000">
    <w:pPr>
      <w:pStyle w:val="a5"/>
      <w:rPr>
        <w:rFonts w:hint="default"/>
      </w:rPr>
    </w:pPr>
    <w:r>
      <w:rPr>
        <w:rFonts w:hint="default"/>
      </w:rPr>
      <w:pict w14:anchorId="77E4D8F4">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41261F6" w14:textId="77777777" w:rsidR="008C33B7"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2F782" w14:textId="77777777" w:rsidR="008C33B7" w:rsidRDefault="00000000">
    <w:pPr>
      <w:pStyle w:val="a5"/>
      <w:jc w:val="both"/>
      <w:rPr>
        <w:rFonts w:hint="default"/>
      </w:rPr>
    </w:pPr>
    <w:r>
      <w:rPr>
        <w:rFonts w:hint="default"/>
      </w:rPr>
      <w:pict w14:anchorId="21640BD8">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75FC6613" w14:textId="77777777" w:rsidR="008C33B7"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1627130C">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5FEA26B3" w14:textId="77777777" w:rsidR="008C33B7"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99D61" w14:textId="77777777" w:rsidR="00D55E87" w:rsidRDefault="00D55E87">
      <w:pPr>
        <w:spacing w:after="0" w:line="240" w:lineRule="auto"/>
        <w:rPr>
          <w:rFonts w:hint="default"/>
        </w:rPr>
      </w:pPr>
      <w:r>
        <w:separator/>
      </w:r>
    </w:p>
  </w:footnote>
  <w:footnote w:type="continuationSeparator" w:id="0">
    <w:p w14:paraId="23D87272" w14:textId="77777777" w:rsidR="00D55E87" w:rsidRDefault="00D55E87">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F22B" w14:textId="77777777" w:rsidR="008C33B7" w:rsidRDefault="008C33B7">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16cid:durableId="72568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B03CCD"/>
    <w:rsid w:val="00197E13"/>
    <w:rsid w:val="001D3BB7"/>
    <w:rsid w:val="001F6980"/>
    <w:rsid w:val="00200D15"/>
    <w:rsid w:val="0022556A"/>
    <w:rsid w:val="00297D08"/>
    <w:rsid w:val="002B254B"/>
    <w:rsid w:val="00466C9B"/>
    <w:rsid w:val="004B0E6A"/>
    <w:rsid w:val="00550ABE"/>
    <w:rsid w:val="005C209D"/>
    <w:rsid w:val="0066321D"/>
    <w:rsid w:val="006B2AEC"/>
    <w:rsid w:val="006B6518"/>
    <w:rsid w:val="00710956"/>
    <w:rsid w:val="00770383"/>
    <w:rsid w:val="007819D4"/>
    <w:rsid w:val="007B419D"/>
    <w:rsid w:val="007B7C4B"/>
    <w:rsid w:val="007D3D39"/>
    <w:rsid w:val="00836A93"/>
    <w:rsid w:val="00841D51"/>
    <w:rsid w:val="008C33B7"/>
    <w:rsid w:val="00994AF7"/>
    <w:rsid w:val="009B67B8"/>
    <w:rsid w:val="009D2B67"/>
    <w:rsid w:val="00A566F9"/>
    <w:rsid w:val="00A665FC"/>
    <w:rsid w:val="00A72C90"/>
    <w:rsid w:val="00AF2751"/>
    <w:rsid w:val="00B03CCD"/>
    <w:rsid w:val="00B12389"/>
    <w:rsid w:val="00B460C0"/>
    <w:rsid w:val="00BE2B89"/>
    <w:rsid w:val="00C04A56"/>
    <w:rsid w:val="00C10E9E"/>
    <w:rsid w:val="00C20C3E"/>
    <w:rsid w:val="00D55E87"/>
    <w:rsid w:val="00E81785"/>
    <w:rsid w:val="00F73F90"/>
    <w:rsid w:val="00FA00E5"/>
    <w:rsid w:val="00FB08E1"/>
    <w:rsid w:val="01474EBF"/>
    <w:rsid w:val="01F3521E"/>
    <w:rsid w:val="03024228"/>
    <w:rsid w:val="03B87EA0"/>
    <w:rsid w:val="03E3214F"/>
    <w:rsid w:val="0435588E"/>
    <w:rsid w:val="044C50BA"/>
    <w:rsid w:val="04695CAD"/>
    <w:rsid w:val="05BC6D49"/>
    <w:rsid w:val="06194FF1"/>
    <w:rsid w:val="062B52C4"/>
    <w:rsid w:val="06A2550B"/>
    <w:rsid w:val="06F80EE2"/>
    <w:rsid w:val="07001CCA"/>
    <w:rsid w:val="07140CDF"/>
    <w:rsid w:val="075678DB"/>
    <w:rsid w:val="079D7CC7"/>
    <w:rsid w:val="07C65B91"/>
    <w:rsid w:val="08051BCA"/>
    <w:rsid w:val="08272474"/>
    <w:rsid w:val="086C12F4"/>
    <w:rsid w:val="08705944"/>
    <w:rsid w:val="089D5EB1"/>
    <w:rsid w:val="08BA052C"/>
    <w:rsid w:val="08DB07BA"/>
    <w:rsid w:val="0969353F"/>
    <w:rsid w:val="096A0F1C"/>
    <w:rsid w:val="098305D0"/>
    <w:rsid w:val="0A3317EA"/>
    <w:rsid w:val="0A5C4B69"/>
    <w:rsid w:val="0A86124A"/>
    <w:rsid w:val="0AB54CC0"/>
    <w:rsid w:val="0B466EE9"/>
    <w:rsid w:val="0B9335CE"/>
    <w:rsid w:val="0BF2311A"/>
    <w:rsid w:val="0C7927C4"/>
    <w:rsid w:val="0C9B098C"/>
    <w:rsid w:val="0D673E11"/>
    <w:rsid w:val="0DDA54E4"/>
    <w:rsid w:val="0E3A5F83"/>
    <w:rsid w:val="0F232F52"/>
    <w:rsid w:val="0F836721"/>
    <w:rsid w:val="0FA25D96"/>
    <w:rsid w:val="107B59E5"/>
    <w:rsid w:val="10EC0126"/>
    <w:rsid w:val="10F70B9A"/>
    <w:rsid w:val="111445C7"/>
    <w:rsid w:val="114278C6"/>
    <w:rsid w:val="1158083A"/>
    <w:rsid w:val="11643A4B"/>
    <w:rsid w:val="11C4712E"/>
    <w:rsid w:val="11ED0F98"/>
    <w:rsid w:val="11F03528"/>
    <w:rsid w:val="12C921C4"/>
    <w:rsid w:val="134B0518"/>
    <w:rsid w:val="13871C70"/>
    <w:rsid w:val="13A71CB4"/>
    <w:rsid w:val="13AF1D43"/>
    <w:rsid w:val="13CE1647"/>
    <w:rsid w:val="13FD55AB"/>
    <w:rsid w:val="14200702"/>
    <w:rsid w:val="163A6CEE"/>
    <w:rsid w:val="173708E3"/>
    <w:rsid w:val="17AD5735"/>
    <w:rsid w:val="17C374FC"/>
    <w:rsid w:val="182E4AB6"/>
    <w:rsid w:val="187730D7"/>
    <w:rsid w:val="189079DC"/>
    <w:rsid w:val="189B0D0B"/>
    <w:rsid w:val="18B43F7C"/>
    <w:rsid w:val="18D76218"/>
    <w:rsid w:val="19062B85"/>
    <w:rsid w:val="194A1770"/>
    <w:rsid w:val="19B906A4"/>
    <w:rsid w:val="1B6F15B6"/>
    <w:rsid w:val="1BAA2EDC"/>
    <w:rsid w:val="1CA55E64"/>
    <w:rsid w:val="1D014A01"/>
    <w:rsid w:val="1D022362"/>
    <w:rsid w:val="1D1B04B0"/>
    <w:rsid w:val="1D2B0397"/>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32DCC"/>
    <w:rsid w:val="24A50C2C"/>
    <w:rsid w:val="24B92327"/>
    <w:rsid w:val="24C14514"/>
    <w:rsid w:val="2533755C"/>
    <w:rsid w:val="25791755"/>
    <w:rsid w:val="26396DF4"/>
    <w:rsid w:val="27167136"/>
    <w:rsid w:val="271B442C"/>
    <w:rsid w:val="27B23302"/>
    <w:rsid w:val="28766907"/>
    <w:rsid w:val="29310A5F"/>
    <w:rsid w:val="29C37A35"/>
    <w:rsid w:val="2A076083"/>
    <w:rsid w:val="2A73162E"/>
    <w:rsid w:val="2A7C0CD0"/>
    <w:rsid w:val="2B167953"/>
    <w:rsid w:val="2B200583"/>
    <w:rsid w:val="2B8209DE"/>
    <w:rsid w:val="2C636760"/>
    <w:rsid w:val="2C6762A3"/>
    <w:rsid w:val="2C856E67"/>
    <w:rsid w:val="2E024EF3"/>
    <w:rsid w:val="2E286320"/>
    <w:rsid w:val="2F3C545F"/>
    <w:rsid w:val="2F9F1098"/>
    <w:rsid w:val="2FCA4B37"/>
    <w:rsid w:val="2FE029D7"/>
    <w:rsid w:val="2FF06E00"/>
    <w:rsid w:val="30586FEC"/>
    <w:rsid w:val="306C52EF"/>
    <w:rsid w:val="315F0B22"/>
    <w:rsid w:val="31D84415"/>
    <w:rsid w:val="32285F6F"/>
    <w:rsid w:val="32770556"/>
    <w:rsid w:val="329C0913"/>
    <w:rsid w:val="32AA0460"/>
    <w:rsid w:val="3337290D"/>
    <w:rsid w:val="33E31118"/>
    <w:rsid w:val="33EF7674"/>
    <w:rsid w:val="342D7BC6"/>
    <w:rsid w:val="352930DB"/>
    <w:rsid w:val="35437AC5"/>
    <w:rsid w:val="35573069"/>
    <w:rsid w:val="355F6038"/>
    <w:rsid w:val="358C217E"/>
    <w:rsid w:val="36C9128A"/>
    <w:rsid w:val="37841E99"/>
    <w:rsid w:val="37BF1123"/>
    <w:rsid w:val="382C6840"/>
    <w:rsid w:val="383C3F15"/>
    <w:rsid w:val="38BE4696"/>
    <w:rsid w:val="3939115E"/>
    <w:rsid w:val="39711E79"/>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52249"/>
    <w:rsid w:val="3F032E93"/>
    <w:rsid w:val="3F0527E5"/>
    <w:rsid w:val="3F5C49D2"/>
    <w:rsid w:val="3F694D83"/>
    <w:rsid w:val="3F885DCC"/>
    <w:rsid w:val="3FCD675E"/>
    <w:rsid w:val="4004000C"/>
    <w:rsid w:val="40BD5482"/>
    <w:rsid w:val="411B6CE5"/>
    <w:rsid w:val="412070D7"/>
    <w:rsid w:val="41314E40"/>
    <w:rsid w:val="41E0734B"/>
    <w:rsid w:val="426C1EA8"/>
    <w:rsid w:val="42736402"/>
    <w:rsid w:val="42C95D3F"/>
    <w:rsid w:val="42E86A87"/>
    <w:rsid w:val="43307B09"/>
    <w:rsid w:val="439A3EB9"/>
    <w:rsid w:val="43BB152F"/>
    <w:rsid w:val="441A11B8"/>
    <w:rsid w:val="44C37687"/>
    <w:rsid w:val="44C40846"/>
    <w:rsid w:val="45CB699A"/>
    <w:rsid w:val="461F4872"/>
    <w:rsid w:val="465B470D"/>
    <w:rsid w:val="46813B2C"/>
    <w:rsid w:val="469D6AD4"/>
    <w:rsid w:val="471E6C84"/>
    <w:rsid w:val="4748792B"/>
    <w:rsid w:val="475D719D"/>
    <w:rsid w:val="47674801"/>
    <w:rsid w:val="48225EF7"/>
    <w:rsid w:val="488F422B"/>
    <w:rsid w:val="48E36915"/>
    <w:rsid w:val="48EB6572"/>
    <w:rsid w:val="495C4A24"/>
    <w:rsid w:val="497135DF"/>
    <w:rsid w:val="49CA0AD0"/>
    <w:rsid w:val="4A263DF2"/>
    <w:rsid w:val="4A6F6675"/>
    <w:rsid w:val="4B135857"/>
    <w:rsid w:val="4B7951CB"/>
    <w:rsid w:val="4B7C315C"/>
    <w:rsid w:val="4C5828E3"/>
    <w:rsid w:val="4CB054F0"/>
    <w:rsid w:val="4D15258D"/>
    <w:rsid w:val="4DAC4ACA"/>
    <w:rsid w:val="4DBE01D2"/>
    <w:rsid w:val="4F0C6BA3"/>
    <w:rsid w:val="4F186D58"/>
    <w:rsid w:val="50F06B6E"/>
    <w:rsid w:val="51212923"/>
    <w:rsid w:val="51615C6F"/>
    <w:rsid w:val="51D21804"/>
    <w:rsid w:val="52234D33"/>
    <w:rsid w:val="522F6E0C"/>
    <w:rsid w:val="52463BA1"/>
    <w:rsid w:val="52F163D4"/>
    <w:rsid w:val="531A2DB4"/>
    <w:rsid w:val="53C0244D"/>
    <w:rsid w:val="53DB44CF"/>
    <w:rsid w:val="53DD4D4E"/>
    <w:rsid w:val="53E578CE"/>
    <w:rsid w:val="541330F0"/>
    <w:rsid w:val="54272666"/>
    <w:rsid w:val="543B029D"/>
    <w:rsid w:val="54861779"/>
    <w:rsid w:val="550A66DD"/>
    <w:rsid w:val="552256E1"/>
    <w:rsid w:val="554E5773"/>
    <w:rsid w:val="555829E0"/>
    <w:rsid w:val="555A3CBC"/>
    <w:rsid w:val="5582012B"/>
    <w:rsid w:val="558E4E05"/>
    <w:rsid w:val="55BE2E85"/>
    <w:rsid w:val="55EB3839"/>
    <w:rsid w:val="56530F5D"/>
    <w:rsid w:val="567700D3"/>
    <w:rsid w:val="56FF7E9E"/>
    <w:rsid w:val="578867FC"/>
    <w:rsid w:val="5826755E"/>
    <w:rsid w:val="583111EB"/>
    <w:rsid w:val="5842572D"/>
    <w:rsid w:val="58996A20"/>
    <w:rsid w:val="59143DC5"/>
    <w:rsid w:val="5A3B59D6"/>
    <w:rsid w:val="5AD134D8"/>
    <w:rsid w:val="5B1A2E78"/>
    <w:rsid w:val="5C263CE4"/>
    <w:rsid w:val="5C5D2777"/>
    <w:rsid w:val="5CB03186"/>
    <w:rsid w:val="5CF66BF3"/>
    <w:rsid w:val="5D290C69"/>
    <w:rsid w:val="5E666D6B"/>
    <w:rsid w:val="5F153BD0"/>
    <w:rsid w:val="5F2D4A41"/>
    <w:rsid w:val="60C74F6C"/>
    <w:rsid w:val="61025A59"/>
    <w:rsid w:val="613D5BBC"/>
    <w:rsid w:val="61536C39"/>
    <w:rsid w:val="62944DD7"/>
    <w:rsid w:val="6319381F"/>
    <w:rsid w:val="63C25DC5"/>
    <w:rsid w:val="63C62057"/>
    <w:rsid w:val="643C7E81"/>
    <w:rsid w:val="64571EF5"/>
    <w:rsid w:val="64FB113D"/>
    <w:rsid w:val="656152C6"/>
    <w:rsid w:val="6587477F"/>
    <w:rsid w:val="658C3A08"/>
    <w:rsid w:val="65C031CA"/>
    <w:rsid w:val="65CE6852"/>
    <w:rsid w:val="66267C04"/>
    <w:rsid w:val="663F505A"/>
    <w:rsid w:val="66EE5541"/>
    <w:rsid w:val="67924660"/>
    <w:rsid w:val="679D5A45"/>
    <w:rsid w:val="68407834"/>
    <w:rsid w:val="6883293E"/>
    <w:rsid w:val="688412AD"/>
    <w:rsid w:val="68EB1B71"/>
    <w:rsid w:val="6A6C7940"/>
    <w:rsid w:val="6AAD2300"/>
    <w:rsid w:val="6B215A6F"/>
    <w:rsid w:val="6B474EF5"/>
    <w:rsid w:val="6C0A5AC5"/>
    <w:rsid w:val="6C5528E4"/>
    <w:rsid w:val="6C560CAE"/>
    <w:rsid w:val="6C576495"/>
    <w:rsid w:val="6D903FF5"/>
    <w:rsid w:val="6DA955B8"/>
    <w:rsid w:val="6DE346AB"/>
    <w:rsid w:val="6DE5391A"/>
    <w:rsid w:val="6E5D209C"/>
    <w:rsid w:val="6EE87E67"/>
    <w:rsid w:val="6EED4907"/>
    <w:rsid w:val="6EFD1324"/>
    <w:rsid w:val="6F5A53AC"/>
    <w:rsid w:val="6FAC003D"/>
    <w:rsid w:val="6FE55E12"/>
    <w:rsid w:val="6FFB2E76"/>
    <w:rsid w:val="708F6F7F"/>
    <w:rsid w:val="70D94BD3"/>
    <w:rsid w:val="71C34D91"/>
    <w:rsid w:val="722D1CCA"/>
    <w:rsid w:val="72DB435C"/>
    <w:rsid w:val="72E2613A"/>
    <w:rsid w:val="72F771F4"/>
    <w:rsid w:val="73934AD2"/>
    <w:rsid w:val="750837F0"/>
    <w:rsid w:val="754758CF"/>
    <w:rsid w:val="764F62AB"/>
    <w:rsid w:val="765C45EC"/>
    <w:rsid w:val="767E55BB"/>
    <w:rsid w:val="768A7619"/>
    <w:rsid w:val="771A068B"/>
    <w:rsid w:val="772E1EBA"/>
    <w:rsid w:val="781926BC"/>
    <w:rsid w:val="78E12181"/>
    <w:rsid w:val="796D60A4"/>
    <w:rsid w:val="79A031D5"/>
    <w:rsid w:val="7A1525F7"/>
    <w:rsid w:val="7B420052"/>
    <w:rsid w:val="7BD06A28"/>
    <w:rsid w:val="7C3A7C0B"/>
    <w:rsid w:val="7C5248E4"/>
    <w:rsid w:val="7C566698"/>
    <w:rsid w:val="7C5866A3"/>
    <w:rsid w:val="7CDE765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43F5B"/>
  <w15:docId w15:val="{79568DC5-791D-44FF-B821-458B0BB1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cp:lastPrinted>2024-10-12T01:20:00Z</cp:lastPrinted>
  <dcterms:created xsi:type="dcterms:W3CDTF">2024-07-11T02:00:00Z</dcterms:created>
  <dcterms:modified xsi:type="dcterms:W3CDTF">2024-10-30T09:51:00Z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BB46EABDBB2749749395447164B066B3_12</vt:lpwstr>
  </property>
</Properties>
</file>