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EFDB" w14:textId="1C2F47C1" w:rsidR="00022EE3" w:rsidRDefault="00000000">
      <w:pPr>
        <w:pStyle w:val="a7"/>
        <w:spacing w:before="0" w:beforeAutospacing="0" w:after="0" w:afterAutospacing="0" w:line="600" w:lineRule="exact"/>
        <w:jc w:val="center"/>
        <w:rPr>
          <w:rFonts w:ascii="Times New Roman" w:eastAsia="方正小标宋_GBK" w:hAnsi="Times New Roman" w:hint="default"/>
          <w:sz w:val="36"/>
          <w:szCs w:val="36"/>
          <w:shd w:val="clear" w:color="auto" w:fill="FFFFFF"/>
        </w:rPr>
      </w:pPr>
      <w:r>
        <w:rPr>
          <w:rFonts w:ascii="Times New Roman" w:eastAsia="方正小标宋_GBK" w:hAnsi="Times New Roman" w:hint="default"/>
          <w:sz w:val="36"/>
          <w:szCs w:val="36"/>
        </w:rPr>
        <w:t>重庆市沙坪坝区虎溪街道社区事务服务中心</w:t>
      </w:r>
      <w:r>
        <w:rPr>
          <w:rFonts w:ascii="Times New Roman" w:eastAsia="方正小标宋_GBK" w:hAnsi="Times New Roman" w:hint="default"/>
          <w:sz w:val="36"/>
          <w:szCs w:val="36"/>
          <w:shd w:val="clear" w:color="auto" w:fill="FFFFFF"/>
        </w:rPr>
        <w:t>2023</w:t>
      </w:r>
      <w:r>
        <w:rPr>
          <w:rFonts w:ascii="Times New Roman" w:eastAsia="方正小标宋_GBK" w:hAnsi="Times New Roman" w:hint="default"/>
          <w:sz w:val="36"/>
          <w:szCs w:val="36"/>
          <w:shd w:val="clear" w:color="auto" w:fill="FFFFFF"/>
        </w:rPr>
        <w:t>年度</w:t>
      </w:r>
      <w:r w:rsidR="009054B2">
        <w:rPr>
          <w:rFonts w:ascii="Times New Roman" w:eastAsia="方正小标宋_GBK" w:hAnsi="Times New Roman"/>
          <w:sz w:val="36"/>
          <w:szCs w:val="36"/>
          <w:shd w:val="clear" w:color="auto" w:fill="FFFFFF"/>
        </w:rPr>
        <w:t>部门</w:t>
      </w:r>
      <w:r>
        <w:rPr>
          <w:rFonts w:ascii="Times New Roman" w:eastAsia="方正小标宋_GBK" w:hAnsi="Times New Roman" w:hint="default"/>
          <w:sz w:val="36"/>
          <w:szCs w:val="36"/>
          <w:shd w:val="clear" w:color="auto" w:fill="FFFFFF"/>
        </w:rPr>
        <w:t>决算公开说明</w:t>
      </w:r>
    </w:p>
    <w:p w14:paraId="2A61854B" w14:textId="77777777" w:rsidR="00022EE3" w:rsidRDefault="00000000">
      <w:pPr>
        <w:pStyle w:val="a7"/>
        <w:shd w:val="clear" w:color="auto" w:fill="FFFFFF"/>
        <w:spacing w:beforeAutospacing="0" w:after="0" w:afterAutospacing="0" w:line="600" w:lineRule="exact"/>
        <w:ind w:firstLineChars="200" w:firstLine="643"/>
        <w:rPr>
          <w:rFonts w:ascii="方正黑体_GBK" w:eastAsia="方正黑体_GBK" w:hAnsi="方正黑体_GBK" w:cs="方正黑体_GBK" w:hint="default"/>
          <w:sz w:val="32"/>
          <w:szCs w:val="32"/>
        </w:rPr>
      </w:pPr>
      <w:r>
        <w:rPr>
          <w:rStyle w:val="a8"/>
          <w:rFonts w:ascii="方正黑体_GBK" w:eastAsia="方正黑体_GBK" w:hAnsi="方正黑体_GBK" w:cs="方正黑体_GBK"/>
          <w:sz w:val="32"/>
          <w:szCs w:val="32"/>
          <w:shd w:val="clear" w:color="auto" w:fill="FFFFFF"/>
        </w:rPr>
        <w:t>一、单位基本情况</w:t>
      </w:r>
    </w:p>
    <w:p w14:paraId="7A4354D3" w14:textId="77777777" w:rsidR="00022EE3" w:rsidRDefault="00000000">
      <w:pPr>
        <w:pStyle w:val="a7"/>
        <w:shd w:val="clear" w:color="auto" w:fill="FFFFFF"/>
        <w:spacing w:beforeAutospacing="0" w:after="0" w:afterAutospacing="0" w:line="600" w:lineRule="exact"/>
        <w:ind w:firstLineChars="200" w:firstLine="643"/>
        <w:rPr>
          <w:rStyle w:val="a8"/>
          <w:rFonts w:ascii="方正楷体_GBK" w:eastAsia="方正楷体_GBK" w:hAnsi="方正楷体_GBK" w:cs="方正楷体_GBK" w:hint="default"/>
          <w:sz w:val="32"/>
          <w:szCs w:val="32"/>
          <w:shd w:val="clear" w:color="auto" w:fill="FFFFFF"/>
        </w:rPr>
      </w:pPr>
      <w:r>
        <w:rPr>
          <w:rStyle w:val="a8"/>
          <w:rFonts w:ascii="方正楷体_GBK" w:eastAsia="方正楷体_GBK" w:hAnsi="方正楷体_GBK" w:cs="方正楷体_GBK"/>
          <w:sz w:val="32"/>
          <w:szCs w:val="32"/>
          <w:shd w:val="clear" w:color="auto" w:fill="FFFFFF"/>
        </w:rPr>
        <w:t>（一）职能职责</w:t>
      </w:r>
    </w:p>
    <w:p w14:paraId="041A26E8" w14:textId="77777777" w:rsidR="00022EE3" w:rsidRDefault="00000000">
      <w:pPr>
        <w:pStyle w:val="a7"/>
        <w:shd w:val="clear" w:color="auto" w:fill="FFFFFF"/>
        <w:spacing w:beforeAutospacing="0" w:after="0" w:afterAutospacing="0" w:line="600" w:lineRule="exact"/>
        <w:ind w:firstLineChars="200" w:firstLine="640"/>
        <w:rPr>
          <w:rStyle w:val="a8"/>
          <w:rFonts w:ascii="Times New Roman" w:eastAsia="楷体" w:hAnsi="Times New Roman" w:hint="default"/>
          <w:sz w:val="32"/>
          <w:szCs w:val="32"/>
          <w:shd w:val="clear" w:color="auto" w:fill="FFFFFF"/>
        </w:rPr>
      </w:pPr>
      <w:r>
        <w:rPr>
          <w:rFonts w:ascii="Times New Roman" w:eastAsia="方正仿宋_GBK" w:hAnsi="Times New Roman"/>
          <w:sz w:val="32"/>
          <w:szCs w:val="32"/>
        </w:rPr>
        <w:t>虎溪街道社区事务服务中心主要</w:t>
      </w:r>
      <w:r>
        <w:rPr>
          <w:rFonts w:ascii="Times New Roman" w:eastAsia="方正仿宋_GBK" w:hAnsi="Times New Roman" w:hint="default"/>
          <w:sz w:val="32"/>
          <w:szCs w:val="32"/>
        </w:rPr>
        <w:t>承担社区的事务性、服务性工作；承担辖区社教工作；承担辖区市政公用、园林绿化、市容环卫等工作。承担农业、林业、水利等方面的事务性工作。</w:t>
      </w:r>
    </w:p>
    <w:p w14:paraId="7A533652" w14:textId="77777777" w:rsidR="00022EE3" w:rsidRDefault="00000000">
      <w:pPr>
        <w:pStyle w:val="a7"/>
        <w:shd w:val="clear" w:color="auto" w:fill="FFFFFF"/>
        <w:spacing w:beforeAutospacing="0" w:after="0" w:afterAutospacing="0" w:line="600" w:lineRule="exact"/>
        <w:ind w:firstLineChars="200" w:firstLine="643"/>
        <w:rPr>
          <w:rStyle w:val="a8"/>
          <w:rFonts w:ascii="方正楷体_GBK" w:eastAsia="方正楷体_GBK" w:hAnsi="方正楷体_GBK" w:cs="方正楷体_GBK" w:hint="default"/>
          <w:sz w:val="32"/>
          <w:szCs w:val="32"/>
          <w:shd w:val="clear" w:color="auto" w:fill="FFFFFF"/>
        </w:rPr>
      </w:pPr>
      <w:r>
        <w:rPr>
          <w:rStyle w:val="a8"/>
          <w:rFonts w:ascii="方正楷体_GBK" w:eastAsia="方正楷体_GBK" w:hAnsi="方正楷体_GBK" w:cs="方正楷体_GBK" w:hint="default"/>
          <w:sz w:val="32"/>
          <w:szCs w:val="32"/>
          <w:shd w:val="clear" w:color="auto" w:fill="FFFFFF"/>
        </w:rPr>
        <w:t>（二）机构设置</w:t>
      </w:r>
    </w:p>
    <w:p w14:paraId="6557CFCA" w14:textId="77777777" w:rsidR="00022EE3" w:rsidRDefault="00000000">
      <w:pPr>
        <w:pStyle w:val="a7"/>
        <w:shd w:val="clear" w:color="auto" w:fill="FFFFFF"/>
        <w:spacing w:before="0" w:beforeAutospacing="0" w:after="0" w:afterAutospacing="0" w:line="600" w:lineRule="exact"/>
        <w:ind w:firstLineChars="200" w:firstLine="640"/>
        <w:rPr>
          <w:rFonts w:ascii="Times New Roman" w:eastAsia="仿宋_GB2312" w:hAnsi="Times New Roman" w:hint="default"/>
          <w:sz w:val="32"/>
          <w:szCs w:val="32"/>
        </w:rPr>
      </w:pPr>
      <w:r>
        <w:rPr>
          <w:rFonts w:ascii="Times New Roman" w:eastAsia="方正仿宋_GBK" w:hAnsi="Times New Roman"/>
          <w:sz w:val="32"/>
          <w:szCs w:val="32"/>
        </w:rPr>
        <w:t>虎溪街道社区事务服务中心</w:t>
      </w:r>
      <w:r>
        <w:rPr>
          <w:rFonts w:ascii="Times New Roman" w:eastAsia="仿宋_GB2312" w:hAnsi="Times New Roman"/>
          <w:sz w:val="32"/>
          <w:szCs w:val="32"/>
        </w:rPr>
        <w:t>是虎溪街道下属事业单位之一，</w:t>
      </w:r>
      <w:r>
        <w:rPr>
          <w:rFonts w:ascii="Times New Roman" w:eastAsia="方正仿宋_GBK" w:hAnsi="Times New Roman" w:hint="default"/>
          <w:sz w:val="32"/>
          <w:szCs w:val="32"/>
        </w:rPr>
        <w:t>与虎溪街道办事处一同办公运行。</w:t>
      </w:r>
    </w:p>
    <w:p w14:paraId="74CB56B7" w14:textId="77777777" w:rsidR="00022EE3"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二、单位决算情况说明</w:t>
      </w:r>
    </w:p>
    <w:p w14:paraId="37CA9E9F"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（一）收入支出决算总体情况说明。</w:t>
      </w:r>
    </w:p>
    <w:p w14:paraId="73340237" w14:textId="77777777" w:rsidR="00022EE3" w:rsidRDefault="00000000">
      <w:pPr>
        <w:pStyle w:val="a7"/>
        <w:shd w:val="clear" w:color="auto" w:fill="FFFFFF"/>
        <w:spacing w:beforeAutospacing="0" w:after="0" w:afterAutospacing="0" w:line="600" w:lineRule="exact"/>
        <w:ind w:firstLineChars="200" w:firstLine="643"/>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380.48</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2D45EA9F"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380.48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w:t>
      </w:r>
      <w:r>
        <w:rPr>
          <w:rFonts w:ascii="Times New Roman" w:eastAsia="方正仿宋_GBK" w:hAnsi="Times New Roman" w:hint="default"/>
          <w:sz w:val="32"/>
          <w:szCs w:val="32"/>
          <w:shd w:val="clear" w:color="auto" w:fill="FFFFFF"/>
        </w:rPr>
        <w:t>。</w:t>
      </w:r>
    </w:p>
    <w:p w14:paraId="6E46AC4D"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380.48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202.14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53.13%</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178.34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46.87%</w:t>
      </w:r>
      <w:r>
        <w:rPr>
          <w:rFonts w:ascii="Times New Roman" w:eastAsia="方正仿宋_GBK" w:hAnsi="Times New Roman" w:hint="default"/>
          <w:sz w:val="32"/>
          <w:szCs w:val="32"/>
          <w:shd w:val="clear" w:color="auto" w:fill="FFFFFF"/>
        </w:rPr>
        <w:t>。</w:t>
      </w:r>
    </w:p>
    <w:p w14:paraId="284CFE4F"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年度年末无结转和结余，较上年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2CC4EBC0"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（二）财政拨款收入支出决算总体情况说明</w:t>
      </w:r>
    </w:p>
    <w:p w14:paraId="1994F06E"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01D870F9"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（三）一般公共预算财政拨款收入支出决算情况说明</w:t>
      </w:r>
    </w:p>
    <w:p w14:paraId="6772BF18"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380.48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56.15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17.31%</w:t>
      </w:r>
      <w:r>
        <w:rPr>
          <w:rFonts w:ascii="Times New Roman" w:eastAsia="方正仿宋_GBK" w:hAnsi="Times New Roman" w:hint="default"/>
          <w:sz w:val="32"/>
          <w:szCs w:val="32"/>
          <w:shd w:val="clear" w:color="auto" w:fill="FFFFFF"/>
        </w:rPr>
        <w:t>。主要原因是年中追加相关工作经费。</w:t>
      </w:r>
    </w:p>
    <w:p w14:paraId="3819F63B"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380.48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380.48</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56.15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17.31%</w:t>
      </w:r>
      <w:r>
        <w:rPr>
          <w:rFonts w:ascii="Times New Roman" w:eastAsia="方正仿宋_GBK" w:hAnsi="Times New Roman" w:hint="default"/>
          <w:sz w:val="32"/>
          <w:szCs w:val="32"/>
          <w:shd w:val="clear" w:color="auto" w:fill="FFFFFF"/>
        </w:rPr>
        <w:t>。主要原因是年中追加相关工作经费。</w:t>
      </w:r>
    </w:p>
    <w:p w14:paraId="5707FF3D"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年度年末一般公共预算财政拨款无结转和结余，较上年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68D79DC6"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32CCB43C"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191.37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50.3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41.68%</w:t>
      </w:r>
      <w:r>
        <w:rPr>
          <w:rFonts w:ascii="Times New Roman" w:eastAsia="方正仿宋_GBK" w:hAnsi="Times New Roman" w:hint="default"/>
          <w:sz w:val="32"/>
          <w:szCs w:val="32"/>
          <w:shd w:val="clear" w:color="auto" w:fill="FFFFFF"/>
        </w:rPr>
        <w:t>，主要原因是年中追加相关工作经费。</w:t>
      </w:r>
    </w:p>
    <w:p w14:paraId="722B2C93"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5.26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1.38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0.14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2.59%</w:t>
      </w:r>
      <w:r>
        <w:rPr>
          <w:rFonts w:ascii="Times New Roman" w:eastAsia="方正仿宋_GBK" w:hAnsi="Times New Roman" w:hint="default"/>
          <w:sz w:val="32"/>
          <w:szCs w:val="32"/>
          <w:shd w:val="clear" w:color="auto" w:fill="FFFFFF"/>
        </w:rPr>
        <w:t>，主要原因是本单位年中有人员变动。</w:t>
      </w:r>
    </w:p>
    <w:p w14:paraId="7D59E7E1"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178.34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46.87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，主要原因是农林水项目经费按预算有效使用。</w:t>
      </w:r>
    </w:p>
    <w:p w14:paraId="7D2192E7" w14:textId="77777777" w:rsidR="00022EE3" w:rsidRDefault="00000000">
      <w:pPr>
        <w:spacing w:line="600" w:lineRule="exact"/>
        <w:ind w:firstLineChars="200" w:firstLine="640"/>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5.52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1.45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住房公积金按预算有效使用。</w:t>
      </w:r>
    </w:p>
    <w:p w14:paraId="0C0DA4FA"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（四）一般公共预算财政拨款基本支出决算情况说明</w:t>
      </w:r>
    </w:p>
    <w:p w14:paraId="027EC472"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年度一般公共预算财政拨款基本支出</w:t>
      </w:r>
      <w:r>
        <w:rPr>
          <w:rFonts w:ascii="Times New Roman" w:eastAsia="方正仿宋_GBK" w:hAnsi="Times New Roman" w:hint="default"/>
          <w:sz w:val="32"/>
          <w:szCs w:val="32"/>
        </w:rPr>
        <w:t>202.14</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173.23</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173.23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2022</w:t>
      </w:r>
      <w:r>
        <w:rPr>
          <w:rFonts w:ascii="Times New Roman" w:eastAsia="方正仿宋_GBK"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人员经费用途主要包括工资、保险、公积金等。公用经费</w:t>
      </w:r>
      <w:r>
        <w:rPr>
          <w:rFonts w:ascii="Times New Roman" w:eastAsia="方正仿宋_GBK" w:hAnsi="Times New Roman" w:hint="default"/>
          <w:sz w:val="32"/>
          <w:szCs w:val="32"/>
        </w:rPr>
        <w:t>28.91</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28.91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w:t>
      </w:r>
      <w:r>
        <w:rPr>
          <w:rFonts w:ascii="Times New Roman" w:eastAsia="方正仿宋_GBK" w:hAnsi="Times New Roman" w:hint="default"/>
          <w:sz w:val="32"/>
          <w:szCs w:val="32"/>
          <w:shd w:val="clear" w:color="auto" w:fill="FFFFFF"/>
        </w:rPr>
        <w:lastRenderedPageBreak/>
        <w:t>因是</w:t>
      </w:r>
      <w:r>
        <w:rPr>
          <w:rFonts w:ascii="Times New Roman" w:eastAsia="方正仿宋_GBK" w:hAnsi="Times New Roman" w:hint="default"/>
          <w:sz w:val="32"/>
          <w:szCs w:val="32"/>
        </w:rPr>
        <w:t>本单位</w:t>
      </w:r>
      <w:r>
        <w:rPr>
          <w:rFonts w:ascii="Times New Roman" w:eastAsia="方正仿宋_GBK" w:hAnsi="Times New Roman" w:hint="default"/>
          <w:sz w:val="32"/>
          <w:szCs w:val="32"/>
        </w:rPr>
        <w:t>2022</w:t>
      </w:r>
      <w:r>
        <w:rPr>
          <w:rFonts w:ascii="Times New Roman" w:eastAsia="方正仿宋_GBK" w:hAnsi="Times New Roman" w:hint="default"/>
          <w:sz w:val="32"/>
          <w:szCs w:val="32"/>
        </w:rPr>
        <w:t>年决算合并到机关本级进行填报。</w:t>
      </w:r>
      <w:r>
        <w:rPr>
          <w:rFonts w:ascii="Times New Roman" w:eastAsia="方正仿宋_GBK" w:hAnsi="Times New Roman" w:hint="default"/>
          <w:sz w:val="32"/>
          <w:szCs w:val="32"/>
          <w:shd w:val="clear" w:color="auto" w:fill="FFFFFF"/>
        </w:rPr>
        <w:t>公用经费用途主</w:t>
      </w:r>
      <w:r>
        <w:rPr>
          <w:rFonts w:ascii="Times New Roman" w:eastAsia="方正仿宋_GBK" w:hAnsi="Times New Roman" w:hint="default"/>
          <w:sz w:val="32"/>
          <w:szCs w:val="32"/>
        </w:rPr>
        <w:t>要包括邮电费、培训费等。</w:t>
      </w:r>
    </w:p>
    <w:p w14:paraId="5442F0AD"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（五）政府性基金预算收支决算情况说明</w:t>
      </w:r>
    </w:p>
    <w:p w14:paraId="2717FD96"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年度无政府性基金预算财政拨款收支。</w:t>
      </w:r>
    </w:p>
    <w:p w14:paraId="5E681AB6"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（六）国有资本经营预算财政拨款支出决算情况说明</w:t>
      </w:r>
    </w:p>
    <w:p w14:paraId="5AD5B34C"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14:paraId="534C5C20" w14:textId="77777777" w:rsidR="00022EE3"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三、“三公”经费情况说明</w:t>
      </w:r>
    </w:p>
    <w:p w14:paraId="33771895"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（一）</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经费支出总体情况说明</w:t>
      </w:r>
    </w:p>
    <w:p w14:paraId="7AF6E79D"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4.52</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0.48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9.6%</w:t>
      </w:r>
      <w:r>
        <w:rPr>
          <w:rFonts w:ascii="Times New Roman" w:eastAsia="方正仿宋_GBK" w:hAnsi="Times New Roman" w:hint="default"/>
          <w:sz w:val="32"/>
          <w:szCs w:val="32"/>
          <w:shd w:val="clear" w:color="auto" w:fill="FFFFFF"/>
        </w:rPr>
        <w:t>，主要原因是本单位厉行节约，高效使用公务车。较上年支出数增加</w:t>
      </w:r>
      <w:r>
        <w:rPr>
          <w:rFonts w:ascii="Times New Roman" w:eastAsia="方正仿宋_GBK" w:hAnsi="Times New Roman" w:hint="default"/>
          <w:sz w:val="32"/>
          <w:szCs w:val="32"/>
          <w:shd w:val="clear" w:color="auto" w:fill="FFFFFF"/>
        </w:rPr>
        <w:t>4.52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6D2069EB"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经费分项支出情况</w:t>
      </w:r>
    </w:p>
    <w:p w14:paraId="0F8C4E31"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年度本单位无因公出国（境）费用、公务车购置费、和公务接待费。</w:t>
      </w:r>
    </w:p>
    <w:p w14:paraId="14A05DFC"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4.52</w:t>
      </w:r>
      <w:r>
        <w:rPr>
          <w:rFonts w:ascii="Times New Roman" w:eastAsia="方正仿宋_GBK" w:hAnsi="Times New Roman" w:hint="default"/>
          <w:sz w:val="32"/>
          <w:szCs w:val="32"/>
          <w:shd w:val="clear" w:color="auto" w:fill="FFFFFF"/>
        </w:rPr>
        <w:t>万元，主要用于公务车维修保养、加油费、洗停车费等。费用支出较年初预算数减少</w:t>
      </w:r>
      <w:r>
        <w:rPr>
          <w:rFonts w:ascii="Times New Roman" w:eastAsia="方正仿宋_GBK" w:hAnsi="Times New Roman" w:hint="default"/>
          <w:sz w:val="32"/>
          <w:szCs w:val="32"/>
          <w:shd w:val="clear" w:color="auto" w:fill="FFFFFF"/>
        </w:rPr>
        <w:t>0.48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9.6%</w:t>
      </w:r>
      <w:r>
        <w:rPr>
          <w:rFonts w:ascii="Times New Roman" w:eastAsia="方正仿宋_GBK" w:hAnsi="Times New Roman" w:hint="default"/>
          <w:sz w:val="32"/>
          <w:szCs w:val="32"/>
          <w:shd w:val="clear" w:color="auto" w:fill="FFFFFF"/>
        </w:rPr>
        <w:t>，主要原因是本单位厉行节约，高效使用公务车。较上年支出数增加</w:t>
      </w:r>
      <w:r>
        <w:rPr>
          <w:rFonts w:ascii="Times New Roman" w:eastAsia="方正仿宋_GBK" w:hAnsi="Times New Roman" w:hint="default"/>
          <w:sz w:val="32"/>
          <w:szCs w:val="32"/>
          <w:shd w:val="clear" w:color="auto" w:fill="FFFFFF"/>
        </w:rPr>
        <w:t>4.52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67423827"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lastRenderedPageBreak/>
        <w:t>（三）</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三公</w:t>
      </w:r>
      <w:r>
        <w:rPr>
          <w:rFonts w:ascii="方正楷体_GBK" w:eastAsia="方正楷体_GBK" w:hAnsi="方正楷体_GBK" w:cs="方正楷体_GBK" w:hint="eastAsia"/>
          <w:b/>
          <w:bCs/>
          <w:sz w:val="32"/>
          <w:szCs w:val="32"/>
          <w:shd w:val="clear" w:color="auto" w:fill="FFFFFF"/>
        </w:rPr>
        <w:t>”</w:t>
      </w:r>
      <w:r>
        <w:rPr>
          <w:rFonts w:ascii="方正楷体_GBK" w:eastAsia="方正楷体_GBK" w:hAnsi="方正楷体_GBK" w:cs="方正楷体_GBK"/>
          <w:b/>
          <w:bCs/>
          <w:sz w:val="32"/>
          <w:szCs w:val="32"/>
          <w:shd w:val="clear" w:color="auto" w:fill="FFFFFF"/>
        </w:rPr>
        <w:t>经费实物量情况</w:t>
      </w:r>
    </w:p>
    <w:p w14:paraId="7271256E"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年度本单位公务车保有量为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辆，车均维护费</w:t>
      </w:r>
      <w:r>
        <w:rPr>
          <w:rFonts w:ascii="Times New Roman" w:eastAsia="方正仿宋_GBK" w:hAnsi="Times New Roman" w:hint="default"/>
          <w:sz w:val="32"/>
          <w:szCs w:val="32"/>
          <w:shd w:val="clear" w:color="auto" w:fill="FFFFFF"/>
        </w:rPr>
        <w:t>4.52</w:t>
      </w:r>
      <w:r>
        <w:rPr>
          <w:rFonts w:ascii="Times New Roman" w:eastAsia="方正仿宋_GBK" w:hAnsi="Times New Roman" w:hint="default"/>
          <w:sz w:val="32"/>
          <w:szCs w:val="32"/>
          <w:shd w:val="clear" w:color="auto" w:fill="FFFFFF"/>
        </w:rPr>
        <w:t>万元。</w:t>
      </w:r>
      <w:r>
        <w:rPr>
          <w:rFonts w:ascii="Times New Roman" w:eastAsia="方正仿宋_GBK" w:hAnsi="Times New Roman"/>
          <w:sz w:val="32"/>
          <w:szCs w:val="32"/>
          <w:shd w:val="clear" w:color="auto" w:fill="FFFFFF"/>
        </w:rPr>
        <w:t>主要原因是机关本级的</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辆公务车部分运行维护费也在本单位列支。</w:t>
      </w:r>
    </w:p>
    <w:p w14:paraId="79B5D110" w14:textId="77777777" w:rsidR="00022EE3"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四、其他需要说明的事项</w:t>
      </w:r>
    </w:p>
    <w:p w14:paraId="4F22466D"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（一）财政拨款会议费和培训费情况说明</w:t>
      </w:r>
    </w:p>
    <w:p w14:paraId="70F4A7ED" w14:textId="77777777" w:rsidR="00022EE3" w:rsidRDefault="00000000">
      <w:pPr>
        <w:pStyle w:val="a7"/>
        <w:snapToGrid w:val="0"/>
        <w:spacing w:before="0" w:beforeAutospacing="0" w:after="0" w:afterAutospacing="0" w:line="60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shd w:val="clear" w:color="auto" w:fill="FFFFFF"/>
        </w:rPr>
        <w:t>本年度无会议费支出，较上年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0.25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0.25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本单位</w:t>
      </w:r>
      <w:r>
        <w:rPr>
          <w:rFonts w:ascii="Times New Roman" w:eastAsia="仿宋_GB2312" w:hAnsi="Times New Roman" w:hint="default"/>
          <w:sz w:val="32"/>
          <w:szCs w:val="32"/>
        </w:rPr>
        <w:t>2022</w:t>
      </w:r>
      <w:r>
        <w:rPr>
          <w:rFonts w:ascii="Times New Roman" w:eastAsia="仿宋_GB2312" w:hAnsi="Times New Roman" w:hint="default"/>
          <w:sz w:val="32"/>
          <w:szCs w:val="32"/>
        </w:rPr>
        <w:t>年决算合并到机关本级进行填报。</w:t>
      </w:r>
    </w:p>
    <w:p w14:paraId="74DB1140"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（二）机关运行经费情况说明</w:t>
      </w:r>
    </w:p>
    <w:p w14:paraId="1331C2A8"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年度本单位机关无运行经费支出，主要原因是我单位不在机关运行经费统计范围之内。</w:t>
      </w:r>
    </w:p>
    <w:p w14:paraId="77056AFD" w14:textId="77777777" w:rsidR="00022EE3" w:rsidRDefault="00000000">
      <w:pPr>
        <w:pStyle w:val="1"/>
        <w:autoSpaceDE w:val="0"/>
        <w:spacing w:line="600" w:lineRule="exact"/>
        <w:ind w:firstLine="643"/>
        <w:rPr>
          <w:rFonts w:ascii="Times New Roman" w:eastAsia="楷体" w:hAnsi="Times New Roman"/>
          <w:b/>
          <w:bCs/>
          <w:sz w:val="32"/>
          <w:szCs w:val="32"/>
          <w:shd w:val="clear" w:color="auto" w:fill="FFFFFF"/>
        </w:rPr>
      </w:pPr>
      <w:r>
        <w:rPr>
          <w:rFonts w:ascii="方正楷体_GBK" w:eastAsia="方正楷体_GBK" w:hAnsi="方正楷体_GBK" w:cs="方正楷体_GBK" w:hint="eastAsia"/>
          <w:b/>
          <w:bCs/>
          <w:sz w:val="32"/>
          <w:szCs w:val="32"/>
          <w:shd w:val="clear" w:color="auto" w:fill="FFFFFF"/>
        </w:rPr>
        <w:t>（三</w:t>
      </w:r>
      <w:r>
        <w:rPr>
          <w:rFonts w:ascii="方正楷体_GBK" w:eastAsia="方正楷体_GBK" w:hAnsi="方正楷体_GBK" w:cs="方正楷体_GBK"/>
          <w:b/>
          <w:bCs/>
          <w:sz w:val="32"/>
          <w:szCs w:val="32"/>
          <w:shd w:val="clear" w:color="auto" w:fill="FFFFFF"/>
        </w:rPr>
        <w:t>）国有资产占用情况说明</w:t>
      </w:r>
    </w:p>
    <w:p w14:paraId="25E66273"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辆，其中，应急保障用车</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辆。</w:t>
      </w:r>
      <w:r>
        <w:rPr>
          <w:rFonts w:ascii="Times New Roman" w:eastAsia="方正仿宋_GBK" w:hAnsi="Times New Roman"/>
          <w:sz w:val="32"/>
          <w:szCs w:val="32"/>
          <w:shd w:val="clear" w:color="auto" w:fill="FFFFFF"/>
        </w:rPr>
        <w:t>无</w:t>
      </w:r>
      <w:r>
        <w:rPr>
          <w:rFonts w:ascii="Times New Roman" w:eastAsia="方正仿宋_GBK" w:hAnsi="Times New Roman" w:hint="default"/>
          <w:sz w:val="32"/>
          <w:szCs w:val="32"/>
          <w:shd w:val="clear" w:color="auto" w:fill="FFFFFF"/>
        </w:rPr>
        <w:t>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p>
    <w:p w14:paraId="125B970B"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（四）政府采购支出情况说明</w:t>
      </w:r>
    </w:p>
    <w:p w14:paraId="5EBE3C7D"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年度我单位未发生政府采购事项，无相关经费支出。</w:t>
      </w:r>
    </w:p>
    <w:p w14:paraId="432369CB" w14:textId="77777777" w:rsidR="00022EE3" w:rsidRDefault="00000000">
      <w:pPr>
        <w:pStyle w:val="a7"/>
        <w:numPr>
          <w:ilvl w:val="0"/>
          <w:numId w:val="1"/>
        </w:numPr>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预算绩效管理情况说明</w:t>
      </w:r>
    </w:p>
    <w:p w14:paraId="409E572E"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（一）单位自评情况</w:t>
      </w:r>
    </w:p>
    <w:p w14:paraId="15834FAA" w14:textId="77777777" w:rsidR="00022EE3" w:rsidRDefault="00000000">
      <w:pPr>
        <w:pStyle w:val="Char"/>
        <w:autoSpaceDE w:val="0"/>
        <w:spacing w:before="0" w:beforeAutospacing="0" w:after="0" w:afterAutospacing="0" w:line="600" w:lineRule="exact"/>
        <w:ind w:firstLineChars="200" w:firstLine="640"/>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lastRenderedPageBreak/>
        <w:t>根据预算绩效管理要求，我单位对</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178.34</w:t>
      </w:r>
      <w:r>
        <w:rPr>
          <w:rFonts w:ascii="Times New Roman" w:eastAsia="方正仿宋_GBK" w:hAnsi="Times New Roman"/>
          <w:sz w:val="32"/>
          <w:szCs w:val="32"/>
          <w:shd w:val="clear" w:color="auto" w:fill="FFFFFF"/>
        </w:rPr>
        <w:t>万元。</w:t>
      </w:r>
    </w:p>
    <w:p w14:paraId="6993D8F7" w14:textId="77777777" w:rsidR="00022EE3" w:rsidRDefault="00000000">
      <w:pPr>
        <w:pStyle w:val="Char"/>
        <w:spacing w:before="0" w:beforeAutospacing="0" w:after="0" w:afterAutospacing="0" w:line="600" w:lineRule="exact"/>
        <w:ind w:firstLineChars="200" w:firstLine="560"/>
        <w:rPr>
          <w:rFonts w:ascii="Times New Roman" w:eastAsia="楷体" w:hAnsi="Times New Roman"/>
          <w:b/>
          <w:bCs/>
          <w:sz w:val="32"/>
          <w:szCs w:val="32"/>
          <w:highlight w:val="yellow"/>
          <w:shd w:val="clear" w:color="auto" w:fill="FFFFFF"/>
        </w:rPr>
      </w:pPr>
      <w:r>
        <w:rPr>
          <w:rFonts w:ascii="Times New Roman" w:eastAsia="方正仿宋_GBK" w:hAnsi="Times New Roman"/>
          <w:sz w:val="28"/>
          <w:szCs w:val="28"/>
          <w:shd w:val="clear" w:color="auto" w:fill="FFFFFF"/>
        </w:rPr>
        <w:t>项目支出绩效自评表（二级项目）：见附件</w:t>
      </w:r>
    </w:p>
    <w:p w14:paraId="67F75C03"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（二）单位绩效评价情况</w:t>
      </w:r>
    </w:p>
    <w:p w14:paraId="1791C897" w14:textId="77777777" w:rsidR="00022EE3" w:rsidRDefault="00000000">
      <w:pPr>
        <w:pStyle w:val="1"/>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4EC9191A" w14:textId="77777777" w:rsidR="00022EE3" w:rsidRDefault="00000000">
      <w:pPr>
        <w:pStyle w:val="1"/>
        <w:autoSpaceDE w:val="0"/>
        <w:spacing w:line="600" w:lineRule="exact"/>
        <w:ind w:firstLine="643"/>
        <w:rPr>
          <w:rFonts w:ascii="方正楷体_GBK" w:eastAsia="方正楷体_GBK" w:hAnsi="方正楷体_GBK" w:cs="方正楷体_GBK"/>
          <w:b/>
          <w:bCs/>
          <w:sz w:val="32"/>
          <w:szCs w:val="32"/>
          <w:shd w:val="clear" w:color="auto" w:fill="FFFFFF"/>
        </w:rPr>
      </w:pPr>
      <w:r>
        <w:rPr>
          <w:rFonts w:ascii="方正楷体_GBK" w:eastAsia="方正楷体_GBK" w:hAnsi="方正楷体_GBK" w:cs="方正楷体_GBK"/>
          <w:b/>
          <w:bCs/>
          <w:sz w:val="32"/>
          <w:szCs w:val="32"/>
          <w:shd w:val="clear" w:color="auto" w:fill="FFFFFF"/>
        </w:rPr>
        <w:t>（三）财政绩效评价情况</w:t>
      </w:r>
    </w:p>
    <w:p w14:paraId="13D4E8E5" w14:textId="77777777" w:rsidR="00022EE3" w:rsidRDefault="00000000">
      <w:pPr>
        <w:pStyle w:val="2"/>
        <w:autoSpaceDE w:val="0"/>
        <w:spacing w:line="600" w:lineRule="exact"/>
        <w:ind w:firstLine="64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重庆高新区财政局未委托第三方对我单位开展绩效评价。</w:t>
      </w:r>
    </w:p>
    <w:p w14:paraId="69F742A0" w14:textId="77777777" w:rsidR="00022EE3" w:rsidRDefault="00000000">
      <w:pPr>
        <w:pStyle w:val="a7"/>
        <w:shd w:val="clear" w:color="auto" w:fill="FFFFFF"/>
        <w:spacing w:beforeAutospacing="0" w:after="0" w:afterAutospacing="0" w:line="600" w:lineRule="exact"/>
        <w:ind w:firstLineChars="200" w:firstLine="643"/>
        <w:rPr>
          <w:rStyle w:val="a8"/>
          <w:rFonts w:ascii="方正黑体_GBK" w:eastAsia="方正黑体_GBK" w:hAnsi="方正黑体_GBK" w:cs="方正黑体_GBK" w:hint="default"/>
          <w:sz w:val="32"/>
          <w:szCs w:val="32"/>
          <w:shd w:val="clear" w:color="auto" w:fill="FFFFFF"/>
        </w:rPr>
      </w:pPr>
      <w:r>
        <w:rPr>
          <w:rStyle w:val="a8"/>
          <w:rFonts w:ascii="方正黑体_GBK" w:eastAsia="方正黑体_GBK" w:hAnsi="方正黑体_GBK" w:cs="方正黑体_GBK"/>
          <w:sz w:val="32"/>
          <w:szCs w:val="32"/>
          <w:shd w:val="clear" w:color="auto" w:fill="FFFFFF"/>
        </w:rPr>
        <w:t>六、专业名词解释</w:t>
      </w:r>
    </w:p>
    <w:p w14:paraId="4DC3DF1F"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Fonts w:ascii="Times New Roman" w:eastAsia="楷体" w:hAnsi="Times New Roman" w:hint="default"/>
          <w:b/>
          <w:bCs/>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6E5390C9"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（二）事业收入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16E657C6"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（三）经营收入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1DC1F803"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（四）其他收入</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w:t>
      </w:r>
      <w:r>
        <w:rPr>
          <w:rFonts w:ascii="Times New Roman" w:eastAsia="方正仿宋_GBK" w:hAnsi="Times New Roman" w:hint="default"/>
          <w:sz w:val="32"/>
          <w:szCs w:val="32"/>
          <w:shd w:val="clear" w:color="auto" w:fill="FFFFFF"/>
        </w:rPr>
        <w:lastRenderedPageBreak/>
        <w:t>外的同级单位取得的经费、从非本级财政部门取得的经费，以及行政单位收到的财政专户管理资金反映在本项内。</w:t>
      </w:r>
    </w:p>
    <w:p w14:paraId="35543D98"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（五）使用非财政拨款结余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14:paraId="7BCBB407"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（六）年初结转和结余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50C65924"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（七）结余分配</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6456A9CB"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（八）年末结转和结余</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指单位结转下年的基本支出结转、项目支出结转和结余、经营结余。</w:t>
      </w:r>
    </w:p>
    <w:p w14:paraId="6BBCCA47"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（九）基本支出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sz w:val="32"/>
          <w:szCs w:val="32"/>
          <w:shd w:val="clear" w:color="auto" w:fill="FFFFFF"/>
        </w:rPr>
        <w:t>”</w:t>
      </w:r>
      <w:r>
        <w:rPr>
          <w:rFonts w:ascii="Times New Roman" w:eastAsia="方正仿宋_GBK" w:hAnsi="Times New Roman" w:hint="default"/>
          <w:sz w:val="32"/>
          <w:szCs w:val="32"/>
          <w:shd w:val="clear" w:color="auto" w:fill="FFFFFF"/>
        </w:rPr>
        <w:t>外的其他支出。</w:t>
      </w:r>
    </w:p>
    <w:p w14:paraId="44A8F776"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（十）项目支出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指在基本支出之外为完成特定行政任务和事业发展目标所发生的支出。</w:t>
      </w:r>
    </w:p>
    <w:p w14:paraId="212A327A"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（十一）经营支出</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6ADF262B"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lastRenderedPageBreak/>
        <w:t>（十二）</w:t>
      </w:r>
      <w:r>
        <w:rPr>
          <w:rStyle w:val="a8"/>
          <w:rFonts w:ascii="Times New Roman" w:eastAsia="楷体" w:hAnsi="Times New Roman"/>
          <w:sz w:val="32"/>
          <w:szCs w:val="32"/>
          <w:shd w:val="clear" w:color="auto" w:fill="FFFFFF"/>
        </w:rPr>
        <w:t>“</w:t>
      </w:r>
      <w:r>
        <w:rPr>
          <w:rStyle w:val="a8"/>
          <w:rFonts w:ascii="Times New Roman" w:eastAsia="楷体" w:hAnsi="Times New Roman" w:hint="default"/>
          <w:sz w:val="32"/>
          <w:szCs w:val="32"/>
          <w:shd w:val="clear" w:color="auto" w:fill="FFFFFF"/>
        </w:rPr>
        <w:t>三公</w:t>
      </w:r>
      <w:r>
        <w:rPr>
          <w:rStyle w:val="a8"/>
          <w:rFonts w:ascii="Times New Roman" w:eastAsia="楷体" w:hAnsi="Times New Roman"/>
          <w:sz w:val="32"/>
          <w:szCs w:val="32"/>
          <w:shd w:val="clear" w:color="auto" w:fill="FFFFFF"/>
        </w:rPr>
        <w:t>”</w:t>
      </w:r>
      <w:r>
        <w:rPr>
          <w:rStyle w:val="a8"/>
          <w:rFonts w:ascii="Times New Roman" w:eastAsia="楷体" w:hAnsi="Times New Roman" w:hint="default"/>
          <w:sz w:val="32"/>
          <w:szCs w:val="32"/>
          <w:shd w:val="clear" w:color="auto" w:fill="FFFFFF"/>
        </w:rPr>
        <w:t>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14:paraId="0DC83423"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（十三）机关运行经费</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484E793"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（十四）工资福利支出（支出经济分类科目类级）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14:paraId="09B4C979"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（十五）商品和服务支出（支出经济分类科目类级）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77A1DCFA"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lastRenderedPageBreak/>
        <w:t>（十六）对个人和家庭的补助（支出经济分类科目类级）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反映用于对个人和家庭的补助支出。</w:t>
      </w:r>
    </w:p>
    <w:p w14:paraId="17A7619A" w14:textId="77777777" w:rsidR="00022EE3" w:rsidRDefault="00000000">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rPr>
      </w:pPr>
      <w:r>
        <w:rPr>
          <w:rStyle w:val="a8"/>
          <w:rFonts w:ascii="Times New Roman" w:eastAsia="楷体" w:hAnsi="Times New Roman" w:hint="default"/>
          <w:sz w:val="32"/>
          <w:szCs w:val="32"/>
          <w:shd w:val="clear" w:color="auto" w:fill="FFFFFF"/>
        </w:rPr>
        <w:t>（十七）其他资本性支出（支出经济分类科目类级）</w:t>
      </w:r>
      <w:r>
        <w:rPr>
          <w:rFonts w:ascii="Times New Roman" w:eastAsia="楷体"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0B581150" w14:textId="77777777" w:rsidR="00022EE3" w:rsidRDefault="00000000">
      <w:pPr>
        <w:pStyle w:val="a7"/>
        <w:shd w:val="clear" w:color="auto" w:fill="FFFFFF"/>
        <w:spacing w:beforeAutospacing="0" w:after="0" w:afterAutospacing="0" w:line="600" w:lineRule="exact"/>
        <w:ind w:firstLineChars="200" w:firstLine="643"/>
        <w:rPr>
          <w:rStyle w:val="a8"/>
          <w:rFonts w:ascii="Times New Roman" w:eastAsia="方正仿宋_GBK" w:hAnsi="Times New Roman" w:hint="default"/>
          <w:sz w:val="32"/>
          <w:szCs w:val="32"/>
          <w:shd w:val="clear" w:color="auto" w:fill="FFFFFF"/>
        </w:rPr>
      </w:pPr>
      <w:r>
        <w:rPr>
          <w:rStyle w:val="a8"/>
          <w:rFonts w:ascii="Times New Roman" w:eastAsia="黑体" w:hAnsi="Times New Roman" w:hint="default"/>
          <w:sz w:val="32"/>
          <w:szCs w:val="32"/>
          <w:shd w:val="clear" w:color="auto" w:fill="FFFFFF"/>
        </w:rPr>
        <w:t>七、决算公开联系方式及信息反馈渠道</w:t>
      </w:r>
    </w:p>
    <w:p w14:paraId="4C9CDEA9" w14:textId="77777777" w:rsidR="00022EE3" w:rsidRDefault="0000000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rPr>
        <w:sectPr w:rsidR="00022EE3">
          <w:footerReference w:type="default" r:id="rId8"/>
          <w:pgSz w:w="11915" w:h="16840"/>
          <w:pgMar w:top="2098" w:right="1531" w:bottom="1984" w:left="1531" w:header="851" w:footer="992" w:gutter="0"/>
          <w:pgNumType w:fmt="numberInDash"/>
          <w:cols w:space="720"/>
          <w:docGrid w:type="lines" w:linePitch="312"/>
        </w:sectPr>
      </w:pPr>
      <w:r>
        <w:rPr>
          <w:rFonts w:ascii="Times New Roman" w:eastAsia="方正仿宋_GBK" w:hAnsi="Times New Roman" w:hint="default"/>
          <w:sz w:val="32"/>
          <w:szCs w:val="32"/>
          <w:shd w:val="clear" w:color="auto" w:fill="FFFFFF"/>
        </w:rPr>
        <w:t>本单位决算公开信息反馈和联系方式：</w:t>
      </w:r>
      <w:r>
        <w:rPr>
          <w:rFonts w:ascii="Times New Roman" w:eastAsia="方正仿宋_GBK" w:hAnsi="Times New Roman" w:hint="default"/>
          <w:sz w:val="32"/>
          <w:szCs w:val="32"/>
          <w:shd w:val="clear" w:color="auto" w:fill="FFFFFF"/>
        </w:rPr>
        <w:t>023-61691710</w:t>
      </w:r>
      <w:r>
        <w:rPr>
          <w:rFonts w:ascii="Times New Roman" w:eastAsia="方正仿宋_GBK" w:hAnsi="Times New Roman" w:hint="default"/>
          <w:sz w:val="32"/>
          <w:szCs w:val="32"/>
          <w:shd w:val="clear" w:color="auto" w:fill="FFFFFF"/>
        </w:rPr>
        <w:t>。</w:t>
      </w:r>
    </w:p>
    <w:p w14:paraId="3916E6DE" w14:textId="77777777" w:rsidR="00022EE3" w:rsidRDefault="00022EE3">
      <w:pPr>
        <w:spacing w:line="600" w:lineRule="exact"/>
        <w:ind w:firstLineChars="200" w:firstLine="420"/>
        <w:rPr>
          <w:rFonts w:ascii="Times New Roman" w:hAnsi="Times New Roman" w:hint="default"/>
          <w:sz w:val="21"/>
          <w:szCs w:val="21"/>
        </w:rPr>
      </w:pPr>
    </w:p>
    <w:sectPr w:rsidR="00022EE3">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3A0FE" w14:textId="77777777" w:rsidR="00837AAD" w:rsidRDefault="00837AAD">
      <w:pPr>
        <w:spacing w:after="0" w:line="240" w:lineRule="auto"/>
        <w:rPr>
          <w:rFonts w:hint="default"/>
        </w:rPr>
      </w:pPr>
      <w:r>
        <w:separator/>
      </w:r>
    </w:p>
  </w:endnote>
  <w:endnote w:type="continuationSeparator" w:id="0">
    <w:p w14:paraId="1F9AF7DA" w14:textId="77777777" w:rsidR="00837AAD" w:rsidRDefault="00837AAD">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EFA0E" w14:textId="77777777" w:rsidR="00022EE3" w:rsidRDefault="00000000">
    <w:pPr>
      <w:pStyle w:val="a5"/>
      <w:rPr>
        <w:rFonts w:hint="default"/>
      </w:rPr>
    </w:pPr>
    <w:r>
      <w:rPr>
        <w:rFonts w:hint="default"/>
      </w:rPr>
      <w:pict w14:anchorId="0BC71A09">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77948CFD" w14:textId="77777777" w:rsidR="00022EE3" w:rsidRDefault="00000000">
                <w:pPr>
                  <w:pStyle w:val="a5"/>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9B4F3" w14:textId="77777777" w:rsidR="00022EE3" w:rsidRDefault="00000000">
    <w:pPr>
      <w:pStyle w:val="a5"/>
      <w:jc w:val="both"/>
      <w:rPr>
        <w:rFonts w:hint="default"/>
      </w:rPr>
    </w:pPr>
    <w:r>
      <w:rPr>
        <w:rFonts w:hint="default"/>
      </w:rPr>
      <w:pict w14:anchorId="703E838A">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0C7B4D2F" w14:textId="77777777" w:rsidR="00022EE3" w:rsidRDefault="00000000">
                <w:pPr>
                  <w:pStyle w:val="a5"/>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29492EC9">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2522254E" w14:textId="77777777" w:rsidR="00022EE3" w:rsidRDefault="00000000">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73440" w14:textId="77777777" w:rsidR="00837AAD" w:rsidRDefault="00837AAD">
      <w:pPr>
        <w:spacing w:after="0" w:line="240" w:lineRule="auto"/>
        <w:rPr>
          <w:rFonts w:hint="default"/>
        </w:rPr>
      </w:pPr>
      <w:r>
        <w:separator/>
      </w:r>
    </w:p>
  </w:footnote>
  <w:footnote w:type="continuationSeparator" w:id="0">
    <w:p w14:paraId="13201FBF" w14:textId="77777777" w:rsidR="00837AAD" w:rsidRDefault="00837AAD">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2435" w14:textId="77777777" w:rsidR="00022EE3" w:rsidRDefault="00022EE3">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16cid:durableId="125890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defaultTabStop w:val="420"/>
  <w:drawingGridHorizontalSpacing w:val="120"/>
  <w:drawingGridVerticalSpacing w:val="163"/>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B03CCD"/>
    <w:rsid w:val="00022EE3"/>
    <w:rsid w:val="00197E13"/>
    <w:rsid w:val="001A5B34"/>
    <w:rsid w:val="001D3BB7"/>
    <w:rsid w:val="001F6980"/>
    <w:rsid w:val="00200D15"/>
    <w:rsid w:val="0022556A"/>
    <w:rsid w:val="00297D08"/>
    <w:rsid w:val="002B254B"/>
    <w:rsid w:val="00466C9B"/>
    <w:rsid w:val="00550ABE"/>
    <w:rsid w:val="005C209D"/>
    <w:rsid w:val="0066321D"/>
    <w:rsid w:val="006B2AEC"/>
    <w:rsid w:val="006B6518"/>
    <w:rsid w:val="00710956"/>
    <w:rsid w:val="00770383"/>
    <w:rsid w:val="007819D4"/>
    <w:rsid w:val="007B419D"/>
    <w:rsid w:val="007B7C4B"/>
    <w:rsid w:val="007D3D39"/>
    <w:rsid w:val="00836A93"/>
    <w:rsid w:val="00837AAD"/>
    <w:rsid w:val="00841D51"/>
    <w:rsid w:val="009054B2"/>
    <w:rsid w:val="00994AF7"/>
    <w:rsid w:val="009B67B8"/>
    <w:rsid w:val="009D2B67"/>
    <w:rsid w:val="00A566F9"/>
    <w:rsid w:val="00A665FC"/>
    <w:rsid w:val="00AF2751"/>
    <w:rsid w:val="00B03CCD"/>
    <w:rsid w:val="00B12389"/>
    <w:rsid w:val="00B460C0"/>
    <w:rsid w:val="00BE2B89"/>
    <w:rsid w:val="00C04A56"/>
    <w:rsid w:val="00C10E9E"/>
    <w:rsid w:val="00C20C3E"/>
    <w:rsid w:val="00E81785"/>
    <w:rsid w:val="00F73F90"/>
    <w:rsid w:val="00FA00E5"/>
    <w:rsid w:val="00FB08E1"/>
    <w:rsid w:val="01474EBF"/>
    <w:rsid w:val="01F3521E"/>
    <w:rsid w:val="03B87EA0"/>
    <w:rsid w:val="03E3214F"/>
    <w:rsid w:val="044C50BA"/>
    <w:rsid w:val="05BC6D49"/>
    <w:rsid w:val="06194FF1"/>
    <w:rsid w:val="06450134"/>
    <w:rsid w:val="06A2550B"/>
    <w:rsid w:val="06F80EE2"/>
    <w:rsid w:val="07001CCA"/>
    <w:rsid w:val="075678DB"/>
    <w:rsid w:val="079D7CC7"/>
    <w:rsid w:val="07B642D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820904"/>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E347B4"/>
    <w:rsid w:val="173708E3"/>
    <w:rsid w:val="17C374FC"/>
    <w:rsid w:val="182E4AB6"/>
    <w:rsid w:val="189079DC"/>
    <w:rsid w:val="189B0D0B"/>
    <w:rsid w:val="18B43F7C"/>
    <w:rsid w:val="194A1770"/>
    <w:rsid w:val="19B906A4"/>
    <w:rsid w:val="19E90E9A"/>
    <w:rsid w:val="1A414E5E"/>
    <w:rsid w:val="1B16767E"/>
    <w:rsid w:val="1B6F15B6"/>
    <w:rsid w:val="1BAA2EDC"/>
    <w:rsid w:val="1CA55E64"/>
    <w:rsid w:val="1CF819C2"/>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184698"/>
    <w:rsid w:val="26396DF4"/>
    <w:rsid w:val="27167136"/>
    <w:rsid w:val="271B442C"/>
    <w:rsid w:val="27534959"/>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CD2A0F"/>
    <w:rsid w:val="31D84415"/>
    <w:rsid w:val="31DD746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8DD4EEC"/>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4F8D306D"/>
    <w:rsid w:val="50EA027B"/>
    <w:rsid w:val="50F06B6E"/>
    <w:rsid w:val="51D21804"/>
    <w:rsid w:val="520909E8"/>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7103E9"/>
    <w:rsid w:val="5582012B"/>
    <w:rsid w:val="558E4E05"/>
    <w:rsid w:val="55BE2E85"/>
    <w:rsid w:val="56530F5D"/>
    <w:rsid w:val="567700D3"/>
    <w:rsid w:val="56FF7E9E"/>
    <w:rsid w:val="575E5494"/>
    <w:rsid w:val="578867FC"/>
    <w:rsid w:val="5842572D"/>
    <w:rsid w:val="59C36B6D"/>
    <w:rsid w:val="5A3B59D6"/>
    <w:rsid w:val="5A565A81"/>
    <w:rsid w:val="5AD134D8"/>
    <w:rsid w:val="5AE60BD6"/>
    <w:rsid w:val="5C263CE4"/>
    <w:rsid w:val="5C5D2777"/>
    <w:rsid w:val="5CF66BF3"/>
    <w:rsid w:val="5D290C69"/>
    <w:rsid w:val="5F2D4A41"/>
    <w:rsid w:val="605E17B6"/>
    <w:rsid w:val="60C74F6C"/>
    <w:rsid w:val="61025A59"/>
    <w:rsid w:val="613D5BBC"/>
    <w:rsid w:val="61536C39"/>
    <w:rsid w:val="62944DD7"/>
    <w:rsid w:val="6319381F"/>
    <w:rsid w:val="63C25DC5"/>
    <w:rsid w:val="63C62057"/>
    <w:rsid w:val="64571EF5"/>
    <w:rsid w:val="645C0E5C"/>
    <w:rsid w:val="64FB113D"/>
    <w:rsid w:val="656152C6"/>
    <w:rsid w:val="6587477F"/>
    <w:rsid w:val="658C3A08"/>
    <w:rsid w:val="65945CF6"/>
    <w:rsid w:val="65C031CA"/>
    <w:rsid w:val="65CE6852"/>
    <w:rsid w:val="66267C04"/>
    <w:rsid w:val="663F505A"/>
    <w:rsid w:val="66EE5541"/>
    <w:rsid w:val="67924660"/>
    <w:rsid w:val="68407834"/>
    <w:rsid w:val="68511187"/>
    <w:rsid w:val="68743737"/>
    <w:rsid w:val="6883293E"/>
    <w:rsid w:val="688412AD"/>
    <w:rsid w:val="68EB1B71"/>
    <w:rsid w:val="6A6C7940"/>
    <w:rsid w:val="6AAD2300"/>
    <w:rsid w:val="6AB67824"/>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7517D"/>
    <w:rsid w:val="764F62AB"/>
    <w:rsid w:val="765C45EC"/>
    <w:rsid w:val="768A7619"/>
    <w:rsid w:val="772E1EBA"/>
    <w:rsid w:val="781926BC"/>
    <w:rsid w:val="796D60A4"/>
    <w:rsid w:val="79A031D5"/>
    <w:rsid w:val="7A1525F7"/>
    <w:rsid w:val="7A154428"/>
    <w:rsid w:val="7B420052"/>
    <w:rsid w:val="7BD06A28"/>
    <w:rsid w:val="7C3A7C0B"/>
    <w:rsid w:val="7C3C70D9"/>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270AC"/>
  <w15:docId w15:val="{D288BAE7-F340-4BCF-97CE-71C6CF2B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19</cp:revision>
  <cp:lastPrinted>2024-10-11T08:44:00Z</cp:lastPrinted>
  <dcterms:created xsi:type="dcterms:W3CDTF">2024-07-11T02:00:00Z</dcterms:created>
  <dcterms:modified xsi:type="dcterms:W3CDTF">2024-10-30T09:52:00Z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BB46EABDBB2749749395447164B066B3_12</vt:lpwstr>
  </property>
</Properties>
</file>