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N/>
        <w:bidi w:val="0"/>
        <w:adjustRightInd/>
        <w:spacing w:before="0" w:beforeAutospacing="0" w:after="0" w:afterAutospacing="0" w:line="60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重庆市九龙坡区白市驿镇物业管理服务中心</w:t>
      </w:r>
    </w:p>
    <w:p>
      <w:pPr>
        <w:pStyle w:val="9"/>
        <w:keepNext w:val="0"/>
        <w:keepLines w:val="0"/>
        <w:pageBreakBefore w:val="0"/>
        <w:widowControl w:val="0"/>
        <w:kinsoku/>
        <w:wordWrap/>
        <w:overflowPunct/>
        <w:topLinePunct w:val="0"/>
        <w:autoSpaceDN/>
        <w:bidi w:val="0"/>
        <w:adjustRightInd/>
        <w:spacing w:before="0" w:beforeAutospacing="0" w:after="0" w:afterAutospacing="0" w:line="600" w:lineRule="exact"/>
        <w:jc w:val="center"/>
        <w:textAlignment w:val="auto"/>
        <w:rPr>
          <w:sz w:val="27"/>
          <w:szCs w:val="27"/>
          <w:shd w:val="clear" w:color="auto" w:fill="FFFF00"/>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3"/>
          <w:rFonts w:ascii="黑体" w:hAnsi="黑体" w:eastAsia="黑体" w:cs="黑体"/>
          <w:sz w:val="32"/>
          <w:szCs w:val="32"/>
          <w:shd w:val="clear" w:color="auto" w:fill="FFFFFF"/>
        </w:rPr>
      </w:pP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黑体_GBK" w:hAnsi="方正黑体_GBK" w:eastAsia="方正黑体_GBK" w:cs="方正黑体_GBK"/>
          <w:b w:val="0"/>
          <w:bCs/>
          <w:sz w:val="32"/>
          <w:szCs w:val="32"/>
          <w:shd w:val="clear" w:color="auto" w:fill="FFFF00"/>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val="en-US" w:eastAsia="zh-CN"/>
        </w:rPr>
        <w:t>单位基本</w:t>
      </w:r>
      <w:r>
        <w:rPr>
          <w:rStyle w:val="13"/>
          <w:rFonts w:hint="eastAsia" w:ascii="方正黑体_GBK" w:hAnsi="方正黑体_GBK" w:eastAsia="方正黑体_GBK" w:cs="方正黑体_GBK"/>
          <w:b w:val="0"/>
          <w:bCs/>
          <w:sz w:val="32"/>
          <w:szCs w:val="32"/>
          <w:shd w:val="clear" w:color="auto" w:fill="FFFFFF"/>
        </w:rPr>
        <w:t>情况</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（一）职能职责</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方正仿宋_GBK"/>
          <w:sz w:val="32"/>
        </w:rPr>
        <w:t>白市驿镇</w:t>
      </w:r>
      <w:r>
        <w:rPr>
          <w:rFonts w:hint="eastAsia" w:ascii="Times New Roman" w:hAnsi="Times New Roman" w:eastAsia="方正仿宋_GBK" w:cs="方正仿宋_GBK"/>
          <w:sz w:val="32"/>
          <w:szCs w:val="22"/>
          <w:lang w:val="en-US" w:eastAsia="zh-CN"/>
        </w:rPr>
        <w:t>物业管理服务中心</w:t>
      </w:r>
      <w:r>
        <w:rPr>
          <w:rFonts w:hint="eastAsia" w:ascii="Times New Roman" w:hAnsi="Times New Roman" w:eastAsia="方正仿宋_GBK" w:cs="方正仿宋_GBK"/>
          <w:sz w:val="32"/>
        </w:rPr>
        <w:t>的主要职能职责为：承担物业管理方面的事务性工作</w:t>
      </w:r>
      <w:r>
        <w:rPr>
          <w:rFonts w:hint="eastAsia" w:ascii="Times New Roman" w:hAnsi="Times New Roman" w:eastAsia="方正仿宋_GBK" w:cs="方正仿宋_GBK"/>
          <w:sz w:val="32"/>
          <w:lang w:eastAsia="zh-CN"/>
        </w:rPr>
        <w:t>。</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（二）机构设置</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白市驿镇</w:t>
      </w:r>
      <w:r>
        <w:rPr>
          <w:rFonts w:hint="eastAsia" w:ascii="Times New Roman" w:hAnsi="Times New Roman" w:eastAsia="方正仿宋_GBK" w:cs="方正仿宋_GBK"/>
          <w:sz w:val="32"/>
          <w:szCs w:val="22"/>
          <w:lang w:val="en-US" w:eastAsia="zh-CN"/>
        </w:rPr>
        <w:t>物业管理服务中心</w:t>
      </w:r>
      <w:r>
        <w:rPr>
          <w:rFonts w:hint="eastAsia" w:ascii="Times New Roman" w:hAnsi="Times New Roman" w:eastAsia="方正仿宋_GBK" w:cs="方正仿宋_GBK"/>
          <w:sz w:val="32"/>
          <w:lang w:val="en-US" w:eastAsia="zh-CN"/>
        </w:rPr>
        <w:t>为白市驿镇人民政府下属事业单位，无内设机构</w:t>
      </w:r>
      <w:r>
        <w:rPr>
          <w:rFonts w:hint="eastAsia" w:ascii="Times New Roman" w:hAnsi="Times New Roman" w:eastAsia="方正仿宋_GBK" w:cs="方正仿宋_GBK"/>
          <w:sz w:val="32"/>
        </w:rPr>
        <w:t>。</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val="en-US" w:eastAsia="zh-CN"/>
        </w:rPr>
        <w:t>单位</w:t>
      </w:r>
      <w:r>
        <w:rPr>
          <w:rStyle w:val="13"/>
          <w:rFonts w:hint="eastAsia" w:ascii="方正黑体_GBK" w:hAnsi="方正黑体_GBK" w:eastAsia="方正黑体_GBK" w:cs="方正黑体_GBK"/>
          <w:b w:val="0"/>
          <w:bCs/>
          <w:sz w:val="32"/>
          <w:szCs w:val="32"/>
          <w:shd w:val="clear" w:color="auto" w:fill="FFFFFF"/>
        </w:rPr>
        <w:t>决算收支情况说明</w:t>
      </w:r>
    </w:p>
    <w:p>
      <w:pPr>
        <w:pStyle w:val="14"/>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107.36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收、支与2023年度相比，增加6.88万元，增长6.9%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人员变动、工资调整、</w:t>
      </w:r>
      <w:r>
        <w:rPr>
          <w:rFonts w:hint="eastAsia" w:ascii="方正仿宋_GBK" w:hAnsi="方正仿宋_GBK" w:eastAsia="方正仿宋_GBK" w:cs="方正仿宋_GBK"/>
          <w:color w:val="auto"/>
          <w:sz w:val="32"/>
          <w:szCs w:val="32"/>
          <w:highlight w:val="none"/>
          <w:shd w:val="clear" w:color="auto" w:fill="FFFFFF"/>
          <w:lang w:val="en-US" w:eastAsia="zh-CN"/>
        </w:rPr>
        <w:t>补缴人员社会保障经费。</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107.36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与2023年度相比，增加6.88万元，增长6.9%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人员变动、工资调整、</w:t>
      </w:r>
      <w:r>
        <w:rPr>
          <w:rFonts w:hint="eastAsia" w:ascii="方正仿宋_GBK" w:hAnsi="方正仿宋_GBK" w:eastAsia="方正仿宋_GBK" w:cs="方正仿宋_GBK"/>
          <w:color w:val="auto"/>
          <w:sz w:val="32"/>
          <w:szCs w:val="32"/>
          <w:highlight w:val="none"/>
          <w:shd w:val="clear" w:color="auto" w:fill="FFFFFF"/>
          <w:lang w:val="en-US" w:eastAsia="zh-CN"/>
        </w:rPr>
        <w:t>补缴人员社会保障经费。</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107.36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107.36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与2023年度相比，增加6.88万元，增长6.9%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人员变动、工资调整、</w:t>
      </w:r>
      <w:r>
        <w:rPr>
          <w:rFonts w:hint="eastAsia" w:ascii="方正仿宋_GBK" w:hAnsi="方正仿宋_GBK" w:eastAsia="方正仿宋_GBK" w:cs="方正仿宋_GBK"/>
          <w:color w:val="auto"/>
          <w:sz w:val="32"/>
          <w:szCs w:val="32"/>
          <w:highlight w:val="none"/>
          <w:shd w:val="clear" w:color="auto" w:fill="FFFFFF"/>
          <w:lang w:val="en-US" w:eastAsia="zh-CN"/>
        </w:rPr>
        <w:t>补缴人员社会保障经费。</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107.36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107.36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财政拨款收、支总计各增加6.88万元，增长6.9%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人员变动、工资调整、</w:t>
      </w:r>
      <w:r>
        <w:rPr>
          <w:rFonts w:hint="eastAsia" w:ascii="方正仿宋_GBK" w:hAnsi="方正仿宋_GBK" w:eastAsia="方正仿宋_GBK" w:cs="方正仿宋_GBK"/>
          <w:color w:val="auto"/>
          <w:sz w:val="32"/>
          <w:szCs w:val="32"/>
          <w:highlight w:val="none"/>
          <w:shd w:val="clear" w:color="auto" w:fill="FFFFFF"/>
          <w:lang w:val="en-US" w:eastAsia="zh-CN"/>
        </w:rPr>
        <w:t>补缴人员社会保障经费。</w:t>
      </w:r>
    </w:p>
    <w:p>
      <w:pPr>
        <w:pStyle w:val="14"/>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107.36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与2023年度相比，增加6.88万元，增长6.9%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人员变动、工资调整、</w:t>
      </w:r>
      <w:r>
        <w:rPr>
          <w:rFonts w:hint="eastAsia" w:ascii="方正仿宋_GBK" w:hAnsi="方正仿宋_GBK" w:eastAsia="方正仿宋_GBK" w:cs="方正仿宋_GBK"/>
          <w:color w:val="auto"/>
          <w:sz w:val="32"/>
          <w:szCs w:val="32"/>
          <w:highlight w:val="none"/>
          <w:shd w:val="clear" w:color="auto" w:fill="FFFFFF"/>
          <w:lang w:val="en-US" w:eastAsia="zh-CN"/>
        </w:rPr>
        <w:t>补缴人员社会保障经费。</w:t>
      </w:r>
      <w:r>
        <w:rPr>
          <w:rFonts w:hint="default" w:ascii="Times New Roman" w:hAnsi="Times New Roman" w:eastAsia="方正仿宋_GBK"/>
          <w:sz w:val="32"/>
          <w:szCs w:val="32"/>
          <w:shd w:val="clear" w:color="auto" w:fill="FFFFFF"/>
        </w:rPr>
        <w:t>较年初预算数增加39.53万元，增长58.3%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人员变动、工资调整、</w:t>
      </w:r>
      <w:r>
        <w:rPr>
          <w:rFonts w:hint="eastAsia" w:ascii="方正仿宋_GBK" w:hAnsi="方正仿宋_GBK" w:eastAsia="方正仿宋_GBK" w:cs="方正仿宋_GBK"/>
          <w:color w:val="auto"/>
          <w:sz w:val="32"/>
          <w:szCs w:val="32"/>
          <w:highlight w:val="none"/>
          <w:shd w:val="clear" w:color="auto" w:fill="FFFFFF"/>
          <w:lang w:val="en-US" w:eastAsia="zh-CN"/>
        </w:rPr>
        <w:t>补缴人员社会保障经费。</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107.36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与2023年度相比，增加6.88万元，增长6.9%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人员变动、工资调整、</w:t>
      </w:r>
      <w:r>
        <w:rPr>
          <w:rFonts w:hint="eastAsia" w:ascii="方正仿宋_GBK" w:hAnsi="方正仿宋_GBK" w:eastAsia="方正仿宋_GBK" w:cs="方正仿宋_GBK"/>
          <w:color w:val="auto"/>
          <w:sz w:val="32"/>
          <w:szCs w:val="32"/>
          <w:highlight w:val="none"/>
          <w:shd w:val="clear" w:color="auto" w:fill="FFFFFF"/>
          <w:lang w:val="en-US" w:eastAsia="zh-CN"/>
        </w:rPr>
        <w:t>补缴人员社会保障经费。</w:t>
      </w:r>
      <w:r>
        <w:rPr>
          <w:rFonts w:hint="default" w:ascii="Times New Roman" w:hAnsi="Times New Roman" w:eastAsia="方正仿宋_GBK"/>
          <w:sz w:val="32"/>
          <w:szCs w:val="32"/>
          <w:shd w:val="clear" w:color="auto" w:fill="FFFFFF"/>
        </w:rPr>
        <w:t>较年初预算数增加39.53万元，增长58.3%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人员变动、工资调整、</w:t>
      </w:r>
      <w:r>
        <w:rPr>
          <w:rFonts w:hint="eastAsia" w:ascii="方正仿宋_GBK" w:hAnsi="方正仿宋_GBK" w:eastAsia="方正仿宋_GBK" w:cs="方正仿宋_GBK"/>
          <w:color w:val="auto"/>
          <w:sz w:val="32"/>
          <w:szCs w:val="32"/>
          <w:highlight w:val="none"/>
          <w:shd w:val="clear" w:color="auto" w:fill="FFFFFF"/>
          <w:lang w:val="en-US" w:eastAsia="zh-CN"/>
        </w:rPr>
        <w:t>补缴人员社会保障经费。</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98.09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较年初预算数增加42.94万元，增长77.9%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人员变动、工资调整</w:t>
      </w:r>
      <w:r>
        <w:rPr>
          <w:rFonts w:hint="eastAsia" w:ascii="方正仿宋_GBK" w:hAnsi="方正仿宋_GBK" w:eastAsia="方正仿宋_GBK" w:cs="方正仿宋_GBK"/>
          <w:color w:val="auto"/>
          <w:sz w:val="32"/>
          <w:szCs w:val="32"/>
          <w:highlight w:val="none"/>
          <w:shd w:val="clear" w:color="auto" w:fill="FFFFFF"/>
          <w:lang w:val="en-US" w:eastAsia="zh-CN"/>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8.11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较年初预算数增加1.98万元，增长32.3%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补缴人员社会保障经费。</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较年初预算数减少2.31万元，下降66.4%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人员变动、工资调整</w:t>
      </w:r>
      <w:r>
        <w:rPr>
          <w:rFonts w:hint="eastAsia" w:ascii="方正仿宋_GBK" w:hAnsi="方正仿宋_GBK" w:eastAsia="方正仿宋_GBK" w:cs="方正仿宋_GBK"/>
          <w:color w:val="auto"/>
          <w:sz w:val="32"/>
          <w:szCs w:val="32"/>
          <w:highlight w:val="none"/>
          <w:shd w:val="clear" w:color="auto" w:fill="FFFFFF"/>
          <w:lang w:val="en-US" w:eastAsia="zh-CN"/>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107.36</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92.16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与2023年度相比，增加6.26万元，增长7.3%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人员变动、工资调整、</w:t>
      </w:r>
      <w:r>
        <w:rPr>
          <w:rFonts w:hint="eastAsia" w:ascii="方正仿宋_GBK" w:hAnsi="方正仿宋_GBK" w:eastAsia="方正仿宋_GBK" w:cs="方正仿宋_GBK"/>
          <w:color w:val="auto"/>
          <w:sz w:val="32"/>
          <w:szCs w:val="32"/>
          <w:highlight w:val="none"/>
          <w:shd w:val="clear" w:color="auto" w:fill="FFFFFF"/>
          <w:lang w:val="en-US" w:eastAsia="zh-CN"/>
        </w:rPr>
        <w:t>补缴人员社会保障经费。</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cs="方正仿宋_GBK"/>
          <w:color w:val="auto"/>
          <w:sz w:val="32"/>
          <w:szCs w:val="32"/>
          <w:highlight w:val="none"/>
        </w:rPr>
        <w:t>基本工资、津贴补贴、社会保障缴费、绩效工资、其他福利支出、退休费、其他对个人和家庭的补助支出。</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与2023年度相比，增加0.62万元，增长4.3%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人员变动。</w:t>
      </w: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cs="方正仿宋_GBK"/>
          <w:color w:val="auto"/>
          <w:sz w:val="32"/>
          <w:szCs w:val="32"/>
          <w:highlight w:val="none"/>
        </w:rPr>
        <w:t>办公费、咨询费、差旅费、劳务费、维修费</w:t>
      </w:r>
      <w:r>
        <w:rPr>
          <w:rFonts w:hint="eastAsia" w:ascii="Times New Roman" w:hAnsi="Times New Roman" w:eastAsia="方正仿宋_GBK" w:cs="方正仿宋_GBK"/>
          <w:color w:val="auto"/>
          <w:sz w:val="32"/>
          <w:szCs w:val="32"/>
        </w:rPr>
        <w:t>、公务车运行维护费、水电费及其他商品服务支出。</w:t>
      </w:r>
    </w:p>
    <w:p>
      <w:pPr>
        <w:pStyle w:val="14"/>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方正仿宋_GBK"/>
          <w:color w:val="auto"/>
          <w:sz w:val="32"/>
          <w:szCs w:val="32"/>
          <w:shd w:val="clear" w:color="auto" w:fill="FFFFFF"/>
        </w:rPr>
        <w:t>本单位202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年度无政府性基金预算财政拨款收支。</w:t>
      </w:r>
    </w:p>
    <w:p>
      <w:pPr>
        <w:pStyle w:val="14"/>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方正仿宋_GBK"/>
          <w:color w:val="auto"/>
          <w:sz w:val="32"/>
          <w:szCs w:val="32"/>
          <w:shd w:val="clear" w:color="auto" w:fill="FFFFFF"/>
        </w:rPr>
        <w:t>本单位202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年度无国有资本经营预算财政拨款支出。</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三、财政拨款“三公”经费情况说明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方正仿宋_GBK"/>
          <w:color w:val="auto"/>
          <w:sz w:val="32"/>
          <w:szCs w:val="32"/>
          <w:highlight w:val="none"/>
          <w:shd w:val="clear" w:color="auto" w:fill="FFFFFF"/>
        </w:rPr>
        <w:t>本单位202</w:t>
      </w:r>
      <w:r>
        <w:rPr>
          <w:rFonts w:hint="eastAsia" w:ascii="Times New Roman" w:hAnsi="Times New Roman" w:eastAsia="方正仿宋_GBK" w:cs="方正仿宋_GBK"/>
          <w:color w:val="auto"/>
          <w:sz w:val="32"/>
          <w:szCs w:val="32"/>
          <w:highlight w:val="none"/>
          <w:shd w:val="clear" w:color="auto" w:fill="FFFFFF"/>
          <w:lang w:val="en-US" w:eastAsia="zh-CN"/>
        </w:rPr>
        <w:t>4</w:t>
      </w:r>
      <w:r>
        <w:rPr>
          <w:rFonts w:hint="eastAsia" w:ascii="Times New Roman" w:hAnsi="Times New Roman" w:eastAsia="方正仿宋_GBK" w:cs="方正仿宋_GBK"/>
          <w:color w:val="auto"/>
          <w:sz w:val="32"/>
          <w:szCs w:val="32"/>
          <w:highlight w:val="none"/>
          <w:shd w:val="clear" w:color="auto" w:fill="FFFFFF"/>
        </w:rPr>
        <w:t>年度无“三公”经费支出</w:t>
      </w:r>
      <w:r>
        <w:rPr>
          <w:rFonts w:hint="eastAsia" w:ascii="Times New Roman" w:hAnsi="Times New Roman" w:eastAsia="方正仿宋_GBK" w:cs="方正仿宋_GBK"/>
          <w:color w:val="auto"/>
          <w:sz w:val="32"/>
          <w:szCs w:val="32"/>
          <w:highlight w:val="none"/>
          <w:shd w:val="clear" w:color="auto" w:fill="FFFFFF"/>
          <w:lang w:eastAsia="zh-CN"/>
        </w:rPr>
        <w:t>。</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highlight w:val="yellow"/>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w:t>
      </w:r>
      <w:bookmarkStart w:id="0" w:name="_GoBack"/>
      <w:bookmarkEnd w:id="0"/>
      <w:r>
        <w:rPr>
          <w:rFonts w:hint="default" w:ascii="Times New Roman" w:hAnsi="Times New Roman" w:eastAsia="方正仿宋_GBK"/>
          <w:sz w:val="32"/>
          <w:szCs w:val="32"/>
          <w:shd w:val="clear" w:color="auto" w:fill="FFFFFF"/>
        </w:rPr>
        <w:t>比，增加0.2万元，增长111.1%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人员变动，增加相应的职工教育经费。</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highlight w:val="yellow"/>
        </w:rPr>
      </w:pPr>
      <w:r>
        <w:rPr>
          <w:rFonts w:hint="eastAsia" w:ascii="Times New Roman" w:hAnsi="Times New Roman" w:eastAsia="方正仿宋_GBK" w:cs="方正仿宋_GBK"/>
          <w:color w:val="auto"/>
          <w:sz w:val="32"/>
          <w:szCs w:val="32"/>
          <w:shd w:val="clear" w:color="auto" w:fill="FFFFFF"/>
        </w:rPr>
        <w:t>按照部门决算列报口径，我单位不在机关运行经费统计范围之内。</w:t>
      </w:r>
    </w:p>
    <w:p>
      <w:pPr>
        <w:pStyle w:val="14"/>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3"/>
          <w:rFonts w:hint="eastAsia" w:ascii="方正黑体_GBK" w:hAnsi="方正黑体_GBK" w:eastAsia="方正黑体_GBK" w:cs="方正黑体_GBK"/>
          <w:b w:val="0"/>
          <w:bCs/>
          <w:sz w:val="32"/>
          <w:szCs w:val="32"/>
          <w:shd w:val="clear" w:color="auto" w:fill="FFFFFF"/>
        </w:rPr>
        <w:sectPr>
          <w:footerReference r:id="rId3" w:type="default"/>
          <w:pgSz w:w="11915" w:h="16840"/>
          <w:pgMar w:top="2098" w:right="1531" w:bottom="1984" w:left="1531" w:header="851" w:footer="992" w:gutter="0"/>
          <w:pgNumType w:fmt="decimal"/>
          <w:cols w:space="720" w:num="1"/>
          <w:docGrid w:type="lines" w:linePitch="312" w:charSpace="0"/>
        </w:sectPr>
      </w:pPr>
      <w:r>
        <w:rPr>
          <w:rFonts w:hint="eastAsia" w:ascii="Times New Roman" w:hAnsi="Times New Roman" w:eastAsia="方正仿宋_GBK" w:cs="方正仿宋_GBK"/>
          <w:color w:val="auto"/>
          <w:sz w:val="32"/>
          <w:szCs w:val="32"/>
          <w:shd w:val="clear" w:color="auto" w:fill="FFFFFF"/>
        </w:rPr>
        <w:t>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年度我单位未发生政府采购事项，无相关经费支出。</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五、2024年度预算绩效管理情况说明</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（一）单位自评情况</w:t>
      </w:r>
    </w:p>
    <w:p>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val="en-US" w:eastAsia="zh-CN"/>
        </w:rPr>
      </w:pPr>
      <w:r>
        <w:rPr>
          <w:rFonts w:hint="eastAsia" w:ascii="Times New Roman" w:hAnsi="Times New Roman" w:eastAsia="方正仿宋_GBK" w:cs="方正仿宋_GBK"/>
          <w:color w:val="auto"/>
          <w:sz w:val="32"/>
          <w:szCs w:val="32"/>
          <w:shd w:val="clear" w:color="auto" w:fill="FFFFFF"/>
          <w:lang w:eastAsia="zh-CN"/>
        </w:rPr>
        <w:t>我</w:t>
      </w:r>
      <w:r>
        <w:rPr>
          <w:rFonts w:hint="eastAsia" w:ascii="Times New Roman" w:hAnsi="Times New Roman" w:eastAsia="方正仿宋_GBK" w:cs="方正仿宋_GBK"/>
          <w:color w:val="auto"/>
          <w:sz w:val="32"/>
          <w:szCs w:val="32"/>
          <w:shd w:val="clear" w:color="auto" w:fill="FFFFFF"/>
        </w:rPr>
        <w:t>单位无项目支出，不涉及项目绩效自评</w:t>
      </w:r>
      <w:r>
        <w:rPr>
          <w:rFonts w:hint="eastAsia" w:ascii="Times New Roman" w:hAnsi="Times New Roman" w:eastAsia="方正仿宋_GBK" w:cs="方正仿宋_GBK"/>
          <w:color w:val="auto"/>
          <w:sz w:val="32"/>
          <w:szCs w:val="32"/>
          <w:shd w:val="clear" w:color="auto" w:fill="FFFFFF"/>
          <w:lang w:eastAsia="zh-CN"/>
        </w:rPr>
        <w:t>。</w:t>
      </w:r>
    </w:p>
    <w:p>
      <w:pPr>
        <w:pStyle w:val="14"/>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（二）单位绩效评价情况</w:t>
      </w:r>
    </w:p>
    <w:p>
      <w:pPr>
        <w:pStyle w:val="14"/>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Times New Roman" w:hAnsi="Times New Roman" w:eastAsia="方正仿宋_GBK" w:cs="方正仿宋_GBK"/>
          <w:color w:val="auto"/>
          <w:sz w:val="32"/>
          <w:szCs w:val="32"/>
          <w:shd w:val="clear" w:color="auto" w:fill="FFFFFF"/>
          <w:lang w:val="en-US" w:eastAsia="zh-CN" w:bidi="ar-SA"/>
        </w:rPr>
        <w:t>我单位未组织开展绩效评价。</w:t>
      </w:r>
    </w:p>
    <w:p>
      <w:pPr>
        <w:pStyle w:val="14"/>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（三）财政绩效评价情况</w:t>
      </w:r>
    </w:p>
    <w:p>
      <w:pPr>
        <w:pStyle w:val="14"/>
        <w:keepNext w:val="0"/>
        <w:keepLines w:val="0"/>
        <w:pageBreakBefore w:val="0"/>
        <w:widowControl w:val="0"/>
        <w:numPr>
          <w:ilvl w:val="0"/>
          <w:numId w:val="0"/>
        </w:numPr>
        <w:kinsoku/>
        <w:wordWrap/>
        <w:overflowPunct/>
        <w:topLinePunct w:val="0"/>
        <w:autoSpaceDE w:val="0"/>
        <w:autoSpaceDN/>
        <w:bidi w:val="0"/>
        <w:adjustRightInd/>
        <w:spacing w:beforeAutospacing="0" w:afterAutospacing="0" w:line="600" w:lineRule="exact"/>
        <w:ind w:firstLine="640" w:firstLineChars="200"/>
        <w:textAlignment w:val="auto"/>
        <w:rPr>
          <w:rFonts w:hint="default" w:ascii="Times New Roman" w:hAnsi="Times New Roman" w:eastAsia="方正仿宋_GBK"/>
          <w:bCs/>
          <w:sz w:val="32"/>
          <w:szCs w:val="32"/>
        </w:rPr>
      </w:pPr>
      <w:r>
        <w:rPr>
          <w:rFonts w:hint="eastAsia" w:ascii="Times New Roman" w:hAnsi="Times New Roman" w:eastAsia="方正仿宋_GBK" w:cs="方正仿宋_GBK"/>
          <w:color w:val="auto"/>
          <w:sz w:val="32"/>
          <w:szCs w:val="32"/>
          <w:shd w:val="clear" w:color="auto" w:fill="FFFFFF"/>
          <w:lang w:val="en-US" w:eastAsia="zh-CN" w:bidi="ar-SA"/>
        </w:rPr>
        <w:t>重庆高新区财政局未委托第三方对我单位开展绩效评价。</w:t>
      </w:r>
    </w:p>
    <w:p>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r>
        <w:rPr>
          <w:rFonts w:hint="eastAsia" w:ascii="Times New Roman" w:hAnsi="Times New Roman" w:eastAsia="方正仿宋_GBK" w:cs="方正仿宋_GBK"/>
          <w:color w:val="auto"/>
          <w:sz w:val="32"/>
          <w:szCs w:val="32"/>
          <w:highlight w:val="none"/>
          <w:shd w:val="clear" w:color="auto" w:fill="FFFFFF"/>
          <w:lang w:val="en-US" w:eastAsia="zh-CN"/>
        </w:rPr>
        <w:t>023</w:t>
      </w:r>
      <w:r>
        <w:rPr>
          <w:rFonts w:hint="eastAsia" w:ascii="方正仿宋_GBK" w:hAnsi="方正仿宋_GBK" w:eastAsia="方正仿宋_GBK" w:cs="方正仿宋_GBK"/>
          <w:color w:val="auto"/>
          <w:sz w:val="32"/>
          <w:szCs w:val="32"/>
          <w:highlight w:val="none"/>
          <w:shd w:val="clear" w:color="auto" w:fill="FFFFFF"/>
          <w:lang w:val="en-US" w:eastAsia="zh-CN"/>
        </w:rPr>
        <w:t>-</w:t>
      </w:r>
      <w:r>
        <w:rPr>
          <w:rFonts w:hint="eastAsia" w:ascii="Times New Roman" w:hAnsi="Times New Roman" w:eastAsia="方正仿宋_GBK" w:cs="方正仿宋_GBK"/>
          <w:color w:val="auto"/>
          <w:sz w:val="32"/>
          <w:szCs w:val="32"/>
          <w:highlight w:val="none"/>
          <w:shd w:val="clear" w:color="auto" w:fill="FFFFFF"/>
          <w:lang w:val="en-US" w:eastAsia="zh-CN"/>
        </w:rPr>
        <w:t>65707445。</w:t>
      </w:r>
    </w:p>
    <w:p>
      <w:pPr>
        <w:pStyle w:val="14"/>
        <w:keepNext w:val="0"/>
        <w:keepLines w:val="0"/>
        <w:pageBreakBefore w:val="0"/>
        <w:widowControl w:val="0"/>
        <w:kinsoku/>
        <w:wordWrap/>
        <w:overflowPunct/>
        <w:topLinePunct w:val="0"/>
        <w:autoSpaceDE w:val="0"/>
        <w:autoSpaceDN/>
        <w:bidi w:val="0"/>
        <w:adjustRightInd/>
        <w:spacing w:line="600" w:lineRule="exact"/>
        <w:ind w:firstLine="643"/>
        <w:jc w:val="both"/>
        <w:textAlignment w:val="auto"/>
        <w:rPr>
          <w:rStyle w:val="13"/>
          <w:rFonts w:hint="eastAsia" w:ascii="方正仿宋_GBK" w:hAnsi="方正仿宋_GBK" w:eastAsia="方正仿宋_GBK" w:cs="方正仿宋_GBK"/>
          <w:sz w:val="32"/>
          <w:szCs w:val="32"/>
          <w:shd w:val="clear" w:color="auto" w:fill="FFFF00"/>
        </w:rPr>
        <w:sectPr>
          <w:type w:val="continuous"/>
          <w:pgSz w:w="11915" w:h="16840"/>
          <w:pgMar w:top="2098" w:right="1531" w:bottom="1984" w:left="1531" w:header="851" w:footer="992" w:gutter="0"/>
          <w:pgNumType w:fmt="decimal"/>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u w:color="auto"/>
              </w:rPr>
              <w:t>重庆市九龙坡区白市驿镇物业管理服务中心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107.36</w:t>
            </w:r>
            <w:r>
              <w:rPr>
                <w:rFonts w:ascii="Times New Roman" w:hAnsi="Times New Roman"/>
                <w:color w:val="000000"/>
                <w:sz w:val="20"/>
                <w:u w:color="auto"/>
              </w:rPr>
              <w:t xml:space="preserve"> </w:t>
            </w:r>
          </w:p>
        </w:tc>
      </w:tr>
    </w:tbl>
    <w:p>
      <w:pPr>
        <w:rPr>
          <w:rFonts w:cs="宋体"/>
          <w:sz w:val="21"/>
          <w:szCs w:val="21"/>
        </w:rPr>
      </w:pPr>
    </w:p>
    <w:p>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sz w:val="20"/>
                <w:u w:color="auto"/>
              </w:rPr>
              <w:t>重庆市九龙坡区白市驿镇物业管理服务中心</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107.36</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107.36</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重庆市九龙坡区白市驿镇物业管理服务中心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107.36</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107.36</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p>
      <w:pPr>
        <w:rPr>
          <w:rFonts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重庆市九龙坡区白市驿镇物业管理服务中心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107.36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107.36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107.36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重庆市九龙坡区白市驿镇物业管理服务中心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98.09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cs="宋体"/>
          <w:sz w:val="21"/>
          <w:szCs w:val="21"/>
        </w:rPr>
      </w:pPr>
      <w:r>
        <w:rPr>
          <w:rFonts w:cs="宋体"/>
          <w:sz w:val="21"/>
          <w:szCs w:val="21"/>
        </w:rPr>
        <w:br w:type="page"/>
      </w:r>
    </w:p>
    <w:tbl>
      <w:tblPr>
        <w:tblStyle w:val="10"/>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重庆市九龙坡区白市驿镇物业管理服务中心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92.16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15.20</w:t>
            </w:r>
            <w:r>
              <w:rPr>
                <w:rFonts w:ascii="Times New Roman" w:hAnsi="Times New Roman"/>
                <w:color w:val="000000"/>
                <w:sz w:val="18"/>
                <w:u w:color="auto"/>
              </w:rPr>
              <w:t xml:space="preserve"> </w:t>
            </w:r>
          </w:p>
        </w:tc>
      </w:tr>
    </w:tbl>
    <w:p>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重庆市九龙坡区白市驿镇物业管理服务中心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重庆市九龙坡区白市驿镇物业管理服务中心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cs="宋体"/>
          <w:sz w:val="21"/>
          <w:szCs w:val="21"/>
        </w:rPr>
      </w:pPr>
      <w:r>
        <w:rPr>
          <w:rFonts w:hint="default" w:cs="宋体"/>
          <w:sz w:val="21"/>
          <w:szCs w:val="21"/>
        </w:rPr>
        <w:br w:type="page"/>
      </w:r>
    </w:p>
    <w:tbl>
      <w:tblPr>
        <w:tblStyle w:val="10"/>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重庆市九龙坡区白市驿镇物业管理服务中心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sz w:val="16"/>
                <w:szCs w:val="16"/>
              </w:rPr>
            </w:pPr>
          </w:p>
        </w:tc>
      </w:tr>
    </w:tbl>
    <w:p>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keepNext w:val="0"/>
                            <w:keepLines w:val="0"/>
                            <w:pageBreakBefore w:val="0"/>
                            <w:widowControl/>
                            <w:kinsoku/>
                            <w:wordWrap/>
                            <w:overflowPunct/>
                            <w:topLinePunct w:val="0"/>
                            <w:bidi w:val="0"/>
                            <w:adjustRightInd/>
                            <w:snapToGrid w:val="0"/>
                            <w:ind w:left="480" w:leftChars="200" w:right="480" w:rightChars="2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5"/>
                      <w:keepNext w:val="0"/>
                      <w:keepLines w:val="0"/>
                      <w:pageBreakBefore w:val="0"/>
                      <w:widowControl/>
                      <w:kinsoku/>
                      <w:wordWrap/>
                      <w:overflowPunct/>
                      <w:topLinePunct w:val="0"/>
                      <w:bidi w:val="0"/>
                      <w:adjustRightInd/>
                      <w:snapToGrid w:val="0"/>
                      <w:ind w:left="480" w:leftChars="200" w:right="480" w:rightChars="2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keepNext w:val="0"/>
                            <w:keepLines w:val="0"/>
                            <w:pageBreakBefore w:val="0"/>
                            <w:widowControl/>
                            <w:kinsoku/>
                            <w:wordWrap/>
                            <w:overflowPunct/>
                            <w:topLinePunct w:val="0"/>
                            <w:bidi w:val="0"/>
                            <w:adjustRightInd/>
                            <w:snapToGrid w:val="0"/>
                            <w:ind w:left="480" w:leftChars="200" w:right="480" w:rightChars="200"/>
                            <w:textAlignment w:val="auto"/>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5"/>
                      <w:keepNext w:val="0"/>
                      <w:keepLines w:val="0"/>
                      <w:pageBreakBefore w:val="0"/>
                      <w:widowControl/>
                      <w:kinsoku/>
                      <w:wordWrap/>
                      <w:overflowPunct/>
                      <w:topLinePunct w:val="0"/>
                      <w:bidi w:val="0"/>
                      <w:adjustRightInd/>
                      <w:snapToGrid w:val="0"/>
                      <w:ind w:left="480" w:leftChars="200" w:right="480" w:rightChars="200"/>
                      <w:textAlignment w:val="auto"/>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5"/>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4425CF"/>
    <w:rsid w:val="05BC6D49"/>
    <w:rsid w:val="06194FF1"/>
    <w:rsid w:val="06A2550B"/>
    <w:rsid w:val="06BA2313"/>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44334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02383"/>
    <w:rsid w:val="1D1B04B0"/>
    <w:rsid w:val="1D6534C4"/>
    <w:rsid w:val="1DBD6767"/>
    <w:rsid w:val="1DC52125"/>
    <w:rsid w:val="1DD26311"/>
    <w:rsid w:val="1E374ACB"/>
    <w:rsid w:val="1E5E27E3"/>
    <w:rsid w:val="1EA33588"/>
    <w:rsid w:val="1EB57761"/>
    <w:rsid w:val="1ECF0A66"/>
    <w:rsid w:val="1EF67CA4"/>
    <w:rsid w:val="1F020D3A"/>
    <w:rsid w:val="1F2C5189"/>
    <w:rsid w:val="1F4A4A58"/>
    <w:rsid w:val="1F4B0B02"/>
    <w:rsid w:val="1FBB35CD"/>
    <w:rsid w:val="1FCD26AF"/>
    <w:rsid w:val="20642787"/>
    <w:rsid w:val="20F4064E"/>
    <w:rsid w:val="21556F04"/>
    <w:rsid w:val="22403BD3"/>
    <w:rsid w:val="23DA37D9"/>
    <w:rsid w:val="23F5732E"/>
    <w:rsid w:val="24B92327"/>
    <w:rsid w:val="24C14514"/>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5C7FCE"/>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ABB7228"/>
    <w:rsid w:val="6B474EF5"/>
    <w:rsid w:val="6BBF53FD"/>
    <w:rsid w:val="6BF47646"/>
    <w:rsid w:val="6C560CAE"/>
    <w:rsid w:val="6C576495"/>
    <w:rsid w:val="6D903FF5"/>
    <w:rsid w:val="6DA955B8"/>
    <w:rsid w:val="6DE346AB"/>
    <w:rsid w:val="6DE36C58"/>
    <w:rsid w:val="6DE5391A"/>
    <w:rsid w:val="6EFD1324"/>
    <w:rsid w:val="6F5A53AC"/>
    <w:rsid w:val="6FAC003D"/>
    <w:rsid w:val="6FAD04A4"/>
    <w:rsid w:val="6FE55E12"/>
    <w:rsid w:val="6FFB2E76"/>
    <w:rsid w:val="708F6F7F"/>
    <w:rsid w:val="70D94BD3"/>
    <w:rsid w:val="71A3173D"/>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D62D81"/>
    <w:rsid w:val="77EB79F7"/>
    <w:rsid w:val="796D60A4"/>
    <w:rsid w:val="79A031D5"/>
    <w:rsid w:val="7A1525F7"/>
    <w:rsid w:val="7B24540B"/>
    <w:rsid w:val="7B420052"/>
    <w:rsid w:val="7B861484"/>
    <w:rsid w:val="7BD06A28"/>
    <w:rsid w:val="7C3A7C0B"/>
    <w:rsid w:val="7C5248E4"/>
    <w:rsid w:val="7C566698"/>
    <w:rsid w:val="7C5866A3"/>
    <w:rsid w:val="7CBE2F89"/>
    <w:rsid w:val="7CCD0158"/>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3791</Words>
  <Characters>4114</Characters>
  <Lines>192</Lines>
  <Paragraphs>54</Paragraphs>
  <TotalTime>3</TotalTime>
  <ScaleCrop>false</ScaleCrop>
  <LinksUpToDate>false</LinksUpToDate>
  <CharactersWithSpaces>4156</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bsy</cp:lastModifiedBy>
  <dcterms:modified xsi:type="dcterms:W3CDTF">2025-10-16T06:13:57Z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A54E3D76AB6647ACBBF8AD35D5E376CF</vt:lpwstr>
  </property>
  <property fmtid="{D5CDD505-2E9C-101B-9397-08002B2CF9AE}" pid="4" name="KSOTemplateDocerSaveRecord">
    <vt:lpwstr>eyJoZGlkIjoiODQxNWY2ZTU2YTgxMDZjODc1Y2VkY2NmZDVkNDFjMTcifQ==</vt:lpwstr>
  </property>
</Properties>
</file>