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0" w:beforeAutospacing="0" w:after="0" w:afterAutospacing="0" w:line="596"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重庆市九龙坡区白市驿镇退役军人服务站</w:t>
      </w:r>
    </w:p>
    <w:p>
      <w:pPr>
        <w:pStyle w:val="10"/>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10"/>
        <w:shd w:val="clear" w:color="auto" w:fill="FFFFFF"/>
        <w:spacing w:before="0" w:beforeAutospacing="0" w:after="0" w:afterAutospacing="0" w:line="596" w:lineRule="exact"/>
        <w:ind w:firstLine="643" w:firstLineChars="200"/>
        <w:rPr>
          <w:rStyle w:val="14"/>
          <w:rFonts w:ascii="黑体" w:hAnsi="黑体" w:eastAsia="黑体" w:cs="黑体"/>
          <w:sz w:val="32"/>
          <w:szCs w:val="32"/>
          <w:shd w:val="clear" w:color="auto" w:fill="FFFFFF"/>
        </w:rPr>
      </w:pP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rPr>
      </w:pPr>
      <w:r>
        <w:rPr>
          <w:rStyle w:val="14"/>
          <w:rFonts w:hint="eastAsia" w:ascii="方正黑体_GBK" w:hAnsi="方正黑体_GBK" w:eastAsia="方正黑体_GBK" w:cs="方正黑体_GBK"/>
          <w:b w:val="0"/>
          <w:bCs/>
          <w:sz w:val="32"/>
          <w:szCs w:val="32"/>
          <w:shd w:val="clear" w:color="auto" w:fill="FFFFFF"/>
          <w:lang w:val="en-US" w:eastAsia="zh-CN"/>
        </w:rPr>
        <w:t>一、单位基本情况</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（一）职能职责</w:t>
      </w:r>
    </w:p>
    <w:p>
      <w:pPr>
        <w:pStyle w:val="10"/>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白市驿镇</w:t>
      </w:r>
      <w:r>
        <w:rPr>
          <w:rFonts w:hint="default" w:ascii="Times New Roman" w:hAnsi="Times New Roman" w:eastAsia="方正仿宋_GBK" w:cs="Times New Roman"/>
          <w:color w:val="auto"/>
          <w:sz w:val="32"/>
          <w:lang w:val="en-US" w:eastAsia="zh-CN"/>
        </w:rPr>
        <w:t>退役军人服务站</w:t>
      </w:r>
      <w:r>
        <w:rPr>
          <w:rFonts w:hint="default" w:ascii="Times New Roman" w:hAnsi="Times New Roman" w:eastAsia="方正仿宋_GBK" w:cs="Times New Roman"/>
          <w:color w:val="auto"/>
          <w:sz w:val="32"/>
        </w:rPr>
        <w:t>的主要职能职责为：承担退役军人关系接转、联络接待、困难帮扶、信息采集、情况反映、立功喜报、悬挂光荣牌和</w:t>
      </w:r>
      <w:r>
        <w:rPr>
          <w:rFonts w:hint="eastAsia" w:ascii="方正仿宋_GBK" w:hAnsi="方正仿宋_GBK" w:eastAsia="方正仿宋_GBK" w:cs="方正仿宋_GBK"/>
          <w:color w:val="auto"/>
          <w:sz w:val="32"/>
        </w:rPr>
        <w:t>“八一”</w:t>
      </w:r>
      <w:r>
        <w:rPr>
          <w:rFonts w:hint="default" w:ascii="Times New Roman" w:hAnsi="Times New Roman" w:eastAsia="方正仿宋_GBK" w:cs="Times New Roman"/>
          <w:color w:val="auto"/>
          <w:sz w:val="32"/>
        </w:rPr>
        <w:t>、春节等节日以及重大变故走访慰问等具体事务。</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（二）机构设置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color w:val="auto"/>
          <w:lang w:eastAsia="zh-CN"/>
        </w:rPr>
      </w:pPr>
      <w:r>
        <w:rPr>
          <w:rFonts w:hint="default" w:ascii="Times New Roman" w:hAnsi="Times New Roman" w:eastAsia="方正仿宋_GBK" w:cs="Times New Roman"/>
          <w:color w:val="auto"/>
          <w:sz w:val="32"/>
        </w:rPr>
        <w:t>白市驿镇</w:t>
      </w:r>
      <w:r>
        <w:rPr>
          <w:rFonts w:hint="default" w:ascii="Times New Roman" w:hAnsi="Times New Roman" w:eastAsia="方正仿宋_GBK" w:cs="Times New Roman"/>
          <w:color w:val="auto"/>
          <w:sz w:val="32"/>
          <w:lang w:val="en-US" w:eastAsia="zh-CN"/>
        </w:rPr>
        <w:t>退役军人服务站</w:t>
      </w:r>
      <w:r>
        <w:rPr>
          <w:rFonts w:hint="eastAsia" w:ascii="Times New Roman" w:hAnsi="Times New Roman" w:eastAsia="方正仿宋_GBK" w:cs="Times New Roman"/>
          <w:color w:val="auto"/>
          <w:sz w:val="32"/>
          <w:lang w:val="en-US" w:eastAsia="zh-CN"/>
        </w:rPr>
        <w:t>为白市驿镇人民政府下属事业单位，无内设机构</w:t>
      </w:r>
      <w:r>
        <w:rPr>
          <w:rFonts w:hint="default" w:ascii="Times New Roman" w:hAnsi="Times New Roman" w:eastAsia="方正仿宋_GBK" w:cs="Times New Roman"/>
          <w:color w:val="auto"/>
          <w:sz w:val="32"/>
        </w:rPr>
        <w:t>。</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rPr>
      </w:pPr>
      <w:r>
        <w:rPr>
          <w:rStyle w:val="14"/>
          <w:rFonts w:hint="eastAsia" w:ascii="方正黑体_GBK" w:hAnsi="方正黑体_GBK" w:eastAsia="方正黑体_GBK" w:cs="方正黑体_GBK"/>
          <w:b w:val="0"/>
          <w:bCs/>
          <w:sz w:val="32"/>
          <w:szCs w:val="32"/>
          <w:shd w:val="clear" w:color="auto" w:fill="FFFFFF"/>
          <w:lang w:val="en-US" w:eastAsia="zh-CN"/>
        </w:rPr>
        <w:t>二、单位决算收支情况说明</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（一）收入支出决算总体情况说明</w:t>
      </w:r>
    </w:p>
    <w:p>
      <w:pPr>
        <w:pStyle w:val="10"/>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highlight w:val="yellow"/>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489.58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收、支与2023年度相比，增加390.68万元，增长395%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highlight w:val="none"/>
          <w:shd w:val="clear" w:color="auto" w:fill="FFFFFF"/>
        </w:rPr>
        <w:t>主要原因是</w:t>
      </w:r>
      <w:r>
        <w:rPr>
          <w:rFonts w:hint="default" w:ascii="Times New Roman" w:hAnsi="Times New Roman" w:eastAsia="方正仿宋_GBK"/>
          <w:sz w:val="32"/>
          <w:szCs w:val="32"/>
          <w:highlight w:val="none"/>
          <w:shd w:val="clear" w:color="auto" w:fill="FFFFFF"/>
        </w:rPr>
        <w:t>优抚抚恤资金、定期抚恤生活补助（上级专款）等项目2023年度</w:t>
      </w:r>
      <w:r>
        <w:rPr>
          <w:rFonts w:hint="eastAsia" w:ascii="Times New Roman" w:hAnsi="Times New Roman" w:eastAsia="方正仿宋_GBK"/>
          <w:sz w:val="32"/>
          <w:szCs w:val="32"/>
          <w:highlight w:val="none"/>
          <w:shd w:val="clear" w:color="auto" w:fill="FFFFFF"/>
          <w:lang w:val="en-US" w:eastAsia="zh-CN"/>
        </w:rPr>
        <w:t>在</w:t>
      </w:r>
      <w:r>
        <w:rPr>
          <w:rFonts w:hint="default" w:ascii="Times New Roman" w:hAnsi="Times New Roman" w:eastAsia="方正仿宋_GBK"/>
          <w:sz w:val="32"/>
          <w:szCs w:val="32"/>
          <w:highlight w:val="none"/>
          <w:shd w:val="clear" w:color="auto" w:fill="FFFFFF"/>
        </w:rPr>
        <w:t>政府本级</w:t>
      </w:r>
      <w:r>
        <w:rPr>
          <w:rFonts w:hint="eastAsia" w:ascii="Times New Roman" w:hAnsi="Times New Roman" w:eastAsia="方正仿宋_GBK"/>
          <w:sz w:val="32"/>
          <w:szCs w:val="32"/>
          <w:highlight w:val="none"/>
          <w:shd w:val="clear" w:color="auto" w:fill="FFFFFF"/>
          <w:lang w:val="en-US" w:eastAsia="zh-CN"/>
        </w:rPr>
        <w:t>核算</w:t>
      </w:r>
      <w:r>
        <w:rPr>
          <w:rFonts w:hint="default" w:ascii="Times New Roman" w:hAnsi="Times New Roman" w:eastAsia="方正仿宋_GBK"/>
          <w:sz w:val="32"/>
          <w:szCs w:val="32"/>
          <w:highlight w:val="none"/>
          <w:shd w:val="clear" w:color="auto" w:fill="FFFFFF"/>
        </w:rPr>
        <w:t>，2024年纳入退役军人服务站</w:t>
      </w:r>
      <w:r>
        <w:rPr>
          <w:rFonts w:hint="eastAsia" w:ascii="Times New Roman" w:hAnsi="Times New Roman" w:eastAsia="方正仿宋_GBK"/>
          <w:sz w:val="32"/>
          <w:szCs w:val="32"/>
          <w:highlight w:val="none"/>
          <w:shd w:val="clear" w:color="auto" w:fill="FFFFFF"/>
          <w:lang w:val="en-US" w:eastAsia="zh-CN"/>
        </w:rPr>
        <w:t>核算</w:t>
      </w:r>
      <w:r>
        <w:rPr>
          <w:rFonts w:hint="eastAsia" w:ascii="方正仿宋_GBK" w:hAnsi="方正仿宋_GBK" w:eastAsia="方正仿宋_GBK" w:cs="方正仿宋_GBK"/>
          <w:color w:val="auto"/>
          <w:sz w:val="32"/>
          <w:szCs w:val="32"/>
          <w:highlight w:val="none"/>
          <w:shd w:val="clear" w:color="auto" w:fill="FFFFFF"/>
          <w:lang w:val="en-US" w:eastAsia="zh-CN"/>
        </w:rPr>
        <w:t>。</w:t>
      </w:r>
    </w:p>
    <w:p>
      <w:pPr>
        <w:pStyle w:val="10"/>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3" w:firstLineChars="200"/>
        <w:jc w:val="both"/>
        <w:textAlignment w:val="auto"/>
        <w:rPr>
          <w:rFonts w:ascii="方正仿宋_GBK" w:hAnsi="方正仿宋_GBK" w:eastAsia="方正仿宋_GBK" w:cs="方正仿宋_GBK"/>
          <w:color w:val="auto"/>
          <w:sz w:val="32"/>
          <w:szCs w:val="32"/>
          <w:shd w:val="clear" w:color="auto" w:fill="FFFFFF"/>
        </w:rPr>
      </w:pPr>
      <w:r>
        <w:rPr>
          <w:rStyle w:val="14"/>
          <w:rFonts w:ascii="Times New Roman" w:hAnsi="Times New Roman" w:eastAsia="方正仿宋_GBK"/>
          <w:color w:val="auto"/>
          <w:sz w:val="32"/>
          <w:szCs w:val="32"/>
          <w:shd w:val="clear" w:color="auto" w:fill="FFFFFF"/>
        </w:rPr>
        <w:t>1</w:t>
      </w:r>
      <w:r>
        <w:rPr>
          <w:rStyle w:val="14"/>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489.58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与2023年度相比，增加390.68万元，增长395%</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highlight w:val="none"/>
          <w:shd w:val="clear" w:color="auto" w:fill="FFFFFF"/>
        </w:rPr>
        <w:t>主要原因是</w:t>
      </w:r>
      <w:r>
        <w:rPr>
          <w:rFonts w:hint="default" w:ascii="Times New Roman" w:hAnsi="Times New Roman" w:eastAsia="方正仿宋_GBK"/>
          <w:sz w:val="32"/>
          <w:szCs w:val="32"/>
          <w:highlight w:val="none"/>
          <w:shd w:val="clear" w:color="auto" w:fill="FFFFFF"/>
        </w:rPr>
        <w:t>优抚抚恤资金、定期抚恤生活补助（上级专款）等项目2023年度</w:t>
      </w:r>
      <w:r>
        <w:rPr>
          <w:rFonts w:hint="eastAsia" w:ascii="Times New Roman" w:hAnsi="Times New Roman" w:eastAsia="方正仿宋_GBK"/>
          <w:sz w:val="32"/>
          <w:szCs w:val="32"/>
          <w:highlight w:val="none"/>
          <w:shd w:val="clear" w:color="auto" w:fill="FFFFFF"/>
          <w:lang w:val="en-US" w:eastAsia="zh-CN"/>
        </w:rPr>
        <w:t>在</w:t>
      </w:r>
      <w:r>
        <w:rPr>
          <w:rFonts w:hint="default" w:ascii="Times New Roman" w:hAnsi="Times New Roman" w:eastAsia="方正仿宋_GBK"/>
          <w:sz w:val="32"/>
          <w:szCs w:val="32"/>
          <w:highlight w:val="none"/>
          <w:shd w:val="clear" w:color="auto" w:fill="FFFFFF"/>
        </w:rPr>
        <w:t>政府本级</w:t>
      </w:r>
      <w:r>
        <w:rPr>
          <w:rFonts w:hint="eastAsia" w:ascii="Times New Roman" w:hAnsi="Times New Roman" w:eastAsia="方正仿宋_GBK"/>
          <w:sz w:val="32"/>
          <w:szCs w:val="32"/>
          <w:highlight w:val="none"/>
          <w:shd w:val="clear" w:color="auto" w:fill="FFFFFF"/>
          <w:lang w:val="en-US" w:eastAsia="zh-CN"/>
        </w:rPr>
        <w:t>核算</w:t>
      </w:r>
      <w:r>
        <w:rPr>
          <w:rFonts w:hint="default" w:ascii="Times New Roman" w:hAnsi="Times New Roman" w:eastAsia="方正仿宋_GBK"/>
          <w:sz w:val="32"/>
          <w:szCs w:val="32"/>
          <w:highlight w:val="none"/>
          <w:shd w:val="clear" w:color="auto" w:fill="FFFFFF"/>
        </w:rPr>
        <w:t>，2024年纳入退役军人服务站</w:t>
      </w:r>
      <w:r>
        <w:rPr>
          <w:rFonts w:hint="eastAsia" w:ascii="Times New Roman" w:hAnsi="Times New Roman" w:eastAsia="方正仿宋_GBK"/>
          <w:sz w:val="32"/>
          <w:szCs w:val="32"/>
          <w:highlight w:val="none"/>
          <w:shd w:val="clear" w:color="auto" w:fill="FFFFFF"/>
          <w:lang w:val="en-US" w:eastAsia="zh-CN"/>
        </w:rPr>
        <w:t>核算。</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489.58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；经营收入</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；其他收入</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。此外，使用非财政拨款结余（含专用结余）</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w:t>
      </w:r>
    </w:p>
    <w:p>
      <w:pPr>
        <w:pStyle w:val="10"/>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3" w:firstLineChars="200"/>
        <w:jc w:val="both"/>
        <w:textAlignment w:val="auto"/>
        <w:rPr>
          <w:rFonts w:ascii="方正仿宋_GBK" w:hAnsi="方正仿宋_GBK" w:eastAsia="方正仿宋_GBK" w:cs="方正仿宋_GBK"/>
          <w:color w:val="auto"/>
          <w:sz w:val="32"/>
          <w:szCs w:val="32"/>
          <w:shd w:val="clear" w:color="auto" w:fill="FFFFFF"/>
        </w:rPr>
      </w:pPr>
      <w:r>
        <w:rPr>
          <w:rStyle w:val="14"/>
          <w:rFonts w:ascii="Times New Roman" w:hAnsi="Times New Roman" w:eastAsia="方正仿宋_GBK"/>
          <w:color w:val="auto"/>
          <w:sz w:val="32"/>
          <w:szCs w:val="32"/>
          <w:shd w:val="clear" w:color="auto" w:fill="FFFFFF"/>
        </w:rPr>
        <w:t>2</w:t>
      </w:r>
      <w:r>
        <w:rPr>
          <w:rStyle w:val="14"/>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489.58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与2023年度相比，增加390.68万元，增长395%</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highlight w:val="none"/>
          <w:shd w:val="clear" w:color="auto" w:fill="FFFFFF"/>
        </w:rPr>
        <w:t>主要原因是</w:t>
      </w:r>
      <w:r>
        <w:rPr>
          <w:rFonts w:hint="default" w:ascii="Times New Roman" w:hAnsi="Times New Roman" w:eastAsia="方正仿宋_GBK"/>
          <w:sz w:val="32"/>
          <w:szCs w:val="32"/>
          <w:highlight w:val="none"/>
          <w:shd w:val="clear" w:color="auto" w:fill="FFFFFF"/>
        </w:rPr>
        <w:t>优抚抚恤资金、定期抚恤生活补助（上级专款）等项目2023年度</w:t>
      </w:r>
      <w:r>
        <w:rPr>
          <w:rFonts w:hint="eastAsia" w:ascii="Times New Roman" w:hAnsi="Times New Roman" w:eastAsia="方正仿宋_GBK"/>
          <w:sz w:val="32"/>
          <w:szCs w:val="32"/>
          <w:highlight w:val="none"/>
          <w:shd w:val="clear" w:color="auto" w:fill="FFFFFF"/>
          <w:lang w:val="en-US" w:eastAsia="zh-CN"/>
        </w:rPr>
        <w:t>在</w:t>
      </w:r>
      <w:r>
        <w:rPr>
          <w:rFonts w:hint="default" w:ascii="Times New Roman" w:hAnsi="Times New Roman" w:eastAsia="方正仿宋_GBK"/>
          <w:sz w:val="32"/>
          <w:szCs w:val="32"/>
          <w:highlight w:val="none"/>
          <w:shd w:val="clear" w:color="auto" w:fill="FFFFFF"/>
        </w:rPr>
        <w:t>政府本级</w:t>
      </w:r>
      <w:r>
        <w:rPr>
          <w:rFonts w:hint="eastAsia" w:ascii="Times New Roman" w:hAnsi="Times New Roman" w:eastAsia="方正仿宋_GBK"/>
          <w:sz w:val="32"/>
          <w:szCs w:val="32"/>
          <w:highlight w:val="none"/>
          <w:shd w:val="clear" w:color="auto" w:fill="FFFFFF"/>
          <w:lang w:val="en-US" w:eastAsia="zh-CN"/>
        </w:rPr>
        <w:t>核算</w:t>
      </w:r>
      <w:r>
        <w:rPr>
          <w:rFonts w:hint="default" w:ascii="Times New Roman" w:hAnsi="Times New Roman" w:eastAsia="方正仿宋_GBK"/>
          <w:sz w:val="32"/>
          <w:szCs w:val="32"/>
          <w:highlight w:val="none"/>
          <w:shd w:val="clear" w:color="auto" w:fill="FFFFFF"/>
        </w:rPr>
        <w:t>，2024年纳入退役军人服务站</w:t>
      </w:r>
      <w:r>
        <w:rPr>
          <w:rFonts w:hint="eastAsia" w:ascii="Times New Roman" w:hAnsi="Times New Roman" w:eastAsia="方正仿宋_GBK"/>
          <w:sz w:val="32"/>
          <w:szCs w:val="32"/>
          <w:highlight w:val="none"/>
          <w:shd w:val="clear" w:color="auto" w:fill="FFFFFF"/>
          <w:lang w:val="en-US" w:eastAsia="zh-CN"/>
        </w:rPr>
        <w:t>核算。</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81.4</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16.6%</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408.18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83.4%</w:t>
      </w:r>
      <w:r>
        <w:rPr>
          <w:rFonts w:ascii="方正仿宋_GBK" w:hAnsi="方正仿宋_GBK"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color w:val="auto"/>
          <w:sz w:val="32"/>
          <w:szCs w:val="32"/>
          <w:lang w:eastAsia="zh-CN"/>
        </w:rPr>
      </w:pPr>
      <w:r>
        <w:rPr>
          <w:rStyle w:val="14"/>
          <w:rFonts w:ascii="Times New Roman" w:hAnsi="Times New Roman" w:eastAsia="方正仿宋_GBK"/>
          <w:color w:val="auto"/>
          <w:sz w:val="32"/>
          <w:szCs w:val="32"/>
          <w:shd w:val="clear" w:color="auto" w:fill="FFFFFF"/>
        </w:rPr>
        <w:t>3</w:t>
      </w:r>
      <w:r>
        <w:rPr>
          <w:rStyle w:val="14"/>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hint="eastAsia" w:ascii="方正仿宋_GBK" w:hAnsi="方正仿宋_GBK" w:eastAsia="方正仿宋_GBK" w:cs="方正仿宋_GBK"/>
          <w:color w:val="auto"/>
          <w:sz w:val="32"/>
          <w:szCs w:val="32"/>
          <w:shd w:val="clear" w:color="auto" w:fill="FFFFFF"/>
          <w:lang w:eastAsia="zh-CN"/>
        </w:rPr>
        <w:t>。</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（二）财政拨款收入支出决算总体情况说明</w:t>
      </w:r>
    </w:p>
    <w:p>
      <w:pPr>
        <w:pStyle w:val="10"/>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489.58</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w:t>
      </w:r>
      <w:r>
        <w:rPr>
          <w:rFonts w:hint="default" w:ascii="Times New Roman" w:hAnsi="Times New Roman" w:eastAsia="方正仿宋_GBK"/>
          <w:color w:val="auto"/>
          <w:sz w:val="32"/>
          <w:szCs w:val="32"/>
          <w:shd w:val="clear" w:color="auto" w:fill="FFFFFF"/>
        </w:rPr>
        <w:t>财政拨款收、支总计各增加390.68万元，增长395%</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highlight w:val="none"/>
          <w:shd w:val="clear" w:color="auto" w:fill="FFFFFF"/>
        </w:rPr>
        <w:t>主要原因是</w:t>
      </w:r>
      <w:r>
        <w:rPr>
          <w:rFonts w:hint="default" w:ascii="Times New Roman" w:hAnsi="Times New Roman" w:eastAsia="方正仿宋_GBK"/>
          <w:sz w:val="32"/>
          <w:szCs w:val="32"/>
          <w:highlight w:val="none"/>
          <w:shd w:val="clear" w:color="auto" w:fill="FFFFFF"/>
        </w:rPr>
        <w:t>优抚抚恤资金、定期抚恤生活补助（上级专款）等项目2023年度</w:t>
      </w:r>
      <w:r>
        <w:rPr>
          <w:rFonts w:hint="eastAsia" w:ascii="Times New Roman" w:hAnsi="Times New Roman" w:eastAsia="方正仿宋_GBK"/>
          <w:sz w:val="32"/>
          <w:szCs w:val="32"/>
          <w:highlight w:val="none"/>
          <w:shd w:val="clear" w:color="auto" w:fill="FFFFFF"/>
          <w:lang w:val="en-US" w:eastAsia="zh-CN"/>
        </w:rPr>
        <w:t>在</w:t>
      </w:r>
      <w:r>
        <w:rPr>
          <w:rFonts w:hint="default" w:ascii="Times New Roman" w:hAnsi="Times New Roman" w:eastAsia="方正仿宋_GBK"/>
          <w:sz w:val="32"/>
          <w:szCs w:val="32"/>
          <w:highlight w:val="none"/>
          <w:shd w:val="clear" w:color="auto" w:fill="FFFFFF"/>
        </w:rPr>
        <w:t>政府本级</w:t>
      </w:r>
      <w:r>
        <w:rPr>
          <w:rFonts w:hint="eastAsia" w:ascii="Times New Roman" w:hAnsi="Times New Roman" w:eastAsia="方正仿宋_GBK"/>
          <w:sz w:val="32"/>
          <w:szCs w:val="32"/>
          <w:highlight w:val="none"/>
          <w:shd w:val="clear" w:color="auto" w:fill="FFFFFF"/>
          <w:lang w:val="en-US" w:eastAsia="zh-CN"/>
        </w:rPr>
        <w:t>核算</w:t>
      </w:r>
      <w:r>
        <w:rPr>
          <w:rFonts w:hint="default" w:ascii="Times New Roman" w:hAnsi="Times New Roman" w:eastAsia="方正仿宋_GBK"/>
          <w:sz w:val="32"/>
          <w:szCs w:val="32"/>
          <w:highlight w:val="none"/>
          <w:shd w:val="clear" w:color="auto" w:fill="FFFFFF"/>
        </w:rPr>
        <w:t>，2024年纳入退役军人服务站</w:t>
      </w:r>
      <w:r>
        <w:rPr>
          <w:rFonts w:hint="eastAsia" w:ascii="Times New Roman" w:hAnsi="Times New Roman" w:eastAsia="方正仿宋_GBK"/>
          <w:sz w:val="32"/>
          <w:szCs w:val="32"/>
          <w:highlight w:val="none"/>
          <w:shd w:val="clear" w:color="auto" w:fill="FFFFFF"/>
          <w:lang w:val="en-US" w:eastAsia="zh-CN"/>
        </w:rPr>
        <w:t>核算。</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（三）一般公共预算财政拨款收入支出决算情况说明</w:t>
      </w:r>
    </w:p>
    <w:p>
      <w:pPr>
        <w:pStyle w:val="10"/>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3" w:firstLineChars="200"/>
        <w:jc w:val="both"/>
        <w:textAlignment w:val="auto"/>
        <w:rPr>
          <w:rFonts w:ascii="方正仿宋_GBK" w:hAnsi="方正仿宋_GBK" w:eastAsia="方正仿宋_GBK" w:cs="方正仿宋_GBK"/>
          <w:color w:val="auto"/>
          <w:sz w:val="32"/>
          <w:szCs w:val="32"/>
        </w:rPr>
      </w:pPr>
      <w:r>
        <w:rPr>
          <w:rStyle w:val="14"/>
          <w:rFonts w:hint="default" w:ascii="Times New Roman" w:hAnsi="Times New Roman" w:eastAsia="方正仿宋_GBK"/>
          <w:color w:val="auto"/>
          <w:sz w:val="32"/>
          <w:szCs w:val="32"/>
          <w:shd w:val="clear" w:color="auto" w:fill="FFFFFF"/>
        </w:rPr>
        <w:t>1</w:t>
      </w:r>
      <w:r>
        <w:rPr>
          <w:rStyle w:val="14"/>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489.58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与2023年度相比，增加390.68万元，增长395%</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highlight w:val="none"/>
          <w:shd w:val="clear" w:color="auto" w:fill="FFFFFF"/>
        </w:rPr>
        <w:t>主要原因是</w:t>
      </w:r>
      <w:r>
        <w:rPr>
          <w:rFonts w:hint="default" w:ascii="Times New Roman" w:hAnsi="Times New Roman" w:eastAsia="方正仿宋_GBK"/>
          <w:sz w:val="32"/>
          <w:szCs w:val="32"/>
          <w:highlight w:val="none"/>
          <w:shd w:val="clear" w:color="auto" w:fill="FFFFFF"/>
        </w:rPr>
        <w:t>优抚抚恤资金、定期抚恤生活补助（上级专款）等项目2023年度</w:t>
      </w:r>
      <w:r>
        <w:rPr>
          <w:rFonts w:hint="eastAsia" w:ascii="Times New Roman" w:hAnsi="Times New Roman" w:eastAsia="方正仿宋_GBK"/>
          <w:sz w:val="32"/>
          <w:szCs w:val="32"/>
          <w:highlight w:val="none"/>
          <w:shd w:val="clear" w:color="auto" w:fill="FFFFFF"/>
          <w:lang w:val="en-US" w:eastAsia="zh-CN"/>
        </w:rPr>
        <w:t>在</w:t>
      </w:r>
      <w:r>
        <w:rPr>
          <w:rFonts w:hint="default" w:ascii="Times New Roman" w:hAnsi="Times New Roman" w:eastAsia="方正仿宋_GBK"/>
          <w:sz w:val="32"/>
          <w:szCs w:val="32"/>
          <w:highlight w:val="none"/>
          <w:shd w:val="clear" w:color="auto" w:fill="FFFFFF"/>
        </w:rPr>
        <w:t>政府本级</w:t>
      </w:r>
      <w:r>
        <w:rPr>
          <w:rFonts w:hint="eastAsia" w:ascii="Times New Roman" w:hAnsi="Times New Roman" w:eastAsia="方正仿宋_GBK"/>
          <w:sz w:val="32"/>
          <w:szCs w:val="32"/>
          <w:highlight w:val="none"/>
          <w:shd w:val="clear" w:color="auto" w:fill="FFFFFF"/>
          <w:lang w:val="en-US" w:eastAsia="zh-CN"/>
        </w:rPr>
        <w:t>核算</w:t>
      </w:r>
      <w:r>
        <w:rPr>
          <w:rFonts w:hint="default" w:ascii="Times New Roman" w:hAnsi="Times New Roman" w:eastAsia="方正仿宋_GBK"/>
          <w:sz w:val="32"/>
          <w:szCs w:val="32"/>
          <w:highlight w:val="none"/>
          <w:shd w:val="clear" w:color="auto" w:fill="FFFFFF"/>
        </w:rPr>
        <w:t>，2024年纳入退役军人服务站</w:t>
      </w:r>
      <w:r>
        <w:rPr>
          <w:rFonts w:hint="eastAsia" w:ascii="Times New Roman" w:hAnsi="Times New Roman" w:eastAsia="方正仿宋_GBK"/>
          <w:sz w:val="32"/>
          <w:szCs w:val="32"/>
          <w:highlight w:val="none"/>
          <w:shd w:val="clear" w:color="auto" w:fill="FFFFFF"/>
          <w:lang w:val="en-US" w:eastAsia="zh-CN"/>
        </w:rPr>
        <w:t>核算。</w:t>
      </w:r>
      <w:r>
        <w:rPr>
          <w:rFonts w:hint="default" w:ascii="Times New Roman" w:hAnsi="Times New Roman" w:eastAsia="方正仿宋_GBK"/>
          <w:color w:val="auto"/>
          <w:sz w:val="32"/>
          <w:szCs w:val="32"/>
          <w:shd w:val="clear" w:color="auto" w:fill="FFFFFF"/>
        </w:rPr>
        <w:t>较年初预算数增加298.57万元，增长156.3%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年中下达优抚抚恤补助、襄渝铁路民兵救济。</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w:t>
      </w:r>
    </w:p>
    <w:p>
      <w:pPr>
        <w:pStyle w:val="10"/>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3" w:firstLineChars="200"/>
        <w:jc w:val="both"/>
        <w:textAlignment w:val="auto"/>
        <w:rPr>
          <w:rFonts w:ascii="方正仿宋_GBK" w:hAnsi="方正仿宋_GBK" w:eastAsia="方正仿宋_GBK" w:cs="方正仿宋_GBK"/>
          <w:color w:val="auto"/>
          <w:sz w:val="32"/>
          <w:szCs w:val="32"/>
          <w:shd w:val="clear" w:color="auto" w:fill="FFFFFF"/>
        </w:rPr>
      </w:pPr>
      <w:r>
        <w:rPr>
          <w:rStyle w:val="14"/>
          <w:rFonts w:hint="default" w:ascii="Times New Roman" w:hAnsi="Times New Roman" w:eastAsia="方正仿宋_GBK"/>
          <w:color w:val="auto"/>
          <w:sz w:val="32"/>
          <w:szCs w:val="32"/>
          <w:shd w:val="clear" w:color="auto" w:fill="FFFFFF"/>
        </w:rPr>
        <w:t>2</w:t>
      </w:r>
      <w:r>
        <w:rPr>
          <w:rStyle w:val="14"/>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489.58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与2023年度相比，增加390.68万元，增长395%</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highlight w:val="none"/>
          <w:shd w:val="clear" w:color="auto" w:fill="FFFFFF"/>
        </w:rPr>
        <w:t>主要原因是</w:t>
      </w:r>
      <w:r>
        <w:rPr>
          <w:rFonts w:hint="default" w:ascii="Times New Roman" w:hAnsi="Times New Roman" w:eastAsia="方正仿宋_GBK"/>
          <w:sz w:val="32"/>
          <w:szCs w:val="32"/>
          <w:highlight w:val="none"/>
          <w:shd w:val="clear" w:color="auto" w:fill="FFFFFF"/>
        </w:rPr>
        <w:t>优抚抚恤资金、定期抚恤生活补助（上级专款）等项目2023年度</w:t>
      </w:r>
      <w:r>
        <w:rPr>
          <w:rFonts w:hint="eastAsia" w:ascii="Times New Roman" w:hAnsi="Times New Roman" w:eastAsia="方正仿宋_GBK"/>
          <w:sz w:val="32"/>
          <w:szCs w:val="32"/>
          <w:highlight w:val="none"/>
          <w:shd w:val="clear" w:color="auto" w:fill="FFFFFF"/>
          <w:lang w:val="en-US" w:eastAsia="zh-CN"/>
        </w:rPr>
        <w:t>在</w:t>
      </w:r>
      <w:r>
        <w:rPr>
          <w:rFonts w:hint="default" w:ascii="Times New Roman" w:hAnsi="Times New Roman" w:eastAsia="方正仿宋_GBK"/>
          <w:sz w:val="32"/>
          <w:szCs w:val="32"/>
          <w:highlight w:val="none"/>
          <w:shd w:val="clear" w:color="auto" w:fill="FFFFFF"/>
        </w:rPr>
        <w:t>政府本级</w:t>
      </w:r>
      <w:r>
        <w:rPr>
          <w:rFonts w:hint="eastAsia" w:ascii="Times New Roman" w:hAnsi="Times New Roman" w:eastAsia="方正仿宋_GBK"/>
          <w:sz w:val="32"/>
          <w:szCs w:val="32"/>
          <w:highlight w:val="none"/>
          <w:shd w:val="clear" w:color="auto" w:fill="FFFFFF"/>
          <w:lang w:val="en-US" w:eastAsia="zh-CN"/>
        </w:rPr>
        <w:t>核算</w:t>
      </w:r>
      <w:r>
        <w:rPr>
          <w:rFonts w:hint="default" w:ascii="Times New Roman" w:hAnsi="Times New Roman" w:eastAsia="方正仿宋_GBK"/>
          <w:sz w:val="32"/>
          <w:szCs w:val="32"/>
          <w:highlight w:val="none"/>
          <w:shd w:val="clear" w:color="auto" w:fill="FFFFFF"/>
        </w:rPr>
        <w:t>，2024年纳入退役军人服务站</w:t>
      </w:r>
      <w:r>
        <w:rPr>
          <w:rFonts w:hint="eastAsia" w:ascii="Times New Roman" w:hAnsi="Times New Roman" w:eastAsia="方正仿宋_GBK"/>
          <w:sz w:val="32"/>
          <w:szCs w:val="32"/>
          <w:highlight w:val="none"/>
          <w:shd w:val="clear" w:color="auto" w:fill="FFFFFF"/>
          <w:lang w:val="en-US" w:eastAsia="zh-CN"/>
        </w:rPr>
        <w:t>核算。</w:t>
      </w:r>
      <w:r>
        <w:rPr>
          <w:rFonts w:hint="default" w:ascii="Times New Roman" w:hAnsi="Times New Roman" w:eastAsia="方正仿宋_GBK"/>
          <w:color w:val="auto"/>
          <w:sz w:val="32"/>
          <w:szCs w:val="32"/>
          <w:shd w:val="clear" w:color="auto" w:fill="FFFFFF"/>
        </w:rPr>
        <w:t>较年初预算数增加298.57万元，增长156.3%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年中下达优抚抚恤补助、襄渝铁路民兵救济。</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auto"/>
          <w:sz w:val="32"/>
          <w:szCs w:val="32"/>
          <w:highlight w:val="cyan"/>
          <w:shd w:val="clear" w:color="auto" w:fill="FFFFFF"/>
        </w:rPr>
      </w:pPr>
      <w:r>
        <w:rPr>
          <w:rFonts w:ascii="方正仿宋_GBK" w:hAnsi="方正仿宋_GBK" w:eastAsia="方正仿宋_GBK" w:cs="方正仿宋_GBK"/>
          <w:color w:val="auto"/>
          <w:sz w:val="32"/>
          <w:szCs w:val="32"/>
          <w:shd w:val="clear" w:color="auto" w:fill="FFFFFF"/>
        </w:rPr>
        <w:t>一般公共预算财政拨款支出主要用途如下：</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）社会保障和就业支出</w:t>
      </w:r>
      <w:r>
        <w:rPr>
          <w:rFonts w:hint="default" w:ascii="Times New Roman" w:hAnsi="Times New Roman" w:eastAsia="方正仿宋_GBK"/>
          <w:color w:val="auto"/>
          <w:sz w:val="32"/>
          <w:szCs w:val="32"/>
          <w:shd w:val="clear" w:color="auto" w:fill="FFFFFF"/>
        </w:rPr>
        <w:t>474.4</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96.9%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较年初预算数增加292.67万元，增长161.1%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年中下达优抚抚恤补助、襄渝铁路民兵救济。</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12.99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较年初预算数增加5.96万元，增长84.8%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年中下达优抚抚恤医疗补助。</w:t>
      </w:r>
    </w:p>
    <w:p>
      <w:pPr>
        <w:keepNext w:val="0"/>
        <w:keepLines w:val="0"/>
        <w:pageBreakBefore w:val="0"/>
        <w:kinsoku/>
        <w:wordWrap/>
        <w:overflowPunct/>
        <w:topLinePunct w:val="0"/>
        <w:autoSpaceDN/>
        <w:bidi w:val="0"/>
        <w:adjustRightInd/>
        <w:spacing w:line="60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2.2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较年初预算数减少0.05万元，下降2.2%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人员变动工资调整。</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14"/>
          <w:rFonts w:hint="default" w:ascii="Times New Roman" w:hAnsi="Times New Roman" w:eastAsia="方正仿宋_GBK"/>
          <w:color w:val="auto"/>
          <w:sz w:val="32"/>
          <w:szCs w:val="32"/>
          <w:shd w:val="clear" w:color="auto" w:fill="FFFFFF"/>
        </w:rPr>
        <w:t>3</w:t>
      </w:r>
      <w:r>
        <w:rPr>
          <w:rStyle w:val="14"/>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w:t>
      </w:r>
      <w:r>
        <w:rPr>
          <w:rFonts w:hint="default" w:ascii="Times New Roman" w:hAnsi="Times New Roman" w:eastAsia="方正仿宋_GBK"/>
          <w:sz w:val="32"/>
          <w:szCs w:val="32"/>
          <w:shd w:val="clear" w:color="auto" w:fill="FFFFFF"/>
        </w:rPr>
        <w:t>无增减</w:t>
      </w:r>
      <w:r>
        <w:rPr>
          <w:rFonts w:hint="eastAsia" w:ascii="方正仿宋_GBK" w:hAnsi="方正仿宋_GBK" w:eastAsia="方正仿宋_GBK" w:cs="方正仿宋_GBK"/>
          <w:sz w:val="32"/>
          <w:szCs w:val="32"/>
          <w:shd w:val="clear" w:color="auto" w:fill="FFFFFF"/>
          <w:lang w:eastAsia="zh-CN"/>
        </w:rPr>
        <w:t>。</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（四）一般公共预算财政拨款基本支出决算情况说明</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81.40</w:t>
      </w:r>
      <w:r>
        <w:rPr>
          <w:rFonts w:ascii="方正仿宋_GBK" w:hAnsi="方正仿宋_GBK" w:eastAsia="方正仿宋_GBK" w:cs="方正仿宋_GBK"/>
          <w:sz w:val="32"/>
          <w:szCs w:val="32"/>
          <w:shd w:val="clear" w:color="auto" w:fill="FFFFFF"/>
        </w:rPr>
        <w:t>万元。</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keepNext w:val="0"/>
        <w:keepLines w:val="0"/>
        <w:pageBreakBefore w:val="0"/>
        <w:kinsoku/>
        <w:wordWrap/>
        <w:overflowPunct/>
        <w:topLinePunct w:val="0"/>
        <w:autoSpaceDN/>
        <w:bidi w:val="0"/>
        <w:adjustRightInd/>
        <w:spacing w:line="60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71.16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与2023年度相比，增加13.43万元，增长23.3%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人员变动工资调整、</w:t>
      </w:r>
      <w:r>
        <w:rPr>
          <w:rFonts w:hint="eastAsia" w:ascii="方正仿宋_GBK" w:hAnsi="方正仿宋_GBK" w:eastAsia="方正仿宋_GBK" w:cs="方正仿宋_GBK"/>
          <w:color w:val="auto"/>
          <w:sz w:val="32"/>
          <w:szCs w:val="32"/>
          <w:highlight w:val="none"/>
          <w:shd w:val="clear" w:color="auto" w:fill="FFFFFF"/>
          <w:lang w:val="en-US" w:eastAsia="zh-CN"/>
        </w:rPr>
        <w:t>补缴人员社会保障经费</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cs="Times New Roman"/>
          <w:color w:val="auto"/>
          <w:sz w:val="32"/>
          <w:szCs w:val="32"/>
          <w:highlight w:val="none"/>
        </w:rPr>
        <w:t>基本工资、津贴补贴、社会保障缴费、绩效工资、其他福利支出、退休费、其他对个人和家庭的补助支出。</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10.24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与2023年度相比，增加0.43万元，增长4.4%</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人员变动</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hint="eastAsia" w:ascii="Times New Roman" w:hAnsi="Times New Roman" w:eastAsia="方正仿宋_GBK" w:cs="Times New Roman"/>
          <w:color w:val="auto"/>
          <w:sz w:val="32"/>
          <w:szCs w:val="32"/>
          <w:highlight w:val="none"/>
        </w:rPr>
        <w:t>办公费、咨询费、差旅费、劳务费、维修费</w:t>
      </w:r>
      <w:r>
        <w:rPr>
          <w:rFonts w:hint="eastAsia" w:ascii="Times New Roman" w:hAnsi="Times New Roman" w:eastAsia="方正仿宋_GBK" w:cs="Times New Roman"/>
          <w:color w:val="auto"/>
          <w:sz w:val="32"/>
          <w:szCs w:val="32"/>
        </w:rPr>
        <w:t>、公务车运行维护费、水电费及其他商品服务支出。</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（五）政府性基金预算收支决算情况说明</w:t>
      </w:r>
      <w:bookmarkStart w:id="0" w:name="_GoBack"/>
      <w:bookmarkEnd w:id="0"/>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Times New Roman" w:hAnsi="Times New Roman" w:eastAsia="方正仿宋_GBK" w:cs="方正仿宋_GBK"/>
          <w:color w:val="auto"/>
          <w:sz w:val="32"/>
          <w:szCs w:val="32"/>
          <w:shd w:val="clear" w:color="auto" w:fill="FFFFFF"/>
        </w:rPr>
        <w:t>本单位202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年度无政府性基金预算财政拨款收支。</w:t>
      </w:r>
    </w:p>
    <w:p>
      <w:pPr>
        <w:pStyle w:val="15"/>
        <w:keepNext w:val="0"/>
        <w:keepLines w:val="0"/>
        <w:pageBreakBefore w:val="0"/>
        <w:kinsoku/>
        <w:wordWrap/>
        <w:overflowPunct/>
        <w:topLinePunct w:val="0"/>
        <w:autoSpaceDE w:val="0"/>
        <w:autoSpaceDN/>
        <w:bidi w:val="0"/>
        <w:adjustRightInd/>
        <w:spacing w:line="600" w:lineRule="exact"/>
        <w:ind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（六）国有资本经营预算财政拨款支出决算情况说明</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Times New Roman" w:hAnsi="Times New Roman" w:eastAsia="方正仿宋_GBK" w:cs="方正仿宋_GBK"/>
          <w:color w:val="auto"/>
          <w:sz w:val="32"/>
          <w:szCs w:val="32"/>
          <w:shd w:val="clear" w:color="auto" w:fill="FFFFFF"/>
        </w:rPr>
        <w:t>本单位202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年度无国有资本经营预算财政拨款支出。</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rPr>
      </w:pPr>
      <w:r>
        <w:rPr>
          <w:rStyle w:val="14"/>
          <w:rFonts w:hint="eastAsia" w:ascii="方正黑体_GBK" w:hAnsi="方正黑体_GBK" w:eastAsia="方正黑体_GBK" w:cs="方正黑体_GBK"/>
          <w:b w:val="0"/>
          <w:bCs/>
          <w:sz w:val="32"/>
          <w:szCs w:val="32"/>
          <w:shd w:val="clear" w:color="auto" w:fill="FFFFFF"/>
          <w:lang w:val="en-US" w:eastAsia="zh-CN"/>
        </w:rPr>
        <w:t>三、财政拨款“三公”经费情况说明</w:t>
      </w:r>
    </w:p>
    <w:p>
      <w:pPr>
        <w:pStyle w:val="15"/>
        <w:keepNext w:val="0"/>
        <w:keepLines w:val="0"/>
        <w:pageBreakBefore w:val="0"/>
        <w:kinsoku/>
        <w:wordWrap/>
        <w:overflowPunct/>
        <w:topLinePunct w:val="0"/>
        <w:autoSpaceDE w:val="0"/>
        <w:autoSpaceDN/>
        <w:bidi w:val="0"/>
        <w:adjustRightInd/>
        <w:spacing w:line="600" w:lineRule="exact"/>
        <w:ind w:firstLine="640" w:firstLineChars="200"/>
        <w:textAlignment w:val="auto"/>
        <w:rPr>
          <w:rFonts w:ascii="方正仿宋_GBK" w:hAnsi="方正仿宋_GBK" w:eastAsia="方正仿宋_GBK" w:cs="方正仿宋_GBK"/>
          <w:sz w:val="32"/>
          <w:szCs w:val="32"/>
        </w:rPr>
      </w:pPr>
      <w:r>
        <w:rPr>
          <w:rFonts w:hint="eastAsia" w:ascii="Times New Roman" w:hAnsi="Times New Roman" w:eastAsia="方正仿宋_GBK" w:cs="方正仿宋_GBK"/>
          <w:color w:val="auto"/>
          <w:sz w:val="32"/>
          <w:szCs w:val="32"/>
          <w:highlight w:val="none"/>
          <w:shd w:val="clear" w:color="auto" w:fill="FFFFFF"/>
        </w:rPr>
        <w:t>本单位202</w:t>
      </w:r>
      <w:r>
        <w:rPr>
          <w:rFonts w:hint="eastAsia" w:ascii="Times New Roman" w:hAnsi="Times New Roman" w:eastAsia="方正仿宋_GBK" w:cs="方正仿宋_GBK"/>
          <w:color w:val="auto"/>
          <w:sz w:val="32"/>
          <w:szCs w:val="32"/>
          <w:highlight w:val="none"/>
          <w:shd w:val="clear" w:color="auto" w:fill="FFFFFF"/>
          <w:lang w:val="en-US" w:eastAsia="zh-CN"/>
        </w:rPr>
        <w:t>4</w:t>
      </w:r>
      <w:r>
        <w:rPr>
          <w:rFonts w:hint="eastAsia" w:ascii="Times New Roman" w:hAnsi="Times New Roman" w:eastAsia="方正仿宋_GBK" w:cs="方正仿宋_GBK"/>
          <w:color w:val="auto"/>
          <w:sz w:val="32"/>
          <w:szCs w:val="32"/>
          <w:highlight w:val="none"/>
          <w:shd w:val="clear" w:color="auto" w:fill="FFFFFF"/>
        </w:rPr>
        <w:t>年度无“三公”经费支出</w:t>
      </w:r>
      <w:r>
        <w:rPr>
          <w:rFonts w:hint="eastAsia" w:ascii="Times New Roman" w:hAnsi="Times New Roman" w:eastAsia="方正仿宋_GBK" w:cs="方正仿宋_GBK"/>
          <w:color w:val="auto"/>
          <w:sz w:val="32"/>
          <w:szCs w:val="32"/>
          <w:highlight w:val="none"/>
          <w:shd w:val="clear" w:color="auto" w:fill="FFFFFF"/>
          <w:lang w:eastAsia="zh-CN"/>
        </w:rPr>
        <w:t>。</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rPr>
      </w:pPr>
      <w:r>
        <w:rPr>
          <w:rStyle w:val="14"/>
          <w:rFonts w:hint="eastAsia" w:ascii="方正黑体_GBK" w:hAnsi="方正黑体_GBK" w:eastAsia="方正黑体_GBK" w:cs="方正黑体_GBK"/>
          <w:b w:val="0"/>
          <w:bCs/>
          <w:sz w:val="32"/>
          <w:szCs w:val="32"/>
          <w:shd w:val="clear" w:color="auto" w:fill="FFFFFF"/>
          <w:lang w:val="en-US" w:eastAsia="zh-CN"/>
        </w:rPr>
        <w:t>四、其他需要说明的事项</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（一）财政拨款会议费、培训费和差旅费情况说明</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FF0000"/>
          <w:sz w:val="32"/>
          <w:szCs w:val="32"/>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0.28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与2023年度相比，增加0.14万元，增长100%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人员变动增加的职工教育经费</w:t>
      </w:r>
      <w:r>
        <w:rPr>
          <w:rFonts w:hint="eastAsia" w:ascii="方正仿宋_GBK" w:hAnsi="方正仿宋_GBK" w:eastAsia="方正仿宋_GBK" w:cs="方正仿宋_GBK"/>
          <w:sz w:val="32"/>
          <w:szCs w:val="32"/>
          <w:highlight w:val="none"/>
          <w:shd w:val="clear" w:color="auto" w:fill="FFFFFF"/>
          <w:lang w:val="en-US" w:eastAsia="zh-CN"/>
        </w:rPr>
        <w:t>由培训费科目核算</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（二）机关运行经费情况说明</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highlight w:val="yellow"/>
        </w:rPr>
      </w:pPr>
      <w:r>
        <w:rPr>
          <w:rFonts w:hint="eastAsia" w:ascii="Times New Roman" w:hAnsi="Times New Roman" w:eastAsia="方正仿宋_GBK" w:cs="方正仿宋_GBK"/>
          <w:color w:val="auto"/>
          <w:sz w:val="32"/>
          <w:szCs w:val="32"/>
          <w:shd w:val="clear" w:color="auto" w:fill="FFFFFF"/>
        </w:rPr>
        <w:t>按照部门决算列报口径，我单位不在机关运行经费统计范围之内。</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（三）国有资产占用情况说明</w:t>
      </w:r>
    </w:p>
    <w:p>
      <w:pPr>
        <w:pStyle w:val="10"/>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（四）政府采购支出情况说明</w:t>
      </w:r>
    </w:p>
    <w:p>
      <w:pPr>
        <w:pStyle w:val="16"/>
        <w:keepNext w:val="0"/>
        <w:keepLines w:val="0"/>
        <w:pageBreakBefore w:val="0"/>
        <w:kinsoku/>
        <w:wordWrap/>
        <w:overflowPunct/>
        <w:topLinePunct w:val="0"/>
        <w:autoSpaceDN/>
        <w:bidi w:val="0"/>
        <w:adjustRightInd/>
        <w:spacing w:before="0" w:beforeAutospacing="0" w:after="0" w:afterAutospacing="0" w:line="600" w:lineRule="exact"/>
        <w:ind w:left="638" w:leftChars="266" w:firstLine="0" w:firstLineChars="0"/>
        <w:textAlignment w:val="auto"/>
        <w:rPr>
          <w:rStyle w:val="14"/>
          <w:rFonts w:hint="eastAsia" w:ascii="黑体" w:hAnsi="黑体" w:eastAsia="黑体" w:cs="黑体"/>
          <w:sz w:val="32"/>
          <w:szCs w:val="32"/>
          <w:shd w:val="clear" w:color="auto" w:fill="FFFFFF"/>
        </w:rPr>
      </w:pPr>
      <w:r>
        <w:rPr>
          <w:rFonts w:hint="eastAsia" w:ascii="Times New Roman" w:hAnsi="Times New Roman" w:eastAsia="方正仿宋_GBK" w:cs="方正仿宋_GBK"/>
          <w:color w:val="auto"/>
          <w:sz w:val="32"/>
          <w:szCs w:val="32"/>
          <w:shd w:val="clear" w:color="auto" w:fill="FFFFFF"/>
        </w:rPr>
        <w:t>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年度我单位未发生政府采购事项，无相关经费支出。</w:t>
      </w:r>
      <w:r>
        <w:rPr>
          <w:rStyle w:val="14"/>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4"/>
          <w:rFonts w:hint="eastAsia" w:ascii="方正楷体_GBK" w:hAnsi="方正楷体_GBK" w:eastAsia="方正楷体_GBK" w:cs="方正楷体_GBK"/>
          <w:b w:val="0"/>
          <w:bCs/>
          <w:color w:val="auto"/>
          <w:sz w:val="32"/>
          <w:szCs w:val="32"/>
          <w:shd w:val="clear" w:color="auto" w:fill="FFFFFF"/>
          <w:lang w:val="en-US" w:eastAsia="zh-CN" w:bidi="ar-SA"/>
        </w:rPr>
      </w:pPr>
      <w:r>
        <w:rPr>
          <w:rStyle w:val="14"/>
          <w:rFonts w:hint="eastAsia" w:ascii="方正楷体_GBK" w:hAnsi="方正楷体_GBK" w:eastAsia="方正楷体_GBK" w:cs="方正楷体_GBK"/>
          <w:b w:val="0"/>
          <w:bCs/>
          <w:color w:val="auto"/>
          <w:sz w:val="32"/>
          <w:szCs w:val="32"/>
          <w:shd w:val="clear" w:color="auto" w:fill="FFFFFF"/>
          <w:lang w:val="en-US" w:eastAsia="zh-CN" w:bidi="ar-SA"/>
        </w:rPr>
        <w:t>（一）单位自评情况</w:t>
      </w:r>
    </w:p>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eastAsia="zh-CN"/>
        </w:rPr>
      </w:pPr>
      <w:r>
        <w:rPr>
          <w:rFonts w:hint="eastAsia" w:ascii="Times New Roman" w:hAnsi="Times New Roman" w:eastAsia="方正仿宋_GBK" w:cs="方正仿宋_GBK"/>
          <w:color w:val="auto"/>
          <w:sz w:val="32"/>
          <w:szCs w:val="32"/>
          <w:shd w:val="clear" w:color="auto" w:fill="FFFFFF"/>
        </w:rPr>
        <w:t>根据预算绩效管理要求，我单位对</w:t>
      </w:r>
      <w:r>
        <w:rPr>
          <w:rFonts w:hint="eastAsia" w:ascii="Times New Roman" w:hAnsi="Times New Roman" w:eastAsia="方正仿宋_GBK" w:cs="方正仿宋_GBK"/>
          <w:color w:val="auto"/>
          <w:sz w:val="32"/>
          <w:szCs w:val="32"/>
          <w:shd w:val="clear" w:color="auto" w:fill="FFFFFF"/>
          <w:lang w:val="en-US" w:eastAsia="zh-CN"/>
        </w:rPr>
        <w:t>3</w:t>
      </w:r>
      <w:r>
        <w:rPr>
          <w:rFonts w:hint="eastAsia" w:ascii="Times New Roman" w:hAnsi="Times New Roman" w:eastAsia="方正仿宋_GBK" w:cs="方正仿宋_GBK"/>
          <w:color w:val="auto"/>
          <w:sz w:val="32"/>
          <w:szCs w:val="32"/>
          <w:shd w:val="clear" w:color="auto" w:fill="FFFFFF"/>
        </w:rPr>
        <w:t>个二级项目开展了绩效自评，涉及财政拨款项目支出资金</w:t>
      </w:r>
      <w:r>
        <w:rPr>
          <w:rFonts w:hint="eastAsia" w:ascii="Times New Roman" w:hAnsi="Times New Roman" w:eastAsia="方正仿宋_GBK" w:cs="方正仿宋_GBK"/>
          <w:color w:val="auto"/>
          <w:sz w:val="32"/>
          <w:szCs w:val="32"/>
          <w:shd w:val="clear" w:color="auto" w:fill="FFFFFF"/>
          <w:lang w:val="en-US" w:eastAsia="zh-CN"/>
        </w:rPr>
        <w:t>408.18</w:t>
      </w:r>
      <w:r>
        <w:rPr>
          <w:rFonts w:hint="eastAsia" w:ascii="Times New Roman" w:hAnsi="Times New Roman" w:eastAsia="方正仿宋_GBK" w:cs="方正仿宋_GBK"/>
          <w:color w:val="auto"/>
          <w:sz w:val="32"/>
          <w:szCs w:val="32"/>
          <w:shd w:val="clear" w:color="auto" w:fill="FFFFFF"/>
        </w:rPr>
        <w:t>万元</w:t>
      </w:r>
      <w:r>
        <w:rPr>
          <w:rFonts w:hint="eastAsia" w:ascii="Times New Roman" w:hAnsi="Times New Roman" w:eastAsia="方正仿宋_GBK" w:cs="方正仿宋_GBK"/>
          <w:color w:val="auto"/>
          <w:sz w:val="32"/>
          <w:szCs w:val="32"/>
          <w:shd w:val="clear" w:color="auto" w:fill="FFFFFF"/>
          <w:lang w:eastAsia="zh-CN"/>
        </w:rPr>
        <w:t>。</w:t>
      </w:r>
    </w:p>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eastAsia="zh-CN"/>
        </w:rPr>
      </w:pPr>
      <w:r>
        <w:rPr>
          <w:rFonts w:hint="eastAsia" w:ascii="Times New Roman" w:hAnsi="Times New Roman" w:eastAsia="方正仿宋_GBK" w:cs="方正仿宋_GBK"/>
          <w:color w:val="auto"/>
          <w:sz w:val="32"/>
          <w:szCs w:val="32"/>
          <w:shd w:val="clear" w:color="auto" w:fill="FFFFFF"/>
        </w:rPr>
        <w:t>项目支出绩效自评表（二级项目）</w:t>
      </w:r>
      <w:r>
        <w:rPr>
          <w:rFonts w:hint="eastAsia" w:ascii="Times New Roman" w:hAnsi="Times New Roman" w:eastAsia="方正仿宋_GBK" w:cs="方正仿宋_GBK"/>
          <w:color w:val="auto"/>
          <w:sz w:val="32"/>
          <w:szCs w:val="32"/>
          <w:shd w:val="clear" w:color="auto" w:fill="FFFFFF"/>
          <w:lang w:eastAsia="zh-CN"/>
        </w:rPr>
        <w:t>。</w:t>
      </w:r>
    </w:p>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eastAsia="zh-CN"/>
        </w:rPr>
      </w:pPr>
    </w:p>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eastAsia="zh-CN"/>
        </w:rPr>
      </w:pPr>
    </w:p>
    <w:tbl>
      <w:tblPr>
        <w:tblStyle w:val="11"/>
        <w:tblW w:w="9111" w:type="dxa"/>
        <w:tblInd w:w="0" w:type="dxa"/>
        <w:shd w:val="clear" w:color="auto" w:fill="auto"/>
        <w:tblLayout w:type="fixed"/>
        <w:tblCellMar>
          <w:top w:w="0" w:type="dxa"/>
          <w:left w:w="0" w:type="dxa"/>
          <w:bottom w:w="0" w:type="dxa"/>
          <w:right w:w="0" w:type="dxa"/>
        </w:tblCellMar>
      </w:tblPr>
      <w:tblGrid>
        <w:gridCol w:w="1093"/>
        <w:gridCol w:w="391"/>
        <w:gridCol w:w="484"/>
        <w:gridCol w:w="542"/>
        <w:gridCol w:w="553"/>
        <w:gridCol w:w="315"/>
        <w:gridCol w:w="204"/>
        <w:gridCol w:w="518"/>
        <w:gridCol w:w="68"/>
        <w:gridCol w:w="1150"/>
        <w:gridCol w:w="282"/>
        <w:gridCol w:w="68"/>
        <w:gridCol w:w="293"/>
        <w:gridCol w:w="756"/>
        <w:gridCol w:w="744"/>
        <w:gridCol w:w="158"/>
        <w:gridCol w:w="632"/>
        <w:gridCol w:w="860"/>
      </w:tblGrid>
      <w:tr>
        <w:tblPrEx>
          <w:shd w:val="clear" w:color="auto" w:fill="auto"/>
          <w:tblCellMar>
            <w:top w:w="0" w:type="dxa"/>
            <w:left w:w="0" w:type="dxa"/>
            <w:bottom w:w="0" w:type="dxa"/>
            <w:right w:w="0" w:type="dxa"/>
          </w:tblCellMar>
        </w:tblPrEx>
        <w:trPr>
          <w:trHeight w:val="805" w:hRule="atLeast"/>
        </w:trPr>
        <w:tc>
          <w:tcPr>
            <w:tcW w:w="9111"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36"/>
                <w:szCs w:val="36"/>
                <w:u w:val="none"/>
                <w:lang w:val="en-US" w:eastAsia="zh-CN" w:bidi="ar"/>
              </w:rPr>
              <w:t>2024年度二级项目绩效自评表</w:t>
            </w:r>
          </w:p>
        </w:tc>
      </w:tr>
      <w:tr>
        <w:tblPrEx>
          <w:shd w:val="clear" w:color="auto" w:fill="auto"/>
          <w:tblCellMar>
            <w:top w:w="0" w:type="dxa"/>
            <w:left w:w="0" w:type="dxa"/>
            <w:bottom w:w="0" w:type="dxa"/>
            <w:right w:w="0" w:type="dxa"/>
          </w:tblCellMar>
        </w:tblPrEx>
        <w:trPr>
          <w:trHeight w:val="499" w:hRule="atLeast"/>
        </w:trPr>
        <w:tc>
          <w:tcPr>
            <w:tcW w:w="1093"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1970" w:type="dxa"/>
            <w:gridSpan w:val="4"/>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2024年度-优抚抚恤补助经费</w:t>
            </w:r>
          </w:p>
        </w:tc>
        <w:tc>
          <w:tcPr>
            <w:tcW w:w="1037"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项目编码：</w:t>
            </w:r>
          </w:p>
        </w:tc>
        <w:tc>
          <w:tcPr>
            <w:tcW w:w="1500" w:type="dxa"/>
            <w:gridSpan w:val="3"/>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50019324T000004168842</w:t>
            </w:r>
          </w:p>
        </w:tc>
        <w:tc>
          <w:tcPr>
            <w:tcW w:w="1117"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自评总分：</w:t>
            </w:r>
          </w:p>
        </w:tc>
        <w:tc>
          <w:tcPr>
            <w:tcW w:w="902" w:type="dxa"/>
            <w:gridSpan w:val="2"/>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99.03</w:t>
            </w:r>
          </w:p>
        </w:tc>
        <w:tc>
          <w:tcPr>
            <w:tcW w:w="6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499" w:hRule="atLeast"/>
        </w:trPr>
        <w:tc>
          <w:tcPr>
            <w:tcW w:w="1093"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项目主管部门：</w:t>
            </w:r>
          </w:p>
        </w:tc>
        <w:tc>
          <w:tcPr>
            <w:tcW w:w="1970" w:type="dxa"/>
            <w:gridSpan w:val="4"/>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302-重庆市九龙坡区白市驿镇人民政府</w:t>
            </w:r>
          </w:p>
        </w:tc>
        <w:tc>
          <w:tcPr>
            <w:tcW w:w="1037"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财政归口处室：</w:t>
            </w:r>
          </w:p>
        </w:tc>
        <w:tc>
          <w:tcPr>
            <w:tcW w:w="1500" w:type="dxa"/>
            <w:gridSpan w:val="3"/>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003-预算科</w:t>
            </w:r>
          </w:p>
        </w:tc>
        <w:tc>
          <w:tcPr>
            <w:tcW w:w="1117"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部门联系人：</w:t>
            </w:r>
          </w:p>
        </w:tc>
        <w:tc>
          <w:tcPr>
            <w:tcW w:w="902" w:type="dxa"/>
            <w:gridSpan w:val="2"/>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胡杰</w:t>
            </w:r>
          </w:p>
        </w:tc>
        <w:tc>
          <w:tcPr>
            <w:tcW w:w="6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联系电话：</w:t>
            </w:r>
          </w:p>
        </w:tc>
        <w:tc>
          <w:tcPr>
            <w:tcW w:w="8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68065492</w:t>
            </w:r>
          </w:p>
        </w:tc>
      </w:tr>
      <w:tr>
        <w:tblPrEx>
          <w:shd w:val="clear" w:color="auto" w:fill="auto"/>
          <w:tblCellMar>
            <w:top w:w="0" w:type="dxa"/>
            <w:left w:w="0" w:type="dxa"/>
            <w:bottom w:w="0" w:type="dxa"/>
            <w:right w:w="0" w:type="dxa"/>
          </w:tblCellMar>
        </w:tblPrEx>
        <w:trPr>
          <w:trHeight w:val="600" w:hRule="atLeast"/>
        </w:trPr>
        <w:tc>
          <w:tcPr>
            <w:tcW w:w="9111"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4"/>
                <w:szCs w:val="24"/>
                <w:u w:val="none"/>
                <w:lang w:val="en-US" w:eastAsia="zh-CN" w:bidi="ar"/>
              </w:rPr>
              <w:t>资金情况</w:t>
            </w:r>
          </w:p>
        </w:tc>
      </w:tr>
      <w:tr>
        <w:tblPrEx>
          <w:shd w:val="clear" w:color="auto" w:fill="auto"/>
          <w:tblCellMar>
            <w:top w:w="0" w:type="dxa"/>
            <w:left w:w="0" w:type="dxa"/>
            <w:bottom w:w="0" w:type="dxa"/>
            <w:right w:w="0" w:type="dxa"/>
          </w:tblCellMar>
        </w:tblPrEx>
        <w:trPr>
          <w:trHeight w:val="499" w:hRule="atLeast"/>
        </w:trPr>
        <w:tc>
          <w:tcPr>
            <w:tcW w:w="1968"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410" w:type="dxa"/>
            <w:gridSpan w:val="3"/>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年初预算数</w:t>
            </w:r>
          </w:p>
        </w:tc>
        <w:tc>
          <w:tcPr>
            <w:tcW w:w="1940" w:type="dxa"/>
            <w:gridSpan w:val="4"/>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全年（调整）预算数</w:t>
            </w:r>
          </w:p>
        </w:tc>
        <w:tc>
          <w:tcPr>
            <w:tcW w:w="1399" w:type="dxa"/>
            <w:gridSpan w:val="4"/>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全年执行数</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执行率权重</w:t>
            </w:r>
          </w:p>
        </w:tc>
        <w:tc>
          <w:tcPr>
            <w:tcW w:w="8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执行率</w:t>
            </w:r>
          </w:p>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w:t>
            </w:r>
          </w:p>
        </w:tc>
      </w:tr>
      <w:tr>
        <w:tblPrEx>
          <w:shd w:val="clear" w:color="auto" w:fill="auto"/>
          <w:tblCellMar>
            <w:top w:w="0" w:type="dxa"/>
            <w:left w:w="0" w:type="dxa"/>
            <w:bottom w:w="0" w:type="dxa"/>
            <w:right w:w="0" w:type="dxa"/>
          </w:tblCellMar>
        </w:tblPrEx>
        <w:trPr>
          <w:trHeight w:val="499" w:hRule="atLeast"/>
        </w:trPr>
        <w:tc>
          <w:tcPr>
            <w:tcW w:w="1484"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年度总金额</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 xml:space="preserve">143.05 </w:t>
            </w:r>
          </w:p>
        </w:tc>
        <w:tc>
          <w:tcPr>
            <w:tcW w:w="790" w:type="dxa"/>
            <w:gridSpan w:val="3"/>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1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450.91 </w:t>
            </w:r>
          </w:p>
        </w:tc>
        <w:tc>
          <w:tcPr>
            <w:tcW w:w="643" w:type="dxa"/>
            <w:gridSpan w:val="3"/>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407.31 </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499" w:hRule="atLeast"/>
        </w:trPr>
        <w:tc>
          <w:tcPr>
            <w:tcW w:w="1484"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 xml:space="preserve">143.05 </w:t>
            </w:r>
          </w:p>
        </w:tc>
        <w:tc>
          <w:tcPr>
            <w:tcW w:w="790" w:type="dxa"/>
            <w:gridSpan w:val="3"/>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1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450.91 </w:t>
            </w:r>
          </w:p>
        </w:tc>
        <w:tc>
          <w:tcPr>
            <w:tcW w:w="643" w:type="dxa"/>
            <w:gridSpan w:val="3"/>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407.31 </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90.33</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9.03</w:t>
            </w:r>
          </w:p>
        </w:tc>
      </w:tr>
      <w:tr>
        <w:tblPrEx>
          <w:shd w:val="clear" w:color="auto" w:fill="auto"/>
          <w:tblCellMar>
            <w:top w:w="0" w:type="dxa"/>
            <w:left w:w="0" w:type="dxa"/>
            <w:bottom w:w="0" w:type="dxa"/>
            <w:right w:w="0" w:type="dxa"/>
          </w:tblCellMar>
        </w:tblPrEx>
        <w:trPr>
          <w:trHeight w:val="499" w:hRule="atLeast"/>
        </w:trPr>
        <w:tc>
          <w:tcPr>
            <w:tcW w:w="1484"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0"/>
                <w:szCs w:val="20"/>
                <w:u w:val="none"/>
                <w:lang w:val="en-US" w:eastAsia="zh-CN" w:bidi="ar"/>
              </w:rPr>
              <w:t xml:space="preserve">143.05 </w:t>
            </w:r>
          </w:p>
        </w:tc>
        <w:tc>
          <w:tcPr>
            <w:tcW w:w="790" w:type="dxa"/>
            <w:gridSpan w:val="3"/>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1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450.91 </w:t>
            </w:r>
          </w:p>
        </w:tc>
        <w:tc>
          <w:tcPr>
            <w:tcW w:w="643" w:type="dxa"/>
            <w:gridSpan w:val="3"/>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407.31 </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90.33</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618" w:hRule="atLeast"/>
        </w:trPr>
        <w:tc>
          <w:tcPr>
            <w:tcW w:w="9111"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4"/>
                <w:szCs w:val="24"/>
                <w:u w:val="none"/>
                <w:lang w:val="en-US" w:eastAsia="zh-CN" w:bidi="ar"/>
              </w:rPr>
              <w:t>绩效目标</w:t>
            </w:r>
          </w:p>
        </w:tc>
      </w:tr>
      <w:tr>
        <w:tblPrEx>
          <w:shd w:val="clear" w:color="auto" w:fill="auto"/>
          <w:tblCellMar>
            <w:top w:w="0" w:type="dxa"/>
            <w:left w:w="0" w:type="dxa"/>
            <w:bottom w:w="0" w:type="dxa"/>
            <w:right w:w="0" w:type="dxa"/>
          </w:tblCellMar>
        </w:tblPrEx>
        <w:trPr>
          <w:trHeight w:val="499" w:hRule="atLeast"/>
        </w:trPr>
        <w:tc>
          <w:tcPr>
            <w:tcW w:w="3582" w:type="dxa"/>
            <w:gridSpan w:val="7"/>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年初绩效目标</w:t>
            </w:r>
          </w:p>
        </w:tc>
        <w:tc>
          <w:tcPr>
            <w:tcW w:w="2086" w:type="dxa"/>
            <w:gridSpan w:val="5"/>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全年（调整）绩效目标</w:t>
            </w:r>
          </w:p>
        </w:tc>
        <w:tc>
          <w:tcPr>
            <w:tcW w:w="3443" w:type="dxa"/>
            <w:gridSpan w:val="6"/>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全年目标实际完成情况</w:t>
            </w:r>
          </w:p>
        </w:tc>
      </w:tr>
      <w:tr>
        <w:tblPrEx>
          <w:shd w:val="clear" w:color="auto" w:fill="auto"/>
          <w:tblCellMar>
            <w:top w:w="0" w:type="dxa"/>
            <w:left w:w="0" w:type="dxa"/>
            <w:bottom w:w="0" w:type="dxa"/>
            <w:right w:w="0" w:type="dxa"/>
          </w:tblCellMar>
        </w:tblPrEx>
        <w:trPr>
          <w:trHeight w:val="1602" w:hRule="atLeast"/>
        </w:trPr>
        <w:tc>
          <w:tcPr>
            <w:tcW w:w="3582" w:type="dxa"/>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度，按照规定标准发放优抚抚恤补助资金，优抚抚恤2900多人次，包括优抚对象生活补助、企业三类人员补助、精简职工等生活补助、军工遗属补助、无军籍人员补助、残疾军人护理费、节日慰问、退役军人节日慰问等补助，不断提升了优抚对象的生活水平、生活质量。当年度按时发放相关经费，保障优抚抚恤对象基本权益，经费使用规范、真实、完整、准确，优抚抚恤政府知晓率达90%以上，优抚抚恤对象满意度达90%以上。</w:t>
            </w:r>
          </w:p>
        </w:tc>
        <w:tc>
          <w:tcPr>
            <w:tcW w:w="2086" w:type="dxa"/>
            <w:gridSpan w:val="5"/>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3443" w:type="dxa"/>
            <w:gridSpan w:val="6"/>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按照规定标准发放优抚抚恤补助资金，优抚抚恤2900多人次，包括优抚对象生活补助、企业三类人员补助、精简职工等生活补助、军工遗属补助、无军籍人员补助、残疾军人护理费、节日慰问、退役军人节日慰问等补助，提升了优抚对象的生活水平、生活质量。当年度按时发放相关经费，保障优抚抚恤对象基本权益，经费使用规范、真实、完整、准确，优抚抚恤政府知晓率达90%以上，优抚抚恤对象满意度达100%。</w:t>
            </w:r>
          </w:p>
        </w:tc>
      </w:tr>
    </w:tbl>
    <w:tbl>
      <w:tblPr>
        <w:tblStyle w:val="12"/>
        <w:tblW w:w="9181" w:type="dxa"/>
        <w:tblInd w:w="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790"/>
        <w:gridCol w:w="665"/>
        <w:gridCol w:w="778"/>
        <w:gridCol w:w="846"/>
        <w:gridCol w:w="846"/>
        <w:gridCol w:w="857"/>
        <w:gridCol w:w="621"/>
        <w:gridCol w:w="680"/>
        <w:gridCol w:w="833"/>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1" w:type="dxa"/>
            <w:gridSpan w:val="11"/>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微软雅黑" w:hAnsi="微软雅黑" w:eastAsia="微软雅黑" w:cs="微软雅黑"/>
                <w:b/>
                <w:i w:val="0"/>
                <w:color w:val="808080"/>
                <w:kern w:val="0"/>
                <w:sz w:val="24"/>
                <w:szCs w:val="24"/>
                <w:u w:val="none"/>
                <w:lang w:val="en-US" w:eastAsia="zh-CN" w:bidi="ar"/>
              </w:rPr>
              <w:t>绩效指标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指标名称</w:t>
            </w:r>
          </w:p>
        </w:tc>
        <w:tc>
          <w:tcPr>
            <w:tcW w:w="790"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计量单位</w:t>
            </w:r>
          </w:p>
        </w:tc>
        <w:tc>
          <w:tcPr>
            <w:tcW w:w="665"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指标性质</w:t>
            </w:r>
          </w:p>
        </w:tc>
        <w:tc>
          <w:tcPr>
            <w:tcW w:w="778"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指标值</w:t>
            </w:r>
          </w:p>
        </w:tc>
        <w:tc>
          <w:tcPr>
            <w:tcW w:w="846" w:type="dxa"/>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全年</w:t>
            </w:r>
          </w:p>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完成值</w:t>
            </w:r>
          </w:p>
        </w:tc>
        <w:tc>
          <w:tcPr>
            <w:tcW w:w="846"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偏离度（%）</w:t>
            </w:r>
          </w:p>
        </w:tc>
        <w:tc>
          <w:tcPr>
            <w:tcW w:w="857"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得分系数（%）</w:t>
            </w:r>
          </w:p>
        </w:tc>
        <w:tc>
          <w:tcPr>
            <w:tcW w:w="621"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指标权重</w:t>
            </w:r>
          </w:p>
        </w:tc>
        <w:tc>
          <w:tcPr>
            <w:tcW w:w="680"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指标得分</w:t>
            </w:r>
          </w:p>
        </w:tc>
        <w:tc>
          <w:tcPr>
            <w:tcW w:w="833"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是否核心指标</w:t>
            </w:r>
          </w:p>
        </w:tc>
        <w:tc>
          <w:tcPr>
            <w:tcW w:w="731"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慰问退役军人及家属人数</w:t>
            </w:r>
          </w:p>
        </w:tc>
        <w:tc>
          <w:tcPr>
            <w:tcW w:w="79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人</w:t>
            </w:r>
          </w:p>
        </w:tc>
        <w:tc>
          <w:tcPr>
            <w:tcW w:w="665"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1700</w:t>
            </w:r>
          </w:p>
        </w:tc>
        <w:tc>
          <w:tcPr>
            <w:tcW w:w="84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1700</w:t>
            </w:r>
          </w:p>
        </w:tc>
        <w:tc>
          <w:tcPr>
            <w:tcW w:w="84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7"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2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68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833"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否</w:t>
            </w:r>
          </w:p>
        </w:tc>
        <w:tc>
          <w:tcPr>
            <w:tcW w:w="731" w:type="dxa"/>
          </w:tcPr>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优抚对象医疗补助人数</w:t>
            </w:r>
          </w:p>
        </w:tc>
        <w:tc>
          <w:tcPr>
            <w:tcW w:w="79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人</w:t>
            </w:r>
          </w:p>
        </w:tc>
        <w:tc>
          <w:tcPr>
            <w:tcW w:w="665"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249</w:t>
            </w:r>
          </w:p>
        </w:tc>
        <w:tc>
          <w:tcPr>
            <w:tcW w:w="84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249</w:t>
            </w:r>
          </w:p>
        </w:tc>
        <w:tc>
          <w:tcPr>
            <w:tcW w:w="84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7"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2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68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833"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否</w:t>
            </w:r>
          </w:p>
        </w:tc>
        <w:tc>
          <w:tcPr>
            <w:tcW w:w="731" w:type="dxa"/>
          </w:tcPr>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优抚抚恤补助人次</w:t>
            </w:r>
          </w:p>
        </w:tc>
        <w:tc>
          <w:tcPr>
            <w:tcW w:w="79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人</w:t>
            </w:r>
          </w:p>
        </w:tc>
        <w:tc>
          <w:tcPr>
            <w:tcW w:w="665"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2900</w:t>
            </w:r>
          </w:p>
        </w:tc>
        <w:tc>
          <w:tcPr>
            <w:tcW w:w="84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2900</w:t>
            </w:r>
          </w:p>
        </w:tc>
        <w:tc>
          <w:tcPr>
            <w:tcW w:w="84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7"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2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68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833"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是</w:t>
            </w:r>
          </w:p>
        </w:tc>
        <w:tc>
          <w:tcPr>
            <w:tcW w:w="731" w:type="dxa"/>
          </w:tcPr>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节日资金覆盖率</w:t>
            </w:r>
          </w:p>
        </w:tc>
        <w:tc>
          <w:tcPr>
            <w:tcW w:w="79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665"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84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84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7"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2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68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833"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否</w:t>
            </w:r>
          </w:p>
        </w:tc>
        <w:tc>
          <w:tcPr>
            <w:tcW w:w="731" w:type="dxa"/>
          </w:tcPr>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优抚抚恤发放对象准确率</w:t>
            </w:r>
          </w:p>
        </w:tc>
        <w:tc>
          <w:tcPr>
            <w:tcW w:w="79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665"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84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84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7"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2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68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833"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否</w:t>
            </w:r>
          </w:p>
        </w:tc>
        <w:tc>
          <w:tcPr>
            <w:tcW w:w="731" w:type="dxa"/>
          </w:tcPr>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补助资金及时发放率</w:t>
            </w:r>
          </w:p>
        </w:tc>
        <w:tc>
          <w:tcPr>
            <w:tcW w:w="79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665"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84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84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7"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2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68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833"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否</w:t>
            </w:r>
          </w:p>
        </w:tc>
        <w:tc>
          <w:tcPr>
            <w:tcW w:w="731" w:type="dxa"/>
          </w:tcPr>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提升优抚对象生活水平</w:t>
            </w:r>
          </w:p>
        </w:tc>
        <w:tc>
          <w:tcPr>
            <w:tcW w:w="79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665"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定性</w:t>
            </w:r>
          </w:p>
        </w:tc>
        <w:tc>
          <w:tcPr>
            <w:tcW w:w="77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提升</w:t>
            </w:r>
          </w:p>
        </w:tc>
        <w:tc>
          <w:tcPr>
            <w:tcW w:w="84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4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7"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2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68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833"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否</w:t>
            </w:r>
          </w:p>
        </w:tc>
        <w:tc>
          <w:tcPr>
            <w:tcW w:w="731" w:type="dxa"/>
          </w:tcPr>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3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政策覆盖率</w:t>
            </w:r>
          </w:p>
        </w:tc>
        <w:tc>
          <w:tcPr>
            <w:tcW w:w="79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665"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tc>
        <w:tc>
          <w:tcPr>
            <w:tcW w:w="84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tc>
        <w:tc>
          <w:tcPr>
            <w:tcW w:w="84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7"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2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8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33"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731" w:type="dxa"/>
          </w:tcPr>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优抚抚恤对象满意率</w:t>
            </w:r>
          </w:p>
        </w:tc>
        <w:tc>
          <w:tcPr>
            <w:tcW w:w="79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665"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tc>
        <w:tc>
          <w:tcPr>
            <w:tcW w:w="84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84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11.11</w:t>
            </w:r>
          </w:p>
        </w:tc>
        <w:tc>
          <w:tcPr>
            <w:tcW w:w="857"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2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8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33"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731" w:type="dxa"/>
          </w:tcPr>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bl>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eastAsia="zh-CN"/>
        </w:rPr>
      </w:pPr>
    </w:p>
    <w:tbl>
      <w:tblPr>
        <w:tblStyle w:val="11"/>
        <w:tblW w:w="9184" w:type="dxa"/>
        <w:tblInd w:w="-73" w:type="dxa"/>
        <w:shd w:val="clear" w:color="auto" w:fill="auto"/>
        <w:tblLayout w:type="fixed"/>
        <w:tblCellMar>
          <w:top w:w="0" w:type="dxa"/>
          <w:left w:w="0" w:type="dxa"/>
          <w:bottom w:w="0" w:type="dxa"/>
          <w:right w:w="0" w:type="dxa"/>
        </w:tblCellMar>
      </w:tblPr>
      <w:tblGrid>
        <w:gridCol w:w="73"/>
        <w:gridCol w:w="1093"/>
        <w:gridCol w:w="391"/>
        <w:gridCol w:w="484"/>
        <w:gridCol w:w="542"/>
        <w:gridCol w:w="553"/>
        <w:gridCol w:w="315"/>
        <w:gridCol w:w="53"/>
        <w:gridCol w:w="669"/>
        <w:gridCol w:w="68"/>
        <w:gridCol w:w="1150"/>
        <w:gridCol w:w="282"/>
        <w:gridCol w:w="361"/>
        <w:gridCol w:w="756"/>
        <w:gridCol w:w="90"/>
        <w:gridCol w:w="654"/>
        <w:gridCol w:w="158"/>
        <w:gridCol w:w="632"/>
        <w:gridCol w:w="860"/>
      </w:tblGrid>
      <w:tr>
        <w:tblPrEx>
          <w:tblCellMar>
            <w:top w:w="0" w:type="dxa"/>
            <w:left w:w="0" w:type="dxa"/>
            <w:bottom w:w="0" w:type="dxa"/>
            <w:right w:w="0" w:type="dxa"/>
          </w:tblCellMar>
        </w:tblPrEx>
        <w:trPr>
          <w:gridBefore w:val="1"/>
          <w:wBefore w:w="73" w:type="dxa"/>
          <w:trHeight w:val="805" w:hRule="atLeast"/>
        </w:trPr>
        <w:tc>
          <w:tcPr>
            <w:tcW w:w="9111"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36"/>
                <w:szCs w:val="36"/>
                <w:u w:val="none"/>
                <w:lang w:val="en-US" w:eastAsia="zh-CN" w:bidi="ar"/>
              </w:rPr>
              <w:t>2024年度二级项目绩效自评表</w:t>
            </w:r>
          </w:p>
        </w:tc>
      </w:tr>
      <w:tr>
        <w:tblPrEx>
          <w:shd w:val="clear" w:color="auto" w:fill="auto"/>
          <w:tblCellMar>
            <w:top w:w="0" w:type="dxa"/>
            <w:left w:w="0" w:type="dxa"/>
            <w:bottom w:w="0" w:type="dxa"/>
            <w:right w:w="0" w:type="dxa"/>
          </w:tblCellMar>
        </w:tblPrEx>
        <w:trPr>
          <w:gridBefore w:val="1"/>
          <w:wBefore w:w="73" w:type="dxa"/>
          <w:trHeight w:val="499" w:hRule="atLeast"/>
        </w:trPr>
        <w:tc>
          <w:tcPr>
            <w:tcW w:w="1093"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1970" w:type="dxa"/>
            <w:gridSpan w:val="4"/>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襄渝铁路民兵救济</w:t>
            </w:r>
          </w:p>
        </w:tc>
        <w:tc>
          <w:tcPr>
            <w:tcW w:w="1037"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项目编码：</w:t>
            </w:r>
          </w:p>
        </w:tc>
        <w:tc>
          <w:tcPr>
            <w:tcW w:w="1500" w:type="dxa"/>
            <w:gridSpan w:val="3"/>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50019324T000004373188</w:t>
            </w:r>
          </w:p>
        </w:tc>
        <w:tc>
          <w:tcPr>
            <w:tcW w:w="1117"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自评总分：</w:t>
            </w:r>
          </w:p>
        </w:tc>
        <w:tc>
          <w:tcPr>
            <w:tcW w:w="902" w:type="dxa"/>
            <w:gridSpan w:val="3"/>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r>
              <w:rPr>
                <w:rFonts w:hint="eastAsia" w:cs="宋体"/>
                <w:i w:val="0"/>
                <w:color w:val="000000"/>
                <w:kern w:val="0"/>
                <w:sz w:val="20"/>
                <w:szCs w:val="20"/>
                <w:u w:val="none"/>
                <w:lang w:val="en-US" w:eastAsia="zh-CN" w:bidi="ar"/>
              </w:rPr>
              <w:t>5</w:t>
            </w:r>
            <w:r>
              <w:rPr>
                <w:rFonts w:hint="eastAsia" w:ascii="宋体" w:hAnsi="宋体" w:eastAsia="宋体" w:cs="宋体"/>
                <w:i w:val="0"/>
                <w:color w:val="000000"/>
                <w:kern w:val="0"/>
                <w:sz w:val="20"/>
                <w:szCs w:val="20"/>
                <w:u w:val="none"/>
                <w:lang w:val="en-US" w:eastAsia="zh-CN" w:bidi="ar"/>
              </w:rPr>
              <w:t>.</w:t>
            </w:r>
            <w:r>
              <w:rPr>
                <w:rFonts w:hint="eastAsia" w:cs="宋体"/>
                <w:i w:val="0"/>
                <w:color w:val="000000"/>
                <w:kern w:val="0"/>
                <w:sz w:val="20"/>
                <w:szCs w:val="20"/>
                <w:u w:val="none"/>
                <w:lang w:val="en-US" w:eastAsia="zh-CN" w:bidi="ar"/>
              </w:rPr>
              <w:t>9</w:t>
            </w:r>
            <w:r>
              <w:rPr>
                <w:rFonts w:hint="eastAsia" w:ascii="宋体" w:hAnsi="宋体" w:eastAsia="宋体" w:cs="宋体"/>
                <w:i w:val="0"/>
                <w:color w:val="000000"/>
                <w:kern w:val="0"/>
                <w:sz w:val="20"/>
                <w:szCs w:val="20"/>
                <w:u w:val="none"/>
                <w:lang w:val="en-US" w:eastAsia="zh-CN" w:bidi="ar"/>
              </w:rPr>
              <w:t>3</w:t>
            </w:r>
          </w:p>
        </w:tc>
        <w:tc>
          <w:tcPr>
            <w:tcW w:w="6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Before w:val="1"/>
          <w:wBefore w:w="73" w:type="dxa"/>
          <w:trHeight w:val="499" w:hRule="atLeast"/>
        </w:trPr>
        <w:tc>
          <w:tcPr>
            <w:tcW w:w="1093"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项目主管部门：</w:t>
            </w:r>
          </w:p>
        </w:tc>
        <w:tc>
          <w:tcPr>
            <w:tcW w:w="1970" w:type="dxa"/>
            <w:gridSpan w:val="4"/>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302-重庆市九龙坡区白市驿镇人民政府</w:t>
            </w:r>
          </w:p>
        </w:tc>
        <w:tc>
          <w:tcPr>
            <w:tcW w:w="1037" w:type="dxa"/>
            <w:gridSpan w:val="3"/>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财政归口处室：</w:t>
            </w:r>
          </w:p>
        </w:tc>
        <w:tc>
          <w:tcPr>
            <w:tcW w:w="1500" w:type="dxa"/>
            <w:gridSpan w:val="3"/>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003-预算科</w:t>
            </w:r>
          </w:p>
        </w:tc>
        <w:tc>
          <w:tcPr>
            <w:tcW w:w="1117"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部门联系人：</w:t>
            </w:r>
          </w:p>
        </w:tc>
        <w:tc>
          <w:tcPr>
            <w:tcW w:w="902" w:type="dxa"/>
            <w:gridSpan w:val="3"/>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胡杰</w:t>
            </w:r>
          </w:p>
        </w:tc>
        <w:tc>
          <w:tcPr>
            <w:tcW w:w="6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联系电话：</w:t>
            </w:r>
          </w:p>
        </w:tc>
        <w:tc>
          <w:tcPr>
            <w:tcW w:w="8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68065492</w:t>
            </w:r>
          </w:p>
        </w:tc>
      </w:tr>
      <w:tr>
        <w:tblPrEx>
          <w:shd w:val="clear" w:color="auto" w:fill="auto"/>
          <w:tblCellMar>
            <w:top w:w="0" w:type="dxa"/>
            <w:left w:w="0" w:type="dxa"/>
            <w:bottom w:w="0" w:type="dxa"/>
            <w:right w:w="0" w:type="dxa"/>
          </w:tblCellMar>
        </w:tblPrEx>
        <w:trPr>
          <w:gridBefore w:val="1"/>
          <w:wBefore w:w="73" w:type="dxa"/>
          <w:trHeight w:val="600" w:hRule="atLeast"/>
        </w:trPr>
        <w:tc>
          <w:tcPr>
            <w:tcW w:w="9111"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4"/>
                <w:szCs w:val="24"/>
                <w:u w:val="none"/>
                <w:lang w:val="en-US" w:eastAsia="zh-CN" w:bidi="ar"/>
              </w:rPr>
              <w:t>资金情况</w:t>
            </w:r>
          </w:p>
        </w:tc>
      </w:tr>
      <w:tr>
        <w:tblPrEx>
          <w:shd w:val="clear" w:color="auto" w:fill="auto"/>
          <w:tblCellMar>
            <w:top w:w="0" w:type="dxa"/>
            <w:left w:w="0" w:type="dxa"/>
            <w:bottom w:w="0" w:type="dxa"/>
            <w:right w:w="0" w:type="dxa"/>
          </w:tblCellMar>
        </w:tblPrEx>
        <w:trPr>
          <w:gridBefore w:val="1"/>
          <w:wBefore w:w="73" w:type="dxa"/>
          <w:trHeight w:val="499" w:hRule="atLeast"/>
        </w:trPr>
        <w:tc>
          <w:tcPr>
            <w:tcW w:w="1968"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410" w:type="dxa"/>
            <w:gridSpan w:val="3"/>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年初预算数</w:t>
            </w:r>
          </w:p>
        </w:tc>
        <w:tc>
          <w:tcPr>
            <w:tcW w:w="1940" w:type="dxa"/>
            <w:gridSpan w:val="4"/>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全年（调整）预算数</w:t>
            </w:r>
          </w:p>
        </w:tc>
        <w:tc>
          <w:tcPr>
            <w:tcW w:w="1399" w:type="dxa"/>
            <w:gridSpan w:val="3"/>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全年执行数</w:t>
            </w:r>
          </w:p>
        </w:tc>
        <w:tc>
          <w:tcPr>
            <w:tcW w:w="744"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执行率权重</w:t>
            </w:r>
          </w:p>
        </w:tc>
        <w:tc>
          <w:tcPr>
            <w:tcW w:w="8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执行率</w:t>
            </w:r>
          </w:p>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w:t>
            </w:r>
          </w:p>
        </w:tc>
      </w:tr>
      <w:tr>
        <w:tblPrEx>
          <w:shd w:val="clear" w:color="auto" w:fill="auto"/>
          <w:tblCellMar>
            <w:top w:w="0" w:type="dxa"/>
            <w:left w:w="0" w:type="dxa"/>
            <w:bottom w:w="0" w:type="dxa"/>
            <w:right w:w="0" w:type="dxa"/>
          </w:tblCellMar>
        </w:tblPrEx>
        <w:trPr>
          <w:gridBefore w:val="1"/>
          <w:wBefore w:w="73" w:type="dxa"/>
          <w:trHeight w:val="499" w:hRule="atLeast"/>
        </w:trPr>
        <w:tc>
          <w:tcPr>
            <w:tcW w:w="1484"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年度总金额</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cs="宋体"/>
                <w:i w:val="0"/>
                <w:color w:val="000000"/>
                <w:kern w:val="0"/>
                <w:sz w:val="20"/>
                <w:szCs w:val="20"/>
                <w:u w:val="none"/>
                <w:lang w:val="en-US" w:eastAsia="zh-CN" w:bidi="ar"/>
              </w:rPr>
              <w:t>0</w:t>
            </w:r>
            <w:r>
              <w:rPr>
                <w:rFonts w:hint="eastAsia" w:ascii="宋体" w:hAnsi="宋体" w:eastAsia="宋体" w:cs="宋体"/>
                <w:i w:val="0"/>
                <w:color w:val="000000"/>
                <w:kern w:val="0"/>
                <w:sz w:val="20"/>
                <w:szCs w:val="20"/>
                <w:u w:val="none"/>
                <w:lang w:val="en-US" w:eastAsia="zh-CN" w:bidi="ar"/>
              </w:rPr>
              <w:t xml:space="preserve"> </w:t>
            </w:r>
          </w:p>
        </w:tc>
        <w:tc>
          <w:tcPr>
            <w:tcW w:w="790" w:type="dxa"/>
            <w:gridSpan w:val="3"/>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1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0.5 </w:t>
            </w:r>
          </w:p>
        </w:tc>
        <w:tc>
          <w:tcPr>
            <w:tcW w:w="643"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0.3 </w:t>
            </w:r>
          </w:p>
        </w:tc>
        <w:tc>
          <w:tcPr>
            <w:tcW w:w="744"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Before w:val="1"/>
          <w:wBefore w:w="73" w:type="dxa"/>
          <w:trHeight w:val="499" w:hRule="atLeast"/>
        </w:trPr>
        <w:tc>
          <w:tcPr>
            <w:tcW w:w="1484"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cs="宋体"/>
                <w:i w:val="0"/>
                <w:color w:val="000000"/>
                <w:kern w:val="0"/>
                <w:sz w:val="20"/>
                <w:szCs w:val="20"/>
                <w:u w:val="none"/>
                <w:lang w:val="en-US" w:eastAsia="zh-CN" w:bidi="ar"/>
              </w:rPr>
              <w:t>0</w:t>
            </w:r>
          </w:p>
        </w:tc>
        <w:tc>
          <w:tcPr>
            <w:tcW w:w="790" w:type="dxa"/>
            <w:gridSpan w:val="3"/>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1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0.5 </w:t>
            </w:r>
          </w:p>
        </w:tc>
        <w:tc>
          <w:tcPr>
            <w:tcW w:w="643"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0.3 </w:t>
            </w:r>
          </w:p>
        </w:tc>
        <w:tc>
          <w:tcPr>
            <w:tcW w:w="744"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59</w:t>
            </w:r>
            <w:r>
              <w:rPr>
                <w:rFonts w:hint="eastAsia" w:ascii="宋体" w:hAnsi="宋体" w:eastAsia="宋体" w:cs="宋体"/>
                <w:i w:val="0"/>
                <w:color w:val="000000"/>
                <w:kern w:val="0"/>
                <w:sz w:val="20"/>
                <w:szCs w:val="20"/>
                <w:u w:val="none"/>
                <w:lang w:val="en-US" w:eastAsia="zh-CN" w:bidi="ar"/>
              </w:rPr>
              <w:t>.3</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5.93</w:t>
            </w:r>
          </w:p>
        </w:tc>
      </w:tr>
      <w:tr>
        <w:tblPrEx>
          <w:tblCellMar>
            <w:top w:w="0" w:type="dxa"/>
            <w:left w:w="0" w:type="dxa"/>
            <w:bottom w:w="0" w:type="dxa"/>
            <w:right w:w="0" w:type="dxa"/>
          </w:tblCellMar>
        </w:tblPrEx>
        <w:trPr>
          <w:gridBefore w:val="1"/>
          <w:wBefore w:w="73" w:type="dxa"/>
          <w:trHeight w:val="499" w:hRule="atLeast"/>
        </w:trPr>
        <w:tc>
          <w:tcPr>
            <w:tcW w:w="1484"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cs="宋体"/>
                <w:i w:val="0"/>
                <w:color w:val="000000"/>
                <w:kern w:val="0"/>
                <w:sz w:val="20"/>
                <w:szCs w:val="20"/>
                <w:u w:val="none"/>
                <w:lang w:val="en-US" w:eastAsia="zh-CN" w:bidi="ar"/>
              </w:rPr>
              <w:t>0</w:t>
            </w:r>
          </w:p>
        </w:tc>
        <w:tc>
          <w:tcPr>
            <w:tcW w:w="790" w:type="dxa"/>
            <w:gridSpan w:val="3"/>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1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0.5 </w:t>
            </w:r>
          </w:p>
        </w:tc>
        <w:tc>
          <w:tcPr>
            <w:tcW w:w="643"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0.3 </w:t>
            </w:r>
          </w:p>
        </w:tc>
        <w:tc>
          <w:tcPr>
            <w:tcW w:w="744"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59.3</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600" w:hRule="atLeast"/>
        </w:trPr>
        <w:tc>
          <w:tcPr>
            <w:tcW w:w="9184" w:type="dxa"/>
            <w:gridSpan w:val="19"/>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4"/>
                <w:szCs w:val="24"/>
                <w:u w:val="none"/>
                <w:lang w:val="en-US" w:eastAsia="zh-CN" w:bidi="ar"/>
              </w:rPr>
              <w:t>绩效目标</w:t>
            </w:r>
          </w:p>
        </w:tc>
      </w:tr>
      <w:tr>
        <w:tblPrEx>
          <w:shd w:val="clear" w:color="auto" w:fill="auto"/>
          <w:tblCellMar>
            <w:top w:w="0" w:type="dxa"/>
            <w:left w:w="0" w:type="dxa"/>
            <w:bottom w:w="0" w:type="dxa"/>
            <w:right w:w="0" w:type="dxa"/>
          </w:tblCellMar>
        </w:tblPrEx>
        <w:trPr>
          <w:trHeight w:val="499" w:hRule="atLeast"/>
        </w:trPr>
        <w:tc>
          <w:tcPr>
            <w:tcW w:w="3504" w:type="dxa"/>
            <w:gridSpan w:val="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年初绩效目标</w:t>
            </w:r>
          </w:p>
        </w:tc>
        <w:tc>
          <w:tcPr>
            <w:tcW w:w="3376" w:type="dxa"/>
            <w:gridSpan w:val="7"/>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全年（调整）绩效目标</w:t>
            </w:r>
          </w:p>
        </w:tc>
        <w:tc>
          <w:tcPr>
            <w:tcW w:w="2304" w:type="dxa"/>
            <w:gridSpan w:val="4"/>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全年目标实际完成情况</w:t>
            </w:r>
          </w:p>
        </w:tc>
      </w:tr>
      <w:tr>
        <w:tblPrEx>
          <w:tblCellMar>
            <w:top w:w="0" w:type="dxa"/>
            <w:left w:w="0" w:type="dxa"/>
            <w:bottom w:w="0" w:type="dxa"/>
            <w:right w:w="0" w:type="dxa"/>
          </w:tblCellMar>
        </w:tblPrEx>
        <w:trPr>
          <w:trHeight w:val="1249" w:hRule="atLeast"/>
        </w:trPr>
        <w:tc>
          <w:tcPr>
            <w:tcW w:w="3504"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为原襄渝铁路建设伤残民兵民工发放救济补助。</w:t>
            </w:r>
          </w:p>
        </w:tc>
        <w:tc>
          <w:tcPr>
            <w:tcW w:w="3376" w:type="dxa"/>
            <w:gridSpan w:val="7"/>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为原襄渝铁路建设伤残民兵民工发放救济补助。</w:t>
            </w:r>
          </w:p>
        </w:tc>
        <w:tc>
          <w:tcPr>
            <w:tcW w:w="2304" w:type="dxa"/>
            <w:gridSpan w:val="4"/>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已完成1人对原襄渝铁路建设伤残民兵民工救济补助的发放，有效提高了其生活质量，满意度达100%。</w:t>
            </w:r>
          </w:p>
        </w:tc>
      </w:tr>
    </w:tbl>
    <w:tbl>
      <w:tblPr>
        <w:tblStyle w:val="12"/>
        <w:tblW w:w="9181" w:type="dxa"/>
        <w:tblInd w:w="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790"/>
        <w:gridCol w:w="665"/>
        <w:gridCol w:w="778"/>
        <w:gridCol w:w="846"/>
        <w:gridCol w:w="846"/>
        <w:gridCol w:w="857"/>
        <w:gridCol w:w="621"/>
        <w:gridCol w:w="680"/>
        <w:gridCol w:w="833"/>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1" w:type="dxa"/>
            <w:gridSpan w:val="11"/>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微软雅黑" w:hAnsi="微软雅黑" w:eastAsia="微软雅黑" w:cs="微软雅黑"/>
                <w:b/>
                <w:i w:val="0"/>
                <w:color w:val="808080"/>
                <w:kern w:val="0"/>
                <w:sz w:val="24"/>
                <w:szCs w:val="24"/>
                <w:u w:val="none"/>
                <w:lang w:val="en-US" w:eastAsia="zh-CN" w:bidi="ar"/>
              </w:rPr>
              <w:t>绩效指标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指标名称</w:t>
            </w:r>
          </w:p>
        </w:tc>
        <w:tc>
          <w:tcPr>
            <w:tcW w:w="790"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计量单位</w:t>
            </w:r>
          </w:p>
        </w:tc>
        <w:tc>
          <w:tcPr>
            <w:tcW w:w="665"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指标性质</w:t>
            </w:r>
          </w:p>
        </w:tc>
        <w:tc>
          <w:tcPr>
            <w:tcW w:w="778"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指标值</w:t>
            </w:r>
          </w:p>
        </w:tc>
        <w:tc>
          <w:tcPr>
            <w:tcW w:w="846" w:type="dxa"/>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全年</w:t>
            </w:r>
          </w:p>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完成值</w:t>
            </w:r>
          </w:p>
        </w:tc>
        <w:tc>
          <w:tcPr>
            <w:tcW w:w="846"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偏离度（%）</w:t>
            </w:r>
          </w:p>
        </w:tc>
        <w:tc>
          <w:tcPr>
            <w:tcW w:w="857"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得分系数（%）</w:t>
            </w:r>
          </w:p>
        </w:tc>
        <w:tc>
          <w:tcPr>
            <w:tcW w:w="621"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指标权重</w:t>
            </w:r>
          </w:p>
        </w:tc>
        <w:tc>
          <w:tcPr>
            <w:tcW w:w="680"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指标得分</w:t>
            </w:r>
          </w:p>
        </w:tc>
        <w:tc>
          <w:tcPr>
            <w:tcW w:w="833"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是否核心指标</w:t>
            </w:r>
          </w:p>
        </w:tc>
        <w:tc>
          <w:tcPr>
            <w:tcW w:w="731"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keepNext w:val="0"/>
              <w:keepLines w:val="0"/>
              <w:widowControl/>
              <w:suppressLineNumbers w:val="0"/>
              <w:jc w:val="lef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襄渝伤残民兵发放人数</w:t>
            </w:r>
          </w:p>
        </w:tc>
        <w:tc>
          <w:tcPr>
            <w:tcW w:w="790"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个</w:t>
            </w:r>
          </w:p>
        </w:tc>
        <w:tc>
          <w:tcPr>
            <w:tcW w:w="665"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w:t>
            </w:r>
          </w:p>
        </w:tc>
        <w:tc>
          <w:tcPr>
            <w:tcW w:w="778"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26</w:t>
            </w:r>
          </w:p>
        </w:tc>
        <w:tc>
          <w:tcPr>
            <w:tcW w:w="846"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26</w:t>
            </w:r>
          </w:p>
        </w:tc>
        <w:tc>
          <w:tcPr>
            <w:tcW w:w="846"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0</w:t>
            </w:r>
          </w:p>
        </w:tc>
        <w:tc>
          <w:tcPr>
            <w:tcW w:w="857"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100</w:t>
            </w:r>
          </w:p>
        </w:tc>
        <w:tc>
          <w:tcPr>
            <w:tcW w:w="621"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20</w:t>
            </w:r>
          </w:p>
        </w:tc>
        <w:tc>
          <w:tcPr>
            <w:tcW w:w="680"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20</w:t>
            </w:r>
          </w:p>
        </w:tc>
        <w:tc>
          <w:tcPr>
            <w:tcW w:w="833"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是</w:t>
            </w:r>
          </w:p>
        </w:tc>
        <w:tc>
          <w:tcPr>
            <w:tcW w:w="731" w:type="dxa"/>
          </w:tcPr>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jc w:val="both"/>
              <w:textAlignment w:val="auto"/>
              <w:rPr>
                <w:rFonts w:hint="eastAsia" w:ascii="Times New Roman" w:hAnsi="Times New Roman" w:eastAsia="方正仿宋_GBK" w:cs="方正仿宋_GBK"/>
                <w:color w:val="auto"/>
                <w:sz w:val="28"/>
                <w:szCs w:val="28"/>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keepNext w:val="0"/>
              <w:keepLines w:val="0"/>
              <w:widowControl/>
              <w:suppressLineNumbers w:val="0"/>
              <w:jc w:val="lef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每月按时足额发放率</w:t>
            </w:r>
          </w:p>
        </w:tc>
        <w:tc>
          <w:tcPr>
            <w:tcW w:w="790"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个</w:t>
            </w:r>
          </w:p>
        </w:tc>
        <w:tc>
          <w:tcPr>
            <w:tcW w:w="665"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w:t>
            </w:r>
          </w:p>
        </w:tc>
        <w:tc>
          <w:tcPr>
            <w:tcW w:w="778"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15</w:t>
            </w:r>
          </w:p>
        </w:tc>
        <w:tc>
          <w:tcPr>
            <w:tcW w:w="846"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15</w:t>
            </w:r>
          </w:p>
        </w:tc>
        <w:tc>
          <w:tcPr>
            <w:tcW w:w="846"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0</w:t>
            </w:r>
          </w:p>
        </w:tc>
        <w:tc>
          <w:tcPr>
            <w:tcW w:w="857"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100</w:t>
            </w:r>
          </w:p>
        </w:tc>
        <w:tc>
          <w:tcPr>
            <w:tcW w:w="621"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20</w:t>
            </w:r>
          </w:p>
        </w:tc>
        <w:tc>
          <w:tcPr>
            <w:tcW w:w="680"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20</w:t>
            </w:r>
          </w:p>
        </w:tc>
        <w:tc>
          <w:tcPr>
            <w:tcW w:w="833"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是</w:t>
            </w:r>
          </w:p>
        </w:tc>
        <w:tc>
          <w:tcPr>
            <w:tcW w:w="731" w:type="dxa"/>
          </w:tcPr>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jc w:val="both"/>
              <w:textAlignment w:val="auto"/>
              <w:rPr>
                <w:rFonts w:hint="eastAsia" w:ascii="Times New Roman" w:hAnsi="Times New Roman" w:eastAsia="方正仿宋_GBK" w:cs="方正仿宋_GBK"/>
                <w:color w:val="auto"/>
                <w:sz w:val="28"/>
                <w:szCs w:val="28"/>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keepNext w:val="0"/>
              <w:keepLines w:val="0"/>
              <w:widowControl/>
              <w:suppressLineNumbers w:val="0"/>
              <w:jc w:val="lef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襄渝伤残民兵补助标准</w:t>
            </w:r>
          </w:p>
        </w:tc>
        <w:tc>
          <w:tcPr>
            <w:tcW w:w="790"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w:t>
            </w:r>
          </w:p>
        </w:tc>
        <w:tc>
          <w:tcPr>
            <w:tcW w:w="665"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w:t>
            </w:r>
          </w:p>
        </w:tc>
        <w:tc>
          <w:tcPr>
            <w:tcW w:w="778"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100</w:t>
            </w:r>
          </w:p>
        </w:tc>
        <w:tc>
          <w:tcPr>
            <w:tcW w:w="846"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100</w:t>
            </w:r>
          </w:p>
        </w:tc>
        <w:tc>
          <w:tcPr>
            <w:tcW w:w="846"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0</w:t>
            </w:r>
          </w:p>
        </w:tc>
        <w:tc>
          <w:tcPr>
            <w:tcW w:w="857"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100</w:t>
            </w:r>
          </w:p>
        </w:tc>
        <w:tc>
          <w:tcPr>
            <w:tcW w:w="621"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20</w:t>
            </w:r>
          </w:p>
        </w:tc>
        <w:tc>
          <w:tcPr>
            <w:tcW w:w="680"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20</w:t>
            </w:r>
          </w:p>
        </w:tc>
        <w:tc>
          <w:tcPr>
            <w:tcW w:w="833"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是</w:t>
            </w:r>
          </w:p>
        </w:tc>
        <w:tc>
          <w:tcPr>
            <w:tcW w:w="731" w:type="dxa"/>
          </w:tcPr>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jc w:val="both"/>
              <w:textAlignment w:val="auto"/>
              <w:rPr>
                <w:rFonts w:hint="eastAsia" w:ascii="Times New Roman" w:hAnsi="Times New Roman" w:eastAsia="方正仿宋_GBK" w:cs="方正仿宋_GBK"/>
                <w:color w:val="auto"/>
                <w:sz w:val="28"/>
                <w:szCs w:val="28"/>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keepNext w:val="0"/>
              <w:keepLines w:val="0"/>
              <w:widowControl/>
              <w:suppressLineNumbers w:val="0"/>
              <w:jc w:val="lef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提高对象生活质量</w:t>
            </w:r>
          </w:p>
        </w:tc>
        <w:tc>
          <w:tcPr>
            <w:tcW w:w="790"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　</w:t>
            </w:r>
          </w:p>
        </w:tc>
        <w:tc>
          <w:tcPr>
            <w:tcW w:w="665" w:type="dxa"/>
            <w:vAlign w:val="center"/>
          </w:tcPr>
          <w:p>
            <w:pPr>
              <w:keepNext w:val="0"/>
              <w:keepLines w:val="0"/>
              <w:widowControl/>
              <w:suppressLineNumbers w:val="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定性</w:t>
            </w:r>
          </w:p>
        </w:tc>
        <w:tc>
          <w:tcPr>
            <w:tcW w:w="778"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明显提升</w:t>
            </w:r>
          </w:p>
        </w:tc>
        <w:tc>
          <w:tcPr>
            <w:tcW w:w="846"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w:t>
            </w:r>
          </w:p>
        </w:tc>
        <w:tc>
          <w:tcPr>
            <w:tcW w:w="846"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0</w:t>
            </w:r>
          </w:p>
        </w:tc>
        <w:tc>
          <w:tcPr>
            <w:tcW w:w="857"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100</w:t>
            </w:r>
          </w:p>
        </w:tc>
        <w:tc>
          <w:tcPr>
            <w:tcW w:w="621"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680"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833"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否</w:t>
            </w:r>
          </w:p>
        </w:tc>
        <w:tc>
          <w:tcPr>
            <w:tcW w:w="731" w:type="dxa"/>
          </w:tcPr>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jc w:val="both"/>
              <w:textAlignment w:val="auto"/>
              <w:rPr>
                <w:rFonts w:hint="eastAsia" w:ascii="Times New Roman" w:hAnsi="Times New Roman" w:eastAsia="方正仿宋_GBK" w:cs="方正仿宋_GBK"/>
                <w:color w:val="auto"/>
                <w:sz w:val="28"/>
                <w:szCs w:val="28"/>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keepNext w:val="0"/>
              <w:keepLines w:val="0"/>
              <w:widowControl/>
              <w:suppressLineNumbers w:val="0"/>
              <w:jc w:val="lef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可持续影响年度</w:t>
            </w:r>
          </w:p>
        </w:tc>
        <w:tc>
          <w:tcPr>
            <w:tcW w:w="790"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　</w:t>
            </w:r>
          </w:p>
        </w:tc>
        <w:tc>
          <w:tcPr>
            <w:tcW w:w="665" w:type="dxa"/>
            <w:vAlign w:val="center"/>
          </w:tcPr>
          <w:p>
            <w:pPr>
              <w:keepNext w:val="0"/>
              <w:keepLines w:val="0"/>
              <w:widowControl/>
              <w:suppressLineNumbers w:val="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定性</w:t>
            </w:r>
          </w:p>
        </w:tc>
        <w:tc>
          <w:tcPr>
            <w:tcW w:w="778" w:type="dxa"/>
            <w:vAlign w:val="center"/>
          </w:tcPr>
          <w:p>
            <w:pPr>
              <w:keepNext w:val="0"/>
              <w:keepLines w:val="0"/>
              <w:pageBreakBefore w:val="0"/>
              <w:widowControl/>
              <w:suppressLineNumbers w:val="0"/>
              <w:kinsoku/>
              <w:wordWrap/>
              <w:overflowPunct/>
              <w:topLinePunct w:val="0"/>
              <w:autoSpaceDN/>
              <w:bidi w:val="0"/>
              <w:adjustRightInd/>
              <w:snapToGrid/>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有效提升</w:t>
            </w:r>
          </w:p>
        </w:tc>
        <w:tc>
          <w:tcPr>
            <w:tcW w:w="846"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w:t>
            </w:r>
          </w:p>
        </w:tc>
        <w:tc>
          <w:tcPr>
            <w:tcW w:w="846"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0</w:t>
            </w:r>
          </w:p>
        </w:tc>
        <w:tc>
          <w:tcPr>
            <w:tcW w:w="857"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100</w:t>
            </w:r>
          </w:p>
        </w:tc>
        <w:tc>
          <w:tcPr>
            <w:tcW w:w="621"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680"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833"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否</w:t>
            </w:r>
          </w:p>
        </w:tc>
        <w:tc>
          <w:tcPr>
            <w:tcW w:w="731" w:type="dxa"/>
          </w:tcPr>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jc w:val="both"/>
              <w:textAlignment w:val="auto"/>
              <w:rPr>
                <w:rFonts w:hint="eastAsia" w:ascii="Times New Roman" w:hAnsi="Times New Roman" w:eastAsia="方正仿宋_GBK" w:cs="方正仿宋_GBK"/>
                <w:color w:val="auto"/>
                <w:sz w:val="28"/>
                <w:szCs w:val="28"/>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Align w:val="center"/>
          </w:tcPr>
          <w:p>
            <w:pPr>
              <w:keepNext w:val="0"/>
              <w:keepLines w:val="0"/>
              <w:widowControl/>
              <w:suppressLineNumbers w:val="0"/>
              <w:jc w:val="lef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提高对象满意度</w:t>
            </w:r>
          </w:p>
        </w:tc>
        <w:tc>
          <w:tcPr>
            <w:tcW w:w="790"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w:t>
            </w:r>
          </w:p>
        </w:tc>
        <w:tc>
          <w:tcPr>
            <w:tcW w:w="665"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w:t>
            </w:r>
          </w:p>
        </w:tc>
        <w:tc>
          <w:tcPr>
            <w:tcW w:w="778"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90</w:t>
            </w:r>
          </w:p>
        </w:tc>
        <w:tc>
          <w:tcPr>
            <w:tcW w:w="846"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100</w:t>
            </w:r>
          </w:p>
        </w:tc>
        <w:tc>
          <w:tcPr>
            <w:tcW w:w="846" w:type="dxa"/>
            <w:vAlign w:val="center"/>
          </w:tcPr>
          <w:p>
            <w:pPr>
              <w:keepNext w:val="0"/>
              <w:keepLines w:val="0"/>
              <w:widowControl/>
              <w:suppressLineNumbers w:val="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11.11</w:t>
            </w:r>
          </w:p>
        </w:tc>
        <w:tc>
          <w:tcPr>
            <w:tcW w:w="857"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100</w:t>
            </w:r>
          </w:p>
        </w:tc>
        <w:tc>
          <w:tcPr>
            <w:tcW w:w="621"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680"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10</w:t>
            </w:r>
          </w:p>
        </w:tc>
        <w:tc>
          <w:tcPr>
            <w:tcW w:w="833" w:type="dxa"/>
            <w:vAlign w:val="center"/>
          </w:tcPr>
          <w:p>
            <w:pPr>
              <w:keepNext w:val="0"/>
              <w:keepLines w:val="0"/>
              <w:widowControl/>
              <w:suppressLineNumbers w:val="0"/>
              <w:ind w:firstLine="200" w:firstLineChars="100"/>
              <w:jc w:val="right"/>
              <w:textAlignment w:val="center"/>
              <w:rPr>
                <w:rFonts w:hint="eastAsia" w:ascii="Times New Roman" w:hAnsi="Times New Roman" w:eastAsia="方正仿宋_GBK" w:cs="方正仿宋_GBK"/>
                <w:color w:val="auto"/>
                <w:sz w:val="20"/>
                <w:szCs w:val="20"/>
                <w:shd w:val="clear" w:color="auto" w:fill="FFFFFF"/>
                <w:vertAlign w:val="baseline"/>
                <w:lang w:eastAsia="zh-CN"/>
              </w:rPr>
            </w:pPr>
            <w:r>
              <w:rPr>
                <w:rFonts w:hint="eastAsia" w:ascii="宋体" w:hAnsi="宋体" w:eastAsia="宋体" w:cs="宋体"/>
                <w:i w:val="0"/>
                <w:color w:val="000000"/>
                <w:kern w:val="0"/>
                <w:sz w:val="20"/>
                <w:szCs w:val="20"/>
                <w:u w:val="none"/>
                <w:lang w:val="en-US" w:eastAsia="zh-CN" w:bidi="ar"/>
              </w:rPr>
              <w:t>否</w:t>
            </w:r>
          </w:p>
        </w:tc>
        <w:tc>
          <w:tcPr>
            <w:tcW w:w="731" w:type="dxa"/>
          </w:tcPr>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jc w:val="both"/>
              <w:textAlignment w:val="auto"/>
              <w:rPr>
                <w:rFonts w:hint="eastAsia" w:ascii="Times New Roman" w:hAnsi="Times New Roman" w:eastAsia="方正仿宋_GBK" w:cs="方正仿宋_GBK"/>
                <w:color w:val="auto"/>
                <w:sz w:val="28"/>
                <w:szCs w:val="28"/>
                <w:shd w:val="clear" w:color="auto" w:fill="FFFFFF"/>
                <w:vertAlign w:val="baseline"/>
                <w:lang w:eastAsia="zh-CN"/>
              </w:rPr>
            </w:pPr>
          </w:p>
        </w:tc>
      </w:tr>
    </w:tbl>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（二）单位绩效评价情况</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Times New Roman" w:hAnsi="Times New Roman" w:eastAsia="方正仿宋_GBK" w:cs="方正仿宋_GBK"/>
          <w:color w:val="auto"/>
          <w:sz w:val="32"/>
          <w:szCs w:val="32"/>
          <w:shd w:val="clear" w:color="auto" w:fill="FFFFFF"/>
          <w:lang w:val="en-US" w:eastAsia="zh-CN" w:bidi="ar-SA"/>
        </w:rPr>
        <w:t>我单位未组织开展绩效评价。</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（三）财政绩效评价情况</w:t>
      </w:r>
    </w:p>
    <w:p>
      <w:pPr>
        <w:pStyle w:val="15"/>
        <w:keepNext w:val="0"/>
        <w:keepLines w:val="0"/>
        <w:pageBreakBefore w:val="0"/>
        <w:widowControl w:val="0"/>
        <w:numPr>
          <w:ilvl w:val="0"/>
          <w:numId w:val="0"/>
        </w:numPr>
        <w:kinsoku/>
        <w:wordWrap/>
        <w:overflowPunct/>
        <w:topLinePunct w:val="0"/>
        <w:autoSpaceDE w:val="0"/>
        <w:autoSpaceDN/>
        <w:bidi w:val="0"/>
        <w:adjustRightInd/>
        <w:spacing w:beforeAutospacing="0" w:afterAutospacing="0" w:line="600" w:lineRule="exact"/>
        <w:ind w:firstLine="640" w:firstLineChars="200"/>
        <w:textAlignment w:val="auto"/>
        <w:rPr>
          <w:rFonts w:hint="default" w:ascii="Times New Roman" w:hAnsi="Times New Roman" w:eastAsia="方正仿宋_GBK"/>
          <w:bCs/>
          <w:sz w:val="32"/>
          <w:szCs w:val="32"/>
        </w:rPr>
      </w:pPr>
      <w:r>
        <w:rPr>
          <w:rFonts w:hint="eastAsia" w:ascii="Times New Roman" w:hAnsi="Times New Roman" w:eastAsia="方正仿宋_GBK" w:cs="方正仿宋_GBK"/>
          <w:color w:val="auto"/>
          <w:sz w:val="32"/>
          <w:szCs w:val="32"/>
          <w:shd w:val="clear" w:color="auto" w:fill="FFFFFF"/>
          <w:lang w:val="en-US" w:eastAsia="zh-CN" w:bidi="ar-SA"/>
        </w:rPr>
        <w:t>重庆高新区财政局未委托第三方对我单位开展绩效评价。</w:t>
      </w:r>
    </w:p>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Style w:val="14"/>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6"/>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4"/>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6"/>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Style w:val="14"/>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6"/>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r>
        <w:rPr>
          <w:rFonts w:hint="eastAsia" w:ascii="Times New Roman" w:hAnsi="Times New Roman" w:eastAsia="方正仿宋_GBK" w:cs="方正仿宋_GBK"/>
          <w:color w:val="auto"/>
          <w:sz w:val="32"/>
          <w:szCs w:val="32"/>
          <w:highlight w:val="none"/>
          <w:shd w:val="clear" w:color="auto" w:fill="FFFFFF"/>
          <w:lang w:val="en-US" w:eastAsia="zh-CN"/>
        </w:rPr>
        <w:t>023</w:t>
      </w:r>
      <w:r>
        <w:rPr>
          <w:rFonts w:hint="eastAsia" w:ascii="方正仿宋_GBK" w:hAnsi="方正仿宋_GBK" w:eastAsia="方正仿宋_GBK" w:cs="方正仿宋_GBK"/>
          <w:color w:val="auto"/>
          <w:sz w:val="32"/>
          <w:szCs w:val="32"/>
          <w:highlight w:val="none"/>
          <w:shd w:val="clear" w:color="auto" w:fill="FFFFFF"/>
          <w:lang w:val="en-US" w:eastAsia="zh-CN"/>
        </w:rPr>
        <w:t>-</w:t>
      </w:r>
      <w:r>
        <w:rPr>
          <w:rFonts w:hint="eastAsia" w:ascii="Times New Roman" w:hAnsi="Times New Roman" w:eastAsia="方正仿宋_GBK" w:cs="方正仿宋_GBK"/>
          <w:color w:val="auto"/>
          <w:sz w:val="32"/>
          <w:szCs w:val="32"/>
          <w:highlight w:val="none"/>
          <w:shd w:val="clear" w:color="auto" w:fill="FFFFFF"/>
          <w:lang w:val="en-US" w:eastAsia="zh-CN"/>
        </w:rPr>
        <w:t>65707445。</w:t>
      </w:r>
    </w:p>
    <w:p>
      <w:pPr>
        <w:pStyle w:val="15"/>
        <w:autoSpaceDE w:val="0"/>
        <w:spacing w:line="596" w:lineRule="exact"/>
        <w:ind w:firstLine="643"/>
        <w:jc w:val="both"/>
        <w:rPr>
          <w:rStyle w:val="14"/>
          <w:rFonts w:hint="eastAsia"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decimal"/>
          <w:cols w:space="720" w:num="1"/>
          <w:docGrid w:type="lines" w:linePitch="312" w:charSpace="0"/>
        </w:sectPr>
      </w:pPr>
    </w:p>
    <w:tbl>
      <w:tblPr>
        <w:tblStyle w:val="11"/>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部门：</w:t>
            </w:r>
            <w:r>
              <w:rPr>
                <w:sz w:val="20"/>
                <w:u w:color="auto"/>
              </w:rPr>
              <w:t>重庆市九龙坡区白市驿镇退役军人服务站</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489.58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489.58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489.58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489.58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489.58</w:t>
            </w:r>
            <w:r>
              <w:rPr>
                <w:rFonts w:ascii="Times New Roman" w:hAnsi="Times New Roman"/>
                <w:color w:val="000000"/>
                <w:sz w:val="20"/>
                <w:u w:color="auto"/>
              </w:rPr>
              <w:t xml:space="preserve"> </w:t>
            </w:r>
          </w:p>
        </w:tc>
      </w:tr>
    </w:tbl>
    <w:p>
      <w:pPr>
        <w:rPr>
          <w:rFonts w:cs="宋体"/>
          <w:sz w:val="21"/>
          <w:szCs w:val="21"/>
        </w:rPr>
      </w:pPr>
    </w:p>
    <w:p>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sz w:val="20"/>
                <w:u w:color="auto"/>
              </w:rPr>
              <w:t>重庆市九龙坡区白市驿镇退役军人服务站</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489.58</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489.58</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474.40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474.40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377.38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377.38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义务兵优待</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其他优抚支出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319.74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319.74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退役安置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2080902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军队移交政府的离退休人员安置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其他农村生活救助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其他退役军人事务管理支出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优抚对象医疗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优抚对象医疗补助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cs="宋体"/>
          <w:sz w:val="20"/>
          <w:szCs w:val="20"/>
        </w:rPr>
      </w:pPr>
      <w:r>
        <w:rPr>
          <w:rFonts w:cs="宋体"/>
          <w:sz w:val="20"/>
          <w:szCs w:val="20"/>
        </w:rPr>
        <w:br w:type="page"/>
      </w:r>
    </w:p>
    <w:tbl>
      <w:tblPr>
        <w:tblStyle w:val="11"/>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重庆市九龙坡区白市驿镇退役军人服务站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489.58</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81.40</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408.18</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474.40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76.73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397.66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377.38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377.38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义务兵优待</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其他优抚支出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319.74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319.74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退役安置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2080902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军队移交政府的离退休人员安置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其他农村生活救助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70.94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70.37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其他退役军人事务管理支出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优抚对象医疗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优抚对象医疗补助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p>
      <w:pPr>
        <w:rPr>
          <w:rFonts w:cs="宋体"/>
          <w:sz w:val="21"/>
          <w:szCs w:val="21"/>
        </w:rPr>
      </w:pPr>
    </w:p>
    <w:tbl>
      <w:tblPr>
        <w:tblStyle w:val="11"/>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重庆市九龙坡区白市驿镇退役军人服务站</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489.58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489.58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489.58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重庆市九龙坡区白市驿镇退役军人服务站</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489.58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408.18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76.73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397.66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377.38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义务兵优待</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退役安置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2080902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军队移交政府的离退休人员安置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其他农村生活救助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cs="宋体"/>
          <w:sz w:val="21"/>
          <w:szCs w:val="21"/>
        </w:rPr>
      </w:pPr>
      <w:r>
        <w:rPr>
          <w:rFonts w:cs="宋体"/>
          <w:sz w:val="21"/>
          <w:szCs w:val="21"/>
        </w:rPr>
        <w:br w:type="page"/>
      </w:r>
    </w:p>
    <w:tbl>
      <w:tblPr>
        <w:tblStyle w:val="11"/>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重庆市九龙坡区白市驿镇退役军人服务站</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71.16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10.24</w:t>
            </w:r>
            <w:r>
              <w:rPr>
                <w:rFonts w:ascii="Times New Roman" w:hAnsi="Times New Roman"/>
                <w:color w:val="000000"/>
                <w:sz w:val="18"/>
                <w:u w:color="auto"/>
              </w:rPr>
              <w:t xml:space="preserve"> </w:t>
            </w:r>
          </w:p>
        </w:tc>
      </w:tr>
    </w:tbl>
    <w:p>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重庆市九龙坡区白市驿镇退役军人服务站</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重庆市九龙坡区白市驿镇退役军人服务站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cs="宋体"/>
          <w:sz w:val="21"/>
          <w:szCs w:val="21"/>
        </w:rPr>
      </w:pPr>
      <w:r>
        <w:rPr>
          <w:rFonts w:hint="default" w:cs="宋体"/>
          <w:sz w:val="21"/>
          <w:szCs w:val="21"/>
        </w:rPr>
        <w:br w:type="page"/>
      </w:r>
    </w:p>
    <w:tbl>
      <w:tblPr>
        <w:tblStyle w:val="11"/>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u w:color="auto"/>
              </w:rPr>
              <w:t>重庆市九龙坡区白市驿镇退役军人服务站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sz w:val="16"/>
                <w:szCs w:val="16"/>
              </w:rPr>
            </w:pPr>
          </w:p>
        </w:tc>
      </w:tr>
    </w:tbl>
    <w:p>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keepNext w:val="0"/>
                            <w:keepLines w:val="0"/>
                            <w:pageBreakBefore w:val="0"/>
                            <w:widowControl/>
                            <w:kinsoku/>
                            <w:wordWrap/>
                            <w:overflowPunct/>
                            <w:topLinePunct w:val="0"/>
                            <w:bidi w:val="0"/>
                            <w:adjustRightInd/>
                            <w:snapToGrid w:val="0"/>
                            <w:ind w:left="480" w:leftChars="200" w:right="480" w:rightChars="2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6"/>
                      <w:keepNext w:val="0"/>
                      <w:keepLines w:val="0"/>
                      <w:pageBreakBefore w:val="0"/>
                      <w:widowControl/>
                      <w:kinsoku/>
                      <w:wordWrap/>
                      <w:overflowPunct/>
                      <w:topLinePunct w:val="0"/>
                      <w:bidi w:val="0"/>
                      <w:adjustRightInd/>
                      <w:snapToGrid w:val="0"/>
                      <w:ind w:left="480" w:leftChars="200" w:right="480" w:rightChars="2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keepNext w:val="0"/>
                            <w:keepLines w:val="0"/>
                            <w:pageBreakBefore w:val="0"/>
                            <w:widowControl/>
                            <w:kinsoku/>
                            <w:wordWrap/>
                            <w:overflowPunct/>
                            <w:topLinePunct w:val="0"/>
                            <w:bidi w:val="0"/>
                            <w:adjustRightInd/>
                            <w:snapToGrid w:val="0"/>
                            <w:ind w:left="480" w:leftChars="200" w:right="480" w:rightChars="200"/>
                            <w:textAlignment w:val="auto"/>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6"/>
                      <w:keepNext w:val="0"/>
                      <w:keepLines w:val="0"/>
                      <w:pageBreakBefore w:val="0"/>
                      <w:widowControl/>
                      <w:kinsoku/>
                      <w:wordWrap/>
                      <w:overflowPunct/>
                      <w:topLinePunct w:val="0"/>
                      <w:bidi w:val="0"/>
                      <w:adjustRightInd/>
                      <w:snapToGrid w:val="0"/>
                      <w:ind w:left="480" w:leftChars="200" w:right="480" w:rightChars="200"/>
                      <w:textAlignment w:val="auto"/>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125E54"/>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9A8640C"/>
    <w:rsid w:val="0A5C4B69"/>
    <w:rsid w:val="0A86124A"/>
    <w:rsid w:val="0AB54CC0"/>
    <w:rsid w:val="0B9335CE"/>
    <w:rsid w:val="0BC31571"/>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757415"/>
    <w:rsid w:val="14907817"/>
    <w:rsid w:val="15714980"/>
    <w:rsid w:val="163A6CEE"/>
    <w:rsid w:val="173708E3"/>
    <w:rsid w:val="174C19C7"/>
    <w:rsid w:val="17C374FC"/>
    <w:rsid w:val="189079DC"/>
    <w:rsid w:val="189B0D0B"/>
    <w:rsid w:val="18B43F7C"/>
    <w:rsid w:val="194A1770"/>
    <w:rsid w:val="19B906A4"/>
    <w:rsid w:val="19FB026E"/>
    <w:rsid w:val="1B4C2051"/>
    <w:rsid w:val="1B6F15B6"/>
    <w:rsid w:val="1BAA2EDC"/>
    <w:rsid w:val="1BED1F9A"/>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607885"/>
    <w:rsid w:val="1F9E42EF"/>
    <w:rsid w:val="1FBB35CD"/>
    <w:rsid w:val="1FCD26AF"/>
    <w:rsid w:val="20642787"/>
    <w:rsid w:val="20F4064E"/>
    <w:rsid w:val="21556F04"/>
    <w:rsid w:val="22403BD3"/>
    <w:rsid w:val="23DA37D9"/>
    <w:rsid w:val="23F5732E"/>
    <w:rsid w:val="24B92327"/>
    <w:rsid w:val="24C14514"/>
    <w:rsid w:val="2533755C"/>
    <w:rsid w:val="25791755"/>
    <w:rsid w:val="26396DF4"/>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E617A25"/>
    <w:rsid w:val="2EBF7B3E"/>
    <w:rsid w:val="2EDE1934"/>
    <w:rsid w:val="2EF745D6"/>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5D901A8"/>
    <w:rsid w:val="36083B82"/>
    <w:rsid w:val="36C77471"/>
    <w:rsid w:val="36C9128A"/>
    <w:rsid w:val="36CF6471"/>
    <w:rsid w:val="372E3953"/>
    <w:rsid w:val="37841E99"/>
    <w:rsid w:val="37BF1123"/>
    <w:rsid w:val="383C370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821F89"/>
    <w:rsid w:val="3CB92193"/>
    <w:rsid w:val="3D2757A1"/>
    <w:rsid w:val="3D3D4FC4"/>
    <w:rsid w:val="3DB21007"/>
    <w:rsid w:val="3DC753B9"/>
    <w:rsid w:val="3DDF3AB1"/>
    <w:rsid w:val="3E1D0952"/>
    <w:rsid w:val="3E42660A"/>
    <w:rsid w:val="3E7555B1"/>
    <w:rsid w:val="3E787ED9"/>
    <w:rsid w:val="3EEC37F3"/>
    <w:rsid w:val="3F032E93"/>
    <w:rsid w:val="3F0527E5"/>
    <w:rsid w:val="3F171FE2"/>
    <w:rsid w:val="3F4814B0"/>
    <w:rsid w:val="3F5E5D98"/>
    <w:rsid w:val="3F694D83"/>
    <w:rsid w:val="3F885DCC"/>
    <w:rsid w:val="3FCD675E"/>
    <w:rsid w:val="3FD86860"/>
    <w:rsid w:val="4004000C"/>
    <w:rsid w:val="407456A4"/>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AF5665"/>
    <w:rsid w:val="45CB699A"/>
    <w:rsid w:val="465B470D"/>
    <w:rsid w:val="469D6AD4"/>
    <w:rsid w:val="46F341FD"/>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341C23"/>
    <w:rsid w:val="4EAE4E31"/>
    <w:rsid w:val="4EC92552"/>
    <w:rsid w:val="4EFC6D10"/>
    <w:rsid w:val="4F0C6BA3"/>
    <w:rsid w:val="4F10477D"/>
    <w:rsid w:val="4F186D58"/>
    <w:rsid w:val="4FCB7957"/>
    <w:rsid w:val="4FEA65B7"/>
    <w:rsid w:val="5042146E"/>
    <w:rsid w:val="50F06B6E"/>
    <w:rsid w:val="51237A2F"/>
    <w:rsid w:val="52234D33"/>
    <w:rsid w:val="52261ABA"/>
    <w:rsid w:val="522F6E0C"/>
    <w:rsid w:val="52463BA1"/>
    <w:rsid w:val="5295599D"/>
    <w:rsid w:val="5298794F"/>
    <w:rsid w:val="52F163D4"/>
    <w:rsid w:val="531A2DB4"/>
    <w:rsid w:val="53C0244D"/>
    <w:rsid w:val="53DD4D4E"/>
    <w:rsid w:val="53E26336"/>
    <w:rsid w:val="53E578CE"/>
    <w:rsid w:val="541330F0"/>
    <w:rsid w:val="541703F6"/>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78F621E"/>
    <w:rsid w:val="5842572D"/>
    <w:rsid w:val="58992763"/>
    <w:rsid w:val="5A3B59D6"/>
    <w:rsid w:val="5AD134D8"/>
    <w:rsid w:val="5B6503B1"/>
    <w:rsid w:val="5BFB3C7A"/>
    <w:rsid w:val="5C0F7099"/>
    <w:rsid w:val="5C0F7EC4"/>
    <w:rsid w:val="5C263CE4"/>
    <w:rsid w:val="5C5D2777"/>
    <w:rsid w:val="5CF66BF3"/>
    <w:rsid w:val="5D290C69"/>
    <w:rsid w:val="5E8D5A63"/>
    <w:rsid w:val="5EDB2B7A"/>
    <w:rsid w:val="5F2D4A41"/>
    <w:rsid w:val="5F3D7DBC"/>
    <w:rsid w:val="60C74F6C"/>
    <w:rsid w:val="61025A59"/>
    <w:rsid w:val="613D5BBC"/>
    <w:rsid w:val="61536C39"/>
    <w:rsid w:val="61E64F4A"/>
    <w:rsid w:val="623E0993"/>
    <w:rsid w:val="62944DD7"/>
    <w:rsid w:val="62CA519A"/>
    <w:rsid w:val="6319381F"/>
    <w:rsid w:val="63236436"/>
    <w:rsid w:val="63396A03"/>
    <w:rsid w:val="63C25DC5"/>
    <w:rsid w:val="63C62057"/>
    <w:rsid w:val="64347BC6"/>
    <w:rsid w:val="643A0944"/>
    <w:rsid w:val="64571EF5"/>
    <w:rsid w:val="64CB0157"/>
    <w:rsid w:val="64FB113D"/>
    <w:rsid w:val="65036946"/>
    <w:rsid w:val="654A25FE"/>
    <w:rsid w:val="656152C6"/>
    <w:rsid w:val="6587477F"/>
    <w:rsid w:val="658C3A08"/>
    <w:rsid w:val="65C031CA"/>
    <w:rsid w:val="65CE6852"/>
    <w:rsid w:val="66267C04"/>
    <w:rsid w:val="663F505A"/>
    <w:rsid w:val="66967186"/>
    <w:rsid w:val="66B771FE"/>
    <w:rsid w:val="66EE5541"/>
    <w:rsid w:val="67924660"/>
    <w:rsid w:val="683200C2"/>
    <w:rsid w:val="68407834"/>
    <w:rsid w:val="6883293E"/>
    <w:rsid w:val="688412AD"/>
    <w:rsid w:val="68EB1B71"/>
    <w:rsid w:val="69475C96"/>
    <w:rsid w:val="69B10A5E"/>
    <w:rsid w:val="6AAD2300"/>
    <w:rsid w:val="6B474EF5"/>
    <w:rsid w:val="6BBF53FD"/>
    <w:rsid w:val="6C560CAE"/>
    <w:rsid w:val="6C576495"/>
    <w:rsid w:val="6D7B50E6"/>
    <w:rsid w:val="6D903FF5"/>
    <w:rsid w:val="6DA955B8"/>
    <w:rsid w:val="6DE346AB"/>
    <w:rsid w:val="6DE36C58"/>
    <w:rsid w:val="6DE5391A"/>
    <w:rsid w:val="6EFD1324"/>
    <w:rsid w:val="6F5A53AC"/>
    <w:rsid w:val="6FAC003D"/>
    <w:rsid w:val="6FE55E12"/>
    <w:rsid w:val="6FFB2E76"/>
    <w:rsid w:val="708F6F7F"/>
    <w:rsid w:val="70D94BD3"/>
    <w:rsid w:val="71C34D91"/>
    <w:rsid w:val="71CA5E15"/>
    <w:rsid w:val="72DB435C"/>
    <w:rsid w:val="72E2613A"/>
    <w:rsid w:val="72F771F4"/>
    <w:rsid w:val="734150D5"/>
    <w:rsid w:val="73491F32"/>
    <w:rsid w:val="736650B0"/>
    <w:rsid w:val="73934AD2"/>
    <w:rsid w:val="750837F0"/>
    <w:rsid w:val="754758CF"/>
    <w:rsid w:val="761275E6"/>
    <w:rsid w:val="764F62AB"/>
    <w:rsid w:val="765C45EC"/>
    <w:rsid w:val="768A7619"/>
    <w:rsid w:val="76AA36E6"/>
    <w:rsid w:val="772E1EBA"/>
    <w:rsid w:val="77303AE2"/>
    <w:rsid w:val="77EB79F7"/>
    <w:rsid w:val="793D606D"/>
    <w:rsid w:val="796D60A4"/>
    <w:rsid w:val="79866DA0"/>
    <w:rsid w:val="79A031D5"/>
    <w:rsid w:val="7A1525F7"/>
    <w:rsid w:val="7B24540B"/>
    <w:rsid w:val="7B420052"/>
    <w:rsid w:val="7B861484"/>
    <w:rsid w:val="7BD06A28"/>
    <w:rsid w:val="7C3A7C0B"/>
    <w:rsid w:val="7C5248E4"/>
    <w:rsid w:val="7C566698"/>
    <w:rsid w:val="7C5866A3"/>
    <w:rsid w:val="7CBE2F89"/>
    <w:rsid w:val="7CCD0158"/>
    <w:rsid w:val="7D7406BB"/>
    <w:rsid w:val="7DE94331"/>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Body Text Indent"/>
    <w:basedOn w:val="1"/>
    <w:next w:val="4"/>
    <w:unhideWhenUsed/>
    <w:qFormat/>
    <w:uiPriority w:val="99"/>
    <w:pPr>
      <w:spacing w:after="120"/>
      <w:ind w:left="420" w:leftChars="200"/>
    </w:pPr>
    <w:rPr>
      <w:rFonts w:cs="宋体"/>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字符"/>
    <w:basedOn w:val="13"/>
    <w:link w:val="5"/>
    <w:qFormat/>
    <w:uiPriority w:val="0"/>
    <w:rPr>
      <w:rFonts w:ascii="宋体" w:hAnsi="宋体"/>
      <w:sz w:val="18"/>
      <w:szCs w:val="18"/>
    </w:rPr>
  </w:style>
  <w:style w:type="paragraph" w:customStyle="1" w:styleId="20">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3062</Words>
  <Characters>3695</Characters>
  <Lines>192</Lines>
  <Paragraphs>54</Paragraphs>
  <TotalTime>5</TotalTime>
  <ScaleCrop>false</ScaleCrop>
  <LinksUpToDate>false</LinksUpToDate>
  <CharactersWithSpaces>3729</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bsy</cp:lastModifiedBy>
  <cp:lastPrinted>2025-10-14T08:32:00Z</cp:lastPrinted>
  <dcterms:modified xsi:type="dcterms:W3CDTF">2025-10-16T03:29:23Z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27BC508937684B829E74A5CBB2AAE0AA</vt:lpwstr>
  </property>
  <property fmtid="{D5CDD505-2E9C-101B-9397-08002B2CF9AE}" pid="4" name="KSOTemplateDocerSaveRecord">
    <vt:lpwstr>eyJoZGlkIjoiODQxNWY2ZTU2YTgxMDZjODc1Y2VkY2NmZDVkNDFjMTcifQ==</vt:lpwstr>
  </property>
</Properties>
</file>