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重庆市九龙坡区白市驿镇劳动就业和</w:t>
      </w:r>
    </w:p>
    <w:p>
      <w:pPr>
        <w:pStyle w:val="9"/>
        <w:spacing w:before="0" w:beforeAutospacing="0" w:after="0" w:afterAutospacing="0" w:line="596" w:lineRule="exact"/>
        <w:jc w:val="center"/>
        <w:rPr>
          <w:sz w:val="27"/>
          <w:szCs w:val="27"/>
          <w:shd w:val="clear" w:color="auto" w:fill="FFFF00"/>
        </w:rPr>
      </w:pPr>
      <w:r>
        <w:rPr>
          <w:rFonts w:ascii="方正小标宋_GBK" w:hAnsi="方正小标宋_GBK" w:eastAsia="方正小标宋_GBK" w:cs="方正小标宋_GBK"/>
          <w:sz w:val="44"/>
          <w:szCs w:val="44"/>
        </w:rPr>
        <w:t>社会保障服务所</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3" w:firstLineChars="200"/>
        <w:rPr>
          <w:rStyle w:val="13"/>
          <w:rFonts w:ascii="黑体" w:hAnsi="黑体" w:eastAsia="黑体" w:cs="黑体"/>
          <w:sz w:val="32"/>
          <w:szCs w:val="32"/>
          <w:shd w:val="clear" w:color="auto" w:fill="FFFFFF"/>
        </w:rPr>
      </w:pP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一、单位基本情况</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（一）职能职责</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劳动就业和社会保障服务所</w:t>
      </w:r>
      <w:r>
        <w:rPr>
          <w:rFonts w:hint="eastAsia" w:ascii="Times New Roman" w:hAnsi="Times New Roman" w:eastAsia="方正仿宋_GBK" w:cs="方正仿宋_GBK"/>
          <w:color w:val="auto"/>
          <w:sz w:val="32"/>
        </w:rPr>
        <w:t>的主要职能职责为：承担劳动就业、社会保障、政务服务等方面的事务性工作。</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（二）机构设置</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rPr>
      </w:pPr>
      <w:r>
        <w:rPr>
          <w:rFonts w:hint="eastAsia" w:ascii="Times New Roman" w:hAnsi="Times New Roman" w:eastAsia="方正仿宋_GBK" w:cs="方正仿宋_GBK"/>
          <w:color w:val="auto"/>
          <w:sz w:val="32"/>
        </w:rPr>
        <w:t>白市驿镇</w:t>
      </w:r>
      <w:r>
        <w:rPr>
          <w:rFonts w:hint="eastAsia" w:ascii="Times New Roman" w:hAnsi="Times New Roman" w:eastAsia="方正仿宋_GBK" w:cs="方正仿宋_GBK"/>
          <w:color w:val="auto"/>
          <w:sz w:val="32"/>
          <w:szCs w:val="22"/>
          <w:lang w:val="en-US" w:eastAsia="zh-CN"/>
        </w:rPr>
        <w:t>劳动就业和社会保障服务所</w:t>
      </w:r>
      <w:r>
        <w:rPr>
          <w:rFonts w:hint="eastAsia" w:ascii="Times New Roman" w:hAnsi="Times New Roman" w:eastAsia="方正仿宋_GBK" w:cs="方正仿宋_GBK"/>
          <w:color w:val="auto"/>
          <w:sz w:val="32"/>
          <w:lang w:val="en-US" w:eastAsia="zh-CN"/>
        </w:rPr>
        <w:t>为白市驿镇人民政府下属事业单位，无内设机构</w:t>
      </w:r>
      <w:r>
        <w:rPr>
          <w:rFonts w:hint="eastAsia" w:ascii="Times New Roman" w:hAnsi="Times New Roman" w:eastAsia="方正仿宋_GBK" w:cs="方正仿宋_GBK"/>
          <w:color w:val="auto"/>
          <w:sz w:val="32"/>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二、单位决算收支情况说明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（一）收入支出决算总体情况说明</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303.04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704.08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69.9%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eastAsia" w:ascii="方正仿宋_GBK" w:hAnsi="方正仿宋_GBK" w:eastAsia="方正仿宋_GBK" w:cs="方正仿宋_GBK"/>
          <w:sz w:val="32"/>
          <w:szCs w:val="32"/>
          <w:lang w:eastAsia="zh-CN"/>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（二）财政拨款收入支出决算总体情况说明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（三）一般公共预算财政拨款收入支出决算情况说明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较年初预算数增加720.71万元，增长251.6%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1007.12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与2023年度相比，增加332.95万元，增长49.4%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较年初预算数增加720.71万元，增长251.6%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987.85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较年初预算数增加719.23万元，增长267.8%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年中下达困难群众救助补助、残疾人关爱与帮扶、残疾人无障碍改造示范社区创建、青年就业见习资金</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auto"/>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11.32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较年初预算数增加1.88万元，增长19.9%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年中下达</w:t>
      </w:r>
      <w:r>
        <w:rPr>
          <w:rFonts w:hint="eastAsia" w:ascii="方正仿宋_GBK" w:hAnsi="方正仿宋_GBK" w:eastAsia="方正仿宋_GBK" w:cs="方正仿宋_GBK"/>
          <w:color w:val="auto"/>
          <w:sz w:val="32"/>
          <w:szCs w:val="32"/>
          <w:shd w:val="clear" w:color="auto" w:fill="FFFFFF"/>
        </w:rPr>
        <w:t>城乡居民基本医疗保险工作经费</w:t>
      </w:r>
      <w:r>
        <w:rPr>
          <w:rFonts w:hint="eastAsia" w:ascii="方正仿宋_GBK" w:hAnsi="方正仿宋_GBK" w:eastAsia="方正仿宋_GBK" w:cs="方正仿宋_GBK"/>
          <w:color w:val="auto"/>
          <w:sz w:val="32"/>
          <w:szCs w:val="32"/>
          <w:shd w:val="clear" w:color="auto" w:fill="FFFFFF"/>
          <w:lang w:eastAsia="zh-CN"/>
        </w:rPr>
        <w:t>。</w:t>
      </w:r>
    </w:p>
    <w:p>
      <w:pPr>
        <w:keepNext w:val="0"/>
        <w:keepLines w:val="0"/>
        <w:pageBreakBefore w:val="0"/>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7.95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较年初预算数减少0.4万元，下降4.8%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color w:val="auto"/>
          <w:sz w:val="32"/>
          <w:szCs w:val="32"/>
          <w:highlight w:val="none"/>
          <w:shd w:val="clear" w:color="auto" w:fill="FFFFFF"/>
          <w:lang w:val="en-US" w:eastAsia="zh-CN"/>
        </w:rPr>
        <w:t>人员变动。</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（四）一般公共预算财政拨款基本支出决算情况说明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303.04</w:t>
      </w:r>
      <w:r>
        <w:rPr>
          <w:rFonts w:ascii="方正仿宋_GBK" w:hAnsi="方正仿宋_GBK" w:eastAsia="方正仿宋_GBK" w:cs="方正仿宋_GBK"/>
          <w:sz w:val="32"/>
          <w:szCs w:val="32"/>
          <w:shd w:val="clear" w:color="auto" w:fill="FFFFFF"/>
        </w:rPr>
        <w:t>万元。</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262.42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与2023年度相比，增加29.95万元，增长12.9%</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val="en-US" w:eastAsia="zh-CN"/>
        </w:rPr>
        <w:t>补缴人员社会保障经费</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人员经费用途主要包括</w:t>
      </w:r>
      <w:r>
        <w:rPr>
          <w:rFonts w:hint="eastAsia" w:ascii="Times New Roman" w:hAnsi="Times New Roman" w:eastAsia="方正仿宋_GBK" w:cs="方正仿宋_GBK"/>
          <w:color w:val="auto"/>
          <w:sz w:val="32"/>
          <w:szCs w:val="32"/>
          <w:highlight w:val="none"/>
        </w:rPr>
        <w:t>基本工资、津贴补贴、社会保障缴费、绩效工资、其他福利支出、退休费、其他对个人和家庭的补助支出</w:t>
      </w:r>
      <w:bookmarkStart w:id="0" w:name="_GoBack"/>
      <w:bookmarkEnd w:id="0"/>
      <w:r>
        <w:rPr>
          <w:rFonts w:hint="eastAsia" w:ascii="Times New Roman" w:hAnsi="Times New Roman" w:eastAsia="方正仿宋_GBK" w:cs="方正仿宋_GBK"/>
          <w:color w:val="auto"/>
          <w:sz w:val="32"/>
          <w:szCs w:val="32"/>
          <w:highlight w:val="none"/>
        </w:rPr>
        <w:t>。</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40.62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与2023年度相比，增加0.76万元，增长1.9%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人员变动。</w:t>
      </w:r>
      <w:r>
        <w:rPr>
          <w:rFonts w:ascii="方正仿宋_GBK" w:hAnsi="方正仿宋_GBK" w:eastAsia="方正仿宋_GBK" w:cs="方正仿宋_GBK"/>
          <w:sz w:val="32"/>
          <w:szCs w:val="32"/>
          <w:shd w:val="clear" w:color="auto" w:fill="FFFFFF"/>
        </w:rPr>
        <w:t>公用经费用途主要包括</w:t>
      </w:r>
      <w:r>
        <w:rPr>
          <w:rFonts w:hint="eastAsia" w:ascii="Times New Roman" w:hAnsi="Times New Roman" w:eastAsia="方正仿宋_GBK" w:cs="方正仿宋_GBK"/>
          <w:color w:val="auto"/>
          <w:sz w:val="32"/>
          <w:szCs w:val="32"/>
          <w:highlight w:val="none"/>
        </w:rPr>
        <w:t>办公费、咨询费、差旅费、劳务费、维修费</w:t>
      </w:r>
      <w:r>
        <w:rPr>
          <w:rFonts w:hint="eastAsia" w:ascii="Times New Roman" w:hAnsi="Times New Roman" w:eastAsia="方正仿宋_GBK" w:cs="方正仿宋_GBK"/>
          <w:color w:val="auto"/>
          <w:sz w:val="32"/>
          <w:szCs w:val="32"/>
        </w:rPr>
        <w:t>、公务车运行维护费、水电费及其他商品服务支出。</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（五）政府性基金预算收支决算情况说明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年度无政府性基金预算财政拨款收支。</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（六）国有资本经营预算财政拨款支出决算情况说明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shd w:val="clear" w:color="auto" w:fill="FFFFFF"/>
        </w:rPr>
        <w:t>本单位202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年度无国有资本经营预算财政拨款支出。</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三、财政拨款“三公”经费情况说明</w:t>
      </w:r>
    </w:p>
    <w:p>
      <w:pPr>
        <w:pStyle w:val="14"/>
        <w:keepNext w:val="0"/>
        <w:keepLines w:val="0"/>
        <w:pageBreakBefore w:val="0"/>
        <w:kinsoku/>
        <w:wordWrap/>
        <w:overflowPunct/>
        <w:topLinePunct w:val="0"/>
        <w:autoSpaceDE w:val="0"/>
        <w:autoSpaceDN/>
        <w:bidi w:val="0"/>
        <w:adjustRightInd/>
        <w:spacing w:line="600" w:lineRule="exact"/>
        <w:ind w:firstLine="640" w:firstLineChars="200"/>
        <w:textAlignment w:val="auto"/>
        <w:rPr>
          <w:rFonts w:ascii="方正仿宋_GBK" w:hAnsi="方正仿宋_GBK" w:eastAsia="方正仿宋_GBK" w:cs="方正仿宋_GBK"/>
          <w:sz w:val="32"/>
          <w:szCs w:val="32"/>
        </w:rPr>
      </w:pPr>
      <w:r>
        <w:rPr>
          <w:rFonts w:hint="eastAsia" w:ascii="Times New Roman" w:hAnsi="Times New Roman" w:eastAsia="方正仿宋_GBK" w:cs="方正仿宋_GBK"/>
          <w:color w:val="auto"/>
          <w:sz w:val="32"/>
          <w:szCs w:val="32"/>
          <w:highlight w:val="none"/>
          <w:shd w:val="clear" w:color="auto" w:fill="FFFFFF"/>
        </w:rPr>
        <w:t>本单位202</w:t>
      </w:r>
      <w:r>
        <w:rPr>
          <w:rFonts w:hint="eastAsia" w:ascii="Times New Roman" w:hAnsi="Times New Roman" w:eastAsia="方正仿宋_GBK" w:cs="方正仿宋_GBK"/>
          <w:color w:val="auto"/>
          <w:sz w:val="32"/>
          <w:szCs w:val="32"/>
          <w:highlight w:val="none"/>
          <w:shd w:val="clear" w:color="auto" w:fill="FFFFFF"/>
          <w:lang w:val="en-US" w:eastAsia="zh-CN"/>
        </w:rPr>
        <w:t>4</w:t>
      </w:r>
      <w:r>
        <w:rPr>
          <w:rFonts w:hint="eastAsia" w:ascii="Times New Roman" w:hAnsi="Times New Roman" w:eastAsia="方正仿宋_GBK" w:cs="方正仿宋_GBK"/>
          <w:color w:val="auto"/>
          <w:sz w:val="32"/>
          <w:szCs w:val="32"/>
          <w:highlight w:val="none"/>
          <w:shd w:val="clear" w:color="auto" w:fill="FFFFFF"/>
        </w:rPr>
        <w:t>年度无“三公”经费支出</w:t>
      </w:r>
      <w:r>
        <w:rPr>
          <w:rFonts w:hint="eastAsia" w:ascii="Times New Roman" w:hAnsi="Times New Roman" w:eastAsia="方正仿宋_GBK" w:cs="方正仿宋_GBK"/>
          <w:color w:val="auto"/>
          <w:sz w:val="32"/>
          <w:szCs w:val="32"/>
          <w:highlight w:val="none"/>
          <w:shd w:val="clear" w:color="auto" w:fill="FFFFFF"/>
          <w:lang w:eastAsia="zh-CN"/>
        </w:rPr>
        <w:t>。</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四、其他需要说明的事项</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ind w:firstLine="640" w:firstLineChars="200"/>
        <w:jc w:val="both"/>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（一）财政拨款会议费、培训费和差旅费情况说明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highlight w:val="none"/>
          <w:shd w:val="clear" w:color="auto" w:fill="FFFFFF"/>
        </w:rPr>
        <w:t>本年度会议费支出</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与2023年度相比无增减</w:t>
      </w:r>
      <w:r>
        <w:rPr>
          <w:rFonts w:hint="eastAsia" w:ascii="方正仿宋_GBK" w:hAnsi="方正仿宋_GBK" w:eastAsia="方正仿宋_GBK" w:cs="方正仿宋_GBK"/>
          <w:sz w:val="32"/>
          <w:szCs w:val="32"/>
          <w:highlight w:val="none"/>
          <w:shd w:val="clear" w:color="auto" w:fill="FFFFFF"/>
          <w:lang w:eastAsia="zh-CN"/>
        </w:rPr>
        <w:t>。</w:t>
      </w:r>
      <w:r>
        <w:rPr>
          <w:rFonts w:ascii="方正仿宋_GBK" w:hAnsi="方正仿宋_GBK" w:eastAsia="方正仿宋_GBK" w:cs="方正仿宋_GBK"/>
          <w:sz w:val="32"/>
          <w:szCs w:val="32"/>
          <w:highlight w:val="none"/>
          <w:shd w:val="clear" w:color="auto" w:fill="FFFFFF"/>
        </w:rPr>
        <w:t>本年度培训费支出</w:t>
      </w:r>
      <w:r>
        <w:rPr>
          <w:rFonts w:hint="default" w:ascii="Times New Roman" w:hAnsi="Times New Roman" w:eastAsia="方正仿宋_GBK"/>
          <w:sz w:val="32"/>
          <w:szCs w:val="32"/>
          <w:highlight w:val="none"/>
          <w:shd w:val="clear" w:color="auto" w:fill="FFFFFF"/>
        </w:rPr>
        <w:t>1.56</w:t>
      </w:r>
      <w:r>
        <w:rPr>
          <w:rFonts w:ascii="方正仿宋_GBK" w:hAnsi="方正仿宋_GBK" w:eastAsia="方正仿宋_GBK" w:cs="方正仿宋_GBK"/>
          <w:sz w:val="32"/>
          <w:szCs w:val="32"/>
          <w:highlight w:val="none"/>
          <w:shd w:val="clear" w:color="auto" w:fill="FFFFFF"/>
        </w:rPr>
        <w:t>万元，</w:t>
      </w:r>
      <w:r>
        <w:rPr>
          <w:rFonts w:hint="default" w:ascii="Times New Roman" w:hAnsi="Times New Roman" w:eastAsia="方正仿宋_GBK"/>
          <w:sz w:val="32"/>
          <w:szCs w:val="32"/>
          <w:highlight w:val="none"/>
          <w:shd w:val="clear" w:color="auto" w:fill="FFFFFF"/>
        </w:rPr>
        <w:t>与2023年度相比，增加0.31万元，增长24.8%</w:t>
      </w:r>
      <w:r>
        <w:rPr>
          <w:rFonts w:ascii="方正仿宋_GBK" w:hAnsi="方正仿宋_GBK" w:eastAsia="方正仿宋_GBK" w:cs="方正仿宋_GBK"/>
          <w:sz w:val="32"/>
          <w:szCs w:val="32"/>
          <w:highlight w:val="none"/>
          <w:shd w:val="clear" w:color="auto" w:fill="FFFFFF"/>
        </w:rPr>
        <w:t>，主要原因是</w:t>
      </w:r>
      <w:r>
        <w:rPr>
          <w:rFonts w:hint="eastAsia" w:ascii="方正仿宋_GBK" w:hAnsi="方正仿宋_GBK" w:eastAsia="方正仿宋_GBK" w:cs="方正仿宋_GBK"/>
          <w:sz w:val="32"/>
          <w:szCs w:val="32"/>
          <w:highlight w:val="none"/>
          <w:shd w:val="clear" w:color="auto" w:fill="FFFFFF"/>
          <w:lang w:val="en-US" w:eastAsia="zh-CN"/>
        </w:rPr>
        <w:t>增加区级统一外出培训交通住宿费。</w:t>
      </w:r>
      <w:r>
        <w:rPr>
          <w:rFonts w:ascii="方正仿宋_GBK" w:hAnsi="方正仿宋_GBK" w:eastAsia="方正仿宋_GBK" w:cs="方正仿宋_GBK"/>
          <w:sz w:val="32"/>
          <w:szCs w:val="32"/>
          <w:highlight w:val="none"/>
          <w:shd w:val="clear" w:color="auto" w:fill="FFFFFF"/>
        </w:rPr>
        <w:t>本年度差旅费支出</w:t>
      </w:r>
      <w:r>
        <w:rPr>
          <w:rFonts w:hint="default" w:ascii="Times New Roman" w:hAnsi="Times New Roman" w:eastAsia="方正仿宋_GBK"/>
          <w:sz w:val="32"/>
          <w:szCs w:val="32"/>
          <w:highlight w:val="none"/>
          <w:shd w:val="clear" w:color="auto" w:fill="FFFFFF"/>
        </w:rPr>
        <w:t>0</w:t>
      </w:r>
      <w:r>
        <w:rPr>
          <w:rFonts w:ascii="方正仿宋_GBK" w:hAnsi="方正仿宋_GBK" w:eastAsia="方正仿宋_GBK" w:cs="方正仿宋_GBK"/>
          <w:sz w:val="32"/>
          <w:szCs w:val="32"/>
          <w:highlight w:val="none"/>
        </w:rPr>
        <w:t>万元，</w:t>
      </w:r>
      <w:r>
        <w:rPr>
          <w:rFonts w:hint="default" w:ascii="Times New Roman" w:hAnsi="Times New Roman" w:eastAsia="方正仿宋_GBK"/>
          <w:sz w:val="32"/>
          <w:szCs w:val="32"/>
          <w:highlight w:val="none"/>
          <w:shd w:val="clear" w:color="auto" w:fill="FFFFFF"/>
        </w:rPr>
        <w:t>与2023年度相比无变化</w:t>
      </w:r>
      <w:r>
        <w:rPr>
          <w:rFonts w:hint="eastAsia" w:ascii="方正仿宋_GBK" w:hAnsi="方正仿宋_GBK" w:eastAsia="方正仿宋_GBK" w:cs="方正仿宋_GBK"/>
          <w:sz w:val="32"/>
          <w:szCs w:val="32"/>
          <w:highlight w:val="none"/>
          <w:shd w:val="clear" w:color="auto" w:fill="FFFFFF"/>
          <w:lang w:eastAsia="zh-CN"/>
        </w:rPr>
        <w:t>。</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（二）机关运行经费情况说明</w:t>
      </w:r>
    </w:p>
    <w:p>
      <w:pPr>
        <w:pStyle w:val="14"/>
        <w:keepNext w:val="0"/>
        <w:keepLines w:val="0"/>
        <w:pageBreakBefore w:val="0"/>
        <w:kinsoku/>
        <w:wordWrap/>
        <w:overflowPunct/>
        <w:topLinePunct w:val="0"/>
        <w:autoSpaceDE w:val="0"/>
        <w:autoSpaceDN/>
        <w:bidi w:val="0"/>
        <w:adjustRightInd/>
        <w:spacing w:line="600" w:lineRule="exact"/>
        <w:ind w:firstLine="640" w:firstLineChars="200"/>
        <w:textAlignment w:val="auto"/>
        <w:rPr>
          <w:rFonts w:hint="eastAsia" w:ascii="楷体" w:hAnsi="楷体" w:eastAsia="楷体" w:cs="楷体"/>
          <w:b/>
          <w:bCs/>
          <w:sz w:val="32"/>
          <w:szCs w:val="32"/>
          <w:shd w:val="clear" w:color="auto" w:fill="FFFFFF"/>
        </w:rPr>
      </w:pPr>
      <w:r>
        <w:rPr>
          <w:rFonts w:hint="eastAsia" w:ascii="Times New Roman" w:hAnsi="Times New Roman" w:eastAsia="方正仿宋_GBK" w:cs="方正仿宋_GBK"/>
          <w:color w:val="auto"/>
          <w:sz w:val="32"/>
          <w:szCs w:val="32"/>
          <w:shd w:val="clear" w:color="auto" w:fill="FFFFFF"/>
        </w:rPr>
        <w:t>按照部门决算列报口径，我单位不在机关运行经费统计范围之内。</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（三）国有资产占用情况说明</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left="0" w:leftChars="0" w:firstLine="640" w:firstLineChars="200"/>
        <w:textAlignment w:val="auto"/>
        <w:rPr>
          <w:rFonts w:hint="eastAsia" w:ascii="Times New Roman" w:hAnsi="Times New Roman" w:eastAsia="方正仿宋_GBK" w:cs="方正仿宋_GBK"/>
          <w:color w:val="auto"/>
          <w:sz w:val="32"/>
          <w:szCs w:val="32"/>
          <w:shd w:val="clear" w:color="auto" w:fill="FFFFFF"/>
        </w:rPr>
      </w:pPr>
      <w:r>
        <w:rPr>
          <w:rFonts w:hint="eastAsia" w:ascii="Times New Roman" w:hAnsi="Times New Roman" w:eastAsia="方正仿宋_GBK" w:cs="方正仿宋_GBK"/>
          <w:color w:val="auto"/>
          <w:sz w:val="32"/>
          <w:szCs w:val="32"/>
          <w:shd w:val="clear" w:color="auto" w:fill="FFFFFF"/>
        </w:rPr>
        <w:t>202</w:t>
      </w:r>
      <w:r>
        <w:rPr>
          <w:rFonts w:hint="eastAsia" w:ascii="Times New Roman" w:hAnsi="Times New Roman" w:eastAsia="方正仿宋_GBK" w:cs="方正仿宋_GBK"/>
          <w:color w:val="auto"/>
          <w:sz w:val="32"/>
          <w:szCs w:val="32"/>
          <w:shd w:val="clear" w:color="auto" w:fill="FFFFFF"/>
          <w:lang w:val="en-US" w:eastAsia="zh-CN"/>
        </w:rPr>
        <w:t>4</w:t>
      </w:r>
      <w:r>
        <w:rPr>
          <w:rFonts w:hint="eastAsia" w:ascii="Times New Roman" w:hAnsi="Times New Roman" w:eastAsia="方正仿宋_GBK" w:cs="方正仿宋_GBK"/>
          <w:color w:val="auto"/>
          <w:sz w:val="32"/>
          <w:szCs w:val="32"/>
          <w:shd w:val="clear" w:color="auto" w:fill="FFFFFF"/>
        </w:rPr>
        <w:t>年度我单位未发生政府采购事项，无相关经费支出。</w:t>
      </w:r>
    </w:p>
    <w:p>
      <w:pPr>
        <w:pStyle w:val="15"/>
        <w:keepNext w:val="0"/>
        <w:keepLines w:val="0"/>
        <w:pageBreakBefore w:val="0"/>
        <w:kinsoku/>
        <w:wordWrap/>
        <w:overflowPunct/>
        <w:topLinePunct w:val="0"/>
        <w:autoSpaceDN/>
        <w:bidi w:val="0"/>
        <w:adjustRightInd/>
        <w:spacing w:before="0" w:beforeAutospacing="0" w:after="0" w:afterAutospacing="0" w:line="600" w:lineRule="exact"/>
        <w:ind w:left="638" w:leftChars="266" w:firstLine="0" w:firstLineChars="0"/>
        <w:textAlignment w:val="auto"/>
        <w:rPr>
          <w:rStyle w:val="13"/>
          <w:rFonts w:hint="eastAsia"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left="0" w:leftChars="0" w:firstLine="640" w:firstLineChars="200"/>
        <w:textAlignment w:val="auto"/>
        <w:rPr>
          <w:rStyle w:val="13"/>
          <w:rFonts w:hint="eastAsia" w:ascii="方正楷体_GBK" w:hAnsi="方正楷体_GBK" w:eastAsia="方正楷体_GBK" w:cs="方正楷体_GBK"/>
          <w:b w:val="0"/>
          <w:bCs/>
          <w:color w:val="auto"/>
          <w:sz w:val="32"/>
          <w:szCs w:val="32"/>
          <w:shd w:val="clear" w:color="auto" w:fill="FFFFFF"/>
          <w:lang w:val="en-US" w:eastAsia="zh-CN" w:bidi="ar-SA"/>
        </w:rPr>
      </w:pPr>
      <w:r>
        <w:rPr>
          <w:rStyle w:val="13"/>
          <w:rFonts w:hint="eastAsia" w:ascii="方正楷体_GBK" w:hAnsi="方正楷体_GBK" w:eastAsia="方正楷体_GBK" w:cs="方正楷体_GBK"/>
          <w:b w:val="0"/>
          <w:bCs/>
          <w:color w:val="auto"/>
          <w:sz w:val="32"/>
          <w:szCs w:val="32"/>
          <w:shd w:val="clear" w:color="auto" w:fill="FFFFFF"/>
          <w:lang w:val="en-US" w:eastAsia="zh-CN" w:bidi="ar-SA"/>
        </w:rPr>
        <w:t>（一）单位自评情况</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根据预算绩效管理要求，我单位对</w:t>
      </w:r>
      <w:r>
        <w:rPr>
          <w:rFonts w:hint="eastAsia" w:ascii="Times New Roman" w:hAnsi="Times New Roman" w:eastAsia="方正仿宋_GBK" w:cs="方正仿宋_GBK"/>
          <w:color w:val="auto"/>
          <w:sz w:val="32"/>
          <w:szCs w:val="32"/>
          <w:shd w:val="clear" w:color="auto" w:fill="FFFFFF"/>
          <w:lang w:val="en-US" w:eastAsia="zh-CN"/>
        </w:rPr>
        <w:t>16</w:t>
      </w:r>
      <w:r>
        <w:rPr>
          <w:rFonts w:hint="eastAsia" w:ascii="Times New Roman" w:hAnsi="Times New Roman" w:eastAsia="方正仿宋_GBK" w:cs="方正仿宋_GBK"/>
          <w:color w:val="auto"/>
          <w:sz w:val="32"/>
          <w:szCs w:val="32"/>
          <w:shd w:val="clear" w:color="auto" w:fill="FFFFFF"/>
        </w:rPr>
        <w:t>个二级项目开展了绩效自评，涉及财政拨款项目支出资金</w:t>
      </w:r>
      <w:r>
        <w:rPr>
          <w:rFonts w:hint="eastAsia" w:ascii="Times New Roman" w:hAnsi="Times New Roman" w:eastAsia="方正仿宋_GBK" w:cs="方正仿宋_GBK"/>
          <w:color w:val="auto"/>
          <w:sz w:val="32"/>
          <w:szCs w:val="32"/>
          <w:shd w:val="clear" w:color="auto" w:fill="FFFFFF"/>
          <w:lang w:val="en-US" w:eastAsia="zh-CN"/>
        </w:rPr>
        <w:t>704.08</w:t>
      </w:r>
      <w:r>
        <w:rPr>
          <w:rFonts w:hint="eastAsia" w:ascii="Times New Roman" w:hAnsi="Times New Roman" w:eastAsia="方正仿宋_GBK" w:cs="方正仿宋_GBK"/>
          <w:color w:val="auto"/>
          <w:sz w:val="32"/>
          <w:szCs w:val="32"/>
          <w:shd w:val="clear" w:color="auto" w:fill="FFFFFF"/>
        </w:rPr>
        <w:t>万元</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r>
        <w:rPr>
          <w:rFonts w:hint="eastAsia" w:ascii="Times New Roman" w:hAnsi="Times New Roman" w:eastAsia="方正仿宋_GBK" w:cs="方正仿宋_GBK"/>
          <w:color w:val="auto"/>
          <w:sz w:val="32"/>
          <w:szCs w:val="32"/>
          <w:shd w:val="clear" w:color="auto" w:fill="FFFFFF"/>
        </w:rPr>
        <w:t>项目支出绩效自评表（二级项目）</w:t>
      </w:r>
      <w:r>
        <w:rPr>
          <w:rFonts w:hint="eastAsia" w:ascii="Times New Roman" w:hAnsi="Times New Roman" w:eastAsia="方正仿宋_GBK" w:cs="方正仿宋_GBK"/>
          <w:color w:val="auto"/>
          <w:sz w:val="32"/>
          <w:szCs w:val="32"/>
          <w:shd w:val="clear" w:color="auto" w:fill="FFFFFF"/>
          <w:lang w:eastAsia="zh-CN"/>
        </w:rPr>
        <w:t>。</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0"/>
        <w:tblW w:w="9162" w:type="dxa"/>
        <w:tblInd w:w="-45" w:type="dxa"/>
        <w:shd w:val="clear" w:color="auto" w:fill="auto"/>
        <w:tblLayout w:type="fixed"/>
        <w:tblCellMar>
          <w:top w:w="0" w:type="dxa"/>
          <w:left w:w="0" w:type="dxa"/>
          <w:bottom w:w="0" w:type="dxa"/>
          <w:right w:w="0" w:type="dxa"/>
        </w:tblCellMar>
      </w:tblPr>
      <w:tblGrid>
        <w:gridCol w:w="1144"/>
        <w:gridCol w:w="391"/>
        <w:gridCol w:w="484"/>
        <w:gridCol w:w="329"/>
        <w:gridCol w:w="213"/>
        <w:gridCol w:w="553"/>
        <w:gridCol w:w="315"/>
        <w:gridCol w:w="722"/>
        <w:gridCol w:w="68"/>
        <w:gridCol w:w="656"/>
        <w:gridCol w:w="494"/>
        <w:gridCol w:w="282"/>
        <w:gridCol w:w="361"/>
        <w:gridCol w:w="756"/>
        <w:gridCol w:w="744"/>
        <w:gridCol w:w="158"/>
        <w:gridCol w:w="632"/>
        <w:gridCol w:w="860"/>
      </w:tblGrid>
      <w:tr>
        <w:tblPrEx>
          <w:shd w:val="clear" w:color="auto" w:fill="auto"/>
          <w:tblCellMar>
            <w:top w:w="0" w:type="dxa"/>
            <w:left w:w="0" w:type="dxa"/>
            <w:bottom w:w="0" w:type="dxa"/>
            <w:right w:w="0" w:type="dxa"/>
          </w:tblCellMar>
        </w:tblPrEx>
        <w:trPr>
          <w:trHeight w:val="805"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残疾人事业发展补助</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50019324T000004481254</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江篱</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65700351</w:t>
            </w:r>
          </w:p>
        </w:tc>
      </w:tr>
      <w:tr>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515"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15.37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shd w:val="clear" w:color="auto" w:fill="auto"/>
          <w:tblCellMar>
            <w:top w:w="0" w:type="dxa"/>
            <w:left w:w="0" w:type="dxa"/>
            <w:bottom w:w="0" w:type="dxa"/>
            <w:right w:w="0" w:type="dxa"/>
          </w:tblCellMar>
        </w:tblPrEx>
        <w:trPr>
          <w:trHeight w:val="413"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527"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4287" w:type="dxa"/>
            <w:gridSpan w:val="8"/>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shd w:val="clear" w:color="auto" w:fill="auto"/>
          <w:tblCellMar>
            <w:top w:w="0" w:type="dxa"/>
            <w:left w:w="0" w:type="dxa"/>
            <w:bottom w:w="0" w:type="dxa"/>
            <w:right w:w="0" w:type="dxa"/>
          </w:tblCellMar>
        </w:tblPrEx>
        <w:trPr>
          <w:trHeight w:val="1434"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为改善残疾人基本生活条件，提高残疾人康复水平，强化残疾人家庭教育保障，加强残疾人维权服务。</w:t>
            </w:r>
          </w:p>
        </w:tc>
        <w:tc>
          <w:tcPr>
            <w:tcW w:w="2527"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为改善残疾人基本生活条件，提高残疾人康复水平，强化残疾人家庭教育保障，加强残疾人维权服务。</w:t>
            </w:r>
          </w:p>
        </w:tc>
        <w:tc>
          <w:tcPr>
            <w:tcW w:w="4287" w:type="dxa"/>
            <w:gridSpan w:val="8"/>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已按时足额发放了各项补贴，年度任务完成率达100%，改善了残疾人基本生活条件，提高了残疾人康复水平，有效强化了残疾人家庭教育保障，加强残疾人维权服务，服务对象满意度达100%。</w:t>
            </w:r>
          </w:p>
        </w:tc>
      </w:tr>
    </w:tbl>
    <w:tbl>
      <w:tblPr>
        <w:tblStyle w:val="11"/>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681"/>
        <w:gridCol w:w="660"/>
        <w:gridCol w:w="772"/>
        <w:gridCol w:w="839"/>
        <w:gridCol w:w="839"/>
        <w:gridCol w:w="850"/>
        <w:gridCol w:w="664"/>
        <w:gridCol w:w="628"/>
        <w:gridCol w:w="82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9192" w:type="dxa"/>
            <w:gridSpan w:val="11"/>
            <w:vAlign w:val="top"/>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68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及时足额发放率</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贫困残疾人医疗补助发放标准</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托养补贴发放标准</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both"/>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w w:val="90"/>
                <w:kern w:val="0"/>
                <w:sz w:val="20"/>
                <w:szCs w:val="20"/>
                <w:u w:val="none"/>
                <w:lang w:val="en-US" w:eastAsia="zh-CN" w:bidi="ar"/>
              </w:rPr>
              <w:t>元/月</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改善残疾人生活质量</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定性</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明显改善</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可持续影响年度</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服务对象满意度</w:t>
            </w:r>
          </w:p>
        </w:tc>
        <w:tc>
          <w:tcPr>
            <w:tcW w:w="68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85</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17.65</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textAlignment w:val="auto"/>
        <w:rPr>
          <w:rFonts w:hint="eastAsia" w:ascii="Times New Roman" w:hAnsi="Times New Roman" w:eastAsia="方正仿宋_GBK" w:cs="方正仿宋_GBK"/>
          <w:color w:val="auto"/>
          <w:sz w:val="32"/>
          <w:szCs w:val="32"/>
          <w:shd w:val="clear" w:color="auto" w:fill="FFFFFF"/>
          <w:lang w:eastAsia="zh-CN"/>
        </w:rPr>
      </w:pPr>
    </w:p>
    <w:tbl>
      <w:tblPr>
        <w:tblStyle w:val="10"/>
        <w:tblW w:w="9162" w:type="dxa"/>
        <w:tblInd w:w="-45" w:type="dxa"/>
        <w:shd w:val="clear" w:color="auto" w:fill="auto"/>
        <w:tblLayout w:type="fixed"/>
        <w:tblCellMar>
          <w:top w:w="0" w:type="dxa"/>
          <w:left w:w="0" w:type="dxa"/>
          <w:bottom w:w="0" w:type="dxa"/>
          <w:right w:w="0" w:type="dxa"/>
        </w:tblCellMar>
      </w:tblPr>
      <w:tblGrid>
        <w:gridCol w:w="1144"/>
        <w:gridCol w:w="391"/>
        <w:gridCol w:w="484"/>
        <w:gridCol w:w="329"/>
        <w:gridCol w:w="213"/>
        <w:gridCol w:w="553"/>
        <w:gridCol w:w="315"/>
        <w:gridCol w:w="722"/>
        <w:gridCol w:w="68"/>
        <w:gridCol w:w="656"/>
        <w:gridCol w:w="494"/>
        <w:gridCol w:w="282"/>
        <w:gridCol w:w="361"/>
        <w:gridCol w:w="756"/>
        <w:gridCol w:w="744"/>
        <w:gridCol w:w="158"/>
        <w:gridCol w:w="632"/>
        <w:gridCol w:w="860"/>
      </w:tblGrid>
      <w:tr>
        <w:tblPrEx>
          <w:tblCellMar>
            <w:top w:w="0" w:type="dxa"/>
            <w:left w:w="0" w:type="dxa"/>
            <w:bottom w:w="0" w:type="dxa"/>
            <w:right w:w="0" w:type="dxa"/>
          </w:tblCellMar>
        </w:tblPrEx>
        <w:trPr>
          <w:trHeight w:val="805" w:hRule="atLeas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b/>
                <w:i w:val="0"/>
                <w:color w:val="000000"/>
                <w:sz w:val="40"/>
                <w:szCs w:val="40"/>
                <w:u w:val="none"/>
              </w:rPr>
            </w:pPr>
            <w:r>
              <w:rPr>
                <w:rFonts w:hint="eastAsia" w:ascii="微软雅黑" w:hAnsi="微软雅黑" w:eastAsia="微软雅黑" w:cs="微软雅黑"/>
                <w:b/>
                <w:i w:val="0"/>
                <w:color w:val="000000"/>
                <w:kern w:val="0"/>
                <w:sz w:val="36"/>
                <w:szCs w:val="36"/>
                <w:u w:val="none"/>
                <w:lang w:val="en-US" w:eastAsia="zh-CN" w:bidi="ar"/>
              </w:rPr>
              <w:t>2024年度二级项目绩效自评表</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春风行动专项经费</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项目编码：</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50019324T000004379367</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自评总分：</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100 </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144" w:type="dxa"/>
            <w:tcBorders>
              <w:top w:val="nil"/>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项目主管部门：</w:t>
            </w:r>
          </w:p>
        </w:tc>
        <w:tc>
          <w:tcPr>
            <w:tcW w:w="1970" w:type="dxa"/>
            <w:gridSpan w:val="5"/>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302-重庆市九龙坡区白市驿镇人民政府</w:t>
            </w:r>
          </w:p>
        </w:tc>
        <w:tc>
          <w:tcPr>
            <w:tcW w:w="103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财政归口处室：</w:t>
            </w:r>
          </w:p>
        </w:tc>
        <w:tc>
          <w:tcPr>
            <w:tcW w:w="1500" w:type="dxa"/>
            <w:gridSpan w:val="4"/>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003-预算科</w:t>
            </w:r>
          </w:p>
        </w:tc>
        <w:tc>
          <w:tcPr>
            <w:tcW w:w="1117"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部门联系人：</w:t>
            </w:r>
          </w:p>
        </w:tc>
        <w:tc>
          <w:tcPr>
            <w:tcW w:w="902" w:type="dxa"/>
            <w:gridSpan w:val="2"/>
            <w:tcBorders>
              <w:top w:val="single" w:color="auto" w:sz="4" w:space="0"/>
              <w:left w:val="nil"/>
              <w:bottom w:val="single" w:color="auto" w:sz="4" w:space="0"/>
              <w:right w:val="single" w:color="auto" w:sz="4" w:space="0"/>
            </w:tcBorders>
            <w:shd w:val="clear" w:color="auto" w:fill="auto"/>
            <w:noWrap/>
            <w:tcMar>
              <w:top w:w="15" w:type="dxa"/>
              <w:left w:w="360"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江篱</w:t>
            </w:r>
          </w:p>
        </w:tc>
        <w:tc>
          <w:tcPr>
            <w:tcW w:w="632"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联系电话：</w:t>
            </w:r>
          </w:p>
        </w:tc>
        <w:tc>
          <w:tcPr>
            <w:tcW w:w="8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65700351</w:t>
            </w:r>
          </w:p>
        </w:tc>
      </w:tr>
      <w:tr>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资金情况</w:t>
            </w:r>
          </w:p>
        </w:tc>
      </w:tr>
      <w:tr>
        <w:tblPrEx>
          <w:shd w:val="clear" w:color="auto" w:fill="auto"/>
          <w:tblCellMar>
            <w:top w:w="0" w:type="dxa"/>
            <w:left w:w="0" w:type="dxa"/>
            <w:bottom w:w="0" w:type="dxa"/>
            <w:right w:w="0" w:type="dxa"/>
          </w:tblCellMar>
        </w:tblPrEx>
        <w:trPr>
          <w:trHeight w:val="515" w:hRule="atLeast"/>
        </w:trPr>
        <w:tc>
          <w:tcPr>
            <w:tcW w:w="2019"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141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年初预算数</w:t>
            </w:r>
          </w:p>
        </w:tc>
        <w:tc>
          <w:tcPr>
            <w:tcW w:w="1940" w:type="dxa"/>
            <w:gridSpan w:val="4"/>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全年（调整）预算数</w:t>
            </w:r>
          </w:p>
        </w:tc>
        <w:tc>
          <w:tcPr>
            <w:tcW w:w="1399" w:type="dxa"/>
            <w:gridSpan w:val="3"/>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全年执行数</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执行率权重</w:t>
            </w:r>
          </w:p>
        </w:tc>
        <w:tc>
          <w:tcPr>
            <w:tcW w:w="860"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执行率</w:t>
            </w:r>
          </w:p>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得分</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年度总金额</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其中：财政拨款</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pageBreakBefore w:val="0"/>
              <w:widowControl/>
              <w:suppressLineNumbers w:val="0"/>
              <w:kinsoku/>
              <w:wordWrap/>
              <w:overflowPunct/>
              <w:topLinePunct w:val="0"/>
              <w:autoSpaceDE/>
              <w:autoSpaceDN/>
              <w:bidi w:val="0"/>
              <w:adjustRightInd/>
              <w:snapToGrid/>
              <w:ind w:right="-240" w:rightChars="-100"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auto"/>
                <w:kern w:val="0"/>
                <w:sz w:val="20"/>
                <w:szCs w:val="20"/>
                <w:u w:val="none"/>
                <w:lang w:val="en-US" w:eastAsia="zh-CN" w:bidi="ar"/>
              </w:rPr>
              <w:t>10</w:t>
            </w:r>
          </w:p>
        </w:tc>
      </w:tr>
      <w:tr>
        <w:tblPrEx>
          <w:shd w:val="clear" w:color="auto" w:fill="auto"/>
          <w:tblCellMar>
            <w:top w:w="0" w:type="dxa"/>
            <w:left w:w="0" w:type="dxa"/>
            <w:bottom w:w="0" w:type="dxa"/>
            <w:right w:w="0" w:type="dxa"/>
          </w:tblCellMar>
        </w:tblPrEx>
        <w:trPr>
          <w:trHeight w:val="499" w:hRule="atLeast"/>
        </w:trPr>
        <w:tc>
          <w:tcPr>
            <w:tcW w:w="1535" w:type="dxa"/>
            <w:gridSpan w:val="2"/>
            <w:tcBorders>
              <w:top w:val="nil"/>
              <w:left w:val="single" w:color="auto" w:sz="4" w:space="0"/>
              <w:bottom w:val="single" w:color="auto"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一般公共预算</w:t>
            </w:r>
          </w:p>
        </w:tc>
        <w:tc>
          <w:tcPr>
            <w:tcW w:w="48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542"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8"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0 </w:t>
            </w:r>
          </w:p>
        </w:tc>
        <w:tc>
          <w:tcPr>
            <w:tcW w:w="790"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1150"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643" w:type="dxa"/>
            <w:gridSpan w:val="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w:t>
            </w:r>
          </w:p>
        </w:tc>
        <w:tc>
          <w:tcPr>
            <w:tcW w:w="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4.1 </w:t>
            </w:r>
          </w:p>
        </w:tc>
        <w:tc>
          <w:tcPr>
            <w:tcW w:w="744" w:type="dxa"/>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790" w:type="dxa"/>
            <w:gridSpan w:val="2"/>
            <w:tcBorders>
              <w:top w:val="nil"/>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w:t>
            </w:r>
          </w:p>
        </w:tc>
        <w:tc>
          <w:tcPr>
            <w:tcW w:w="860" w:type="dxa"/>
            <w:tcBorders>
              <w:top w:val="nil"/>
              <w:left w:val="nil"/>
              <w:bottom w:val="single" w:color="auto" w:sz="4" w:space="0"/>
              <w:right w:val="single" w:color="auto" w:sz="4" w:space="0"/>
            </w:tcBorders>
            <w:shd w:val="clear" w:color="auto" w:fill="auto"/>
            <w:noWrap/>
            <w:tcMar>
              <w:top w:w="15" w:type="dxa"/>
              <w:left w:w="15" w:type="dxa"/>
              <w:right w:w="360" w:type="dxa"/>
            </w:tcMar>
            <w:vAlign w:val="center"/>
          </w:tcPr>
          <w:p>
            <w:pPr>
              <w:keepNext w:val="0"/>
              <w:keepLines w:val="0"/>
              <w:widowControl/>
              <w:suppressLineNumbers w:val="0"/>
              <w:ind w:firstLine="200" w:firstLineChars="100"/>
              <w:jc w:val="right"/>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　</w:t>
            </w:r>
          </w:p>
        </w:tc>
      </w:tr>
      <w:tr>
        <w:tblPrEx>
          <w:shd w:val="clear" w:color="auto" w:fill="auto"/>
          <w:tblCellMar>
            <w:top w:w="0" w:type="dxa"/>
            <w:left w:w="0" w:type="dxa"/>
            <w:bottom w:w="0" w:type="dxa"/>
            <w:right w:w="0" w:type="dxa"/>
          </w:tblCellMar>
        </w:tblPrEx>
        <w:trPr>
          <w:trHeight w:val="618" w:hRule="exact"/>
        </w:trPr>
        <w:tc>
          <w:tcPr>
            <w:tcW w:w="9162" w:type="dxa"/>
            <w:gridSpan w:val="18"/>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808080"/>
                <w:sz w:val="28"/>
                <w:szCs w:val="28"/>
                <w:u w:val="none"/>
              </w:rPr>
            </w:pPr>
            <w:r>
              <w:rPr>
                <w:rFonts w:hint="eastAsia" w:ascii="微软雅黑" w:hAnsi="微软雅黑" w:eastAsia="微软雅黑" w:cs="微软雅黑"/>
                <w:b/>
                <w:i w:val="0"/>
                <w:color w:val="808080"/>
                <w:kern w:val="0"/>
                <w:sz w:val="24"/>
                <w:szCs w:val="24"/>
                <w:u w:val="none"/>
                <w:lang w:val="en-US" w:eastAsia="zh-CN" w:bidi="ar"/>
              </w:rPr>
              <w:t>绩效目标</w:t>
            </w:r>
          </w:p>
        </w:tc>
      </w:tr>
      <w:tr>
        <w:tblPrEx>
          <w:tblCellMar>
            <w:top w:w="0" w:type="dxa"/>
            <w:left w:w="0" w:type="dxa"/>
            <w:bottom w:w="0" w:type="dxa"/>
            <w:right w:w="0" w:type="dxa"/>
          </w:tblCellMar>
        </w:tblPrEx>
        <w:trPr>
          <w:trHeight w:val="413"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年初绩效目标</w:t>
            </w:r>
          </w:p>
        </w:tc>
        <w:tc>
          <w:tcPr>
            <w:tcW w:w="2527" w:type="dxa"/>
            <w:gridSpan w:val="6"/>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全年（调整）绩效目标</w:t>
            </w:r>
          </w:p>
        </w:tc>
        <w:tc>
          <w:tcPr>
            <w:tcW w:w="4287" w:type="dxa"/>
            <w:gridSpan w:val="8"/>
            <w:tcBorders>
              <w:top w:val="single" w:color="auto" w:sz="4" w:space="0"/>
              <w:left w:val="nil"/>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全年目标实际完成情况</w:t>
            </w:r>
          </w:p>
        </w:tc>
      </w:tr>
      <w:tr>
        <w:tblPrEx>
          <w:tblCellMar>
            <w:top w:w="0" w:type="dxa"/>
            <w:left w:w="0" w:type="dxa"/>
            <w:bottom w:w="0" w:type="dxa"/>
            <w:right w:w="0" w:type="dxa"/>
          </w:tblCellMar>
        </w:tblPrEx>
        <w:trPr>
          <w:trHeight w:val="1072" w:hRule="atLeast"/>
        </w:trPr>
        <w:tc>
          <w:tcPr>
            <w:tcW w:w="2348"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集中帮扶农民工、就业困难人员等劳动者实现就业创业。</w:t>
            </w:r>
          </w:p>
        </w:tc>
        <w:tc>
          <w:tcPr>
            <w:tcW w:w="2527" w:type="dxa"/>
            <w:gridSpan w:val="6"/>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集中帮扶农民工、就业困难人员等劳动者实现就业创业。</w:t>
            </w:r>
          </w:p>
        </w:tc>
        <w:tc>
          <w:tcPr>
            <w:tcW w:w="4287" w:type="dxa"/>
            <w:gridSpan w:val="8"/>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集中帮扶农民工、就业困难人员等劳动者实现就业创业，开展招聘会4场，招工企业满意度达100%。</w:t>
            </w:r>
          </w:p>
        </w:tc>
      </w:tr>
    </w:tbl>
    <w:tbl>
      <w:tblPr>
        <w:tblStyle w:val="11"/>
        <w:tblW w:w="9192" w:type="dxa"/>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801"/>
        <w:gridCol w:w="660"/>
        <w:gridCol w:w="772"/>
        <w:gridCol w:w="839"/>
        <w:gridCol w:w="839"/>
        <w:gridCol w:w="850"/>
        <w:gridCol w:w="664"/>
        <w:gridCol w:w="628"/>
        <w:gridCol w:w="826"/>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9192" w:type="dxa"/>
            <w:gridSpan w:val="11"/>
            <w:vAlign w:val="top"/>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微软雅黑" w:hAnsi="微软雅黑" w:eastAsia="微软雅黑" w:cs="微软雅黑"/>
                <w:b/>
                <w:i w:val="0"/>
                <w:color w:val="808080"/>
                <w:kern w:val="0"/>
                <w:sz w:val="24"/>
                <w:szCs w:val="24"/>
                <w:u w:val="none"/>
                <w:lang w:val="en-US" w:eastAsia="zh-CN" w:bidi="ar"/>
              </w:rPr>
              <w:t>绩效指标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指标名称</w:t>
            </w:r>
          </w:p>
        </w:tc>
        <w:tc>
          <w:tcPr>
            <w:tcW w:w="801"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计量单位</w:t>
            </w:r>
          </w:p>
        </w:tc>
        <w:tc>
          <w:tcPr>
            <w:tcW w:w="66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指标性质</w:t>
            </w:r>
          </w:p>
        </w:tc>
        <w:tc>
          <w:tcPr>
            <w:tcW w:w="77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指标值</w:t>
            </w:r>
          </w:p>
        </w:tc>
        <w:tc>
          <w:tcPr>
            <w:tcW w:w="839" w:type="dxa"/>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全年</w:t>
            </w:r>
          </w:p>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完成值</w:t>
            </w:r>
          </w:p>
        </w:tc>
        <w:tc>
          <w:tcPr>
            <w:tcW w:w="839"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偏离度（%）</w:t>
            </w:r>
          </w:p>
        </w:tc>
        <w:tc>
          <w:tcPr>
            <w:tcW w:w="850"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得分系数（%）</w:t>
            </w:r>
          </w:p>
        </w:tc>
        <w:tc>
          <w:tcPr>
            <w:tcW w:w="664"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指标权重</w:t>
            </w:r>
          </w:p>
        </w:tc>
        <w:tc>
          <w:tcPr>
            <w:tcW w:w="628"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指标得分</w:t>
            </w:r>
          </w:p>
        </w:tc>
        <w:tc>
          <w:tcPr>
            <w:tcW w:w="826"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是否核心指标</w:t>
            </w:r>
          </w:p>
        </w:tc>
        <w:tc>
          <w:tcPr>
            <w:tcW w:w="802" w:type="dxa"/>
            <w:vAlign w:val="center"/>
          </w:tcPr>
          <w:p>
            <w:pPr>
              <w:keepNext w:val="0"/>
              <w:keepLines w:val="0"/>
              <w:widowControl/>
              <w:suppressLineNumbers w:val="0"/>
              <w:jc w:val="center"/>
              <w:textAlignment w:val="center"/>
              <w:rPr>
                <w:rFonts w:hint="eastAsia" w:ascii="Times New Roman" w:hAnsi="Times New Roman" w:eastAsia="方正仿宋_GBK" w:cs="方正仿宋_GBK"/>
                <w:color w:val="auto"/>
                <w:sz w:val="28"/>
                <w:szCs w:val="28"/>
                <w:shd w:val="clear" w:color="auto" w:fill="FFFFFF"/>
                <w:vertAlign w:val="baseline"/>
                <w:lang w:eastAsia="zh-CN"/>
              </w:rPr>
            </w:pPr>
            <w:r>
              <w:rPr>
                <w:rFonts w:hint="eastAsia" w:ascii="宋体" w:hAnsi="宋体" w:eastAsia="宋体" w:cs="宋体"/>
                <w:b/>
                <w:i w:val="0"/>
                <w:color w:val="000000"/>
                <w:kern w:val="0"/>
                <w:sz w:val="20"/>
                <w:szCs w:val="20"/>
                <w:u w:val="none"/>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参加招聘企业数量</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家</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开展招聘会场数</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场次</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提供招聘岗位数量</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个</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促进就业人数</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人</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25</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可持续影响年度</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年</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0</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Chars="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招工企业满意度</w:t>
            </w:r>
          </w:p>
        </w:tc>
        <w:tc>
          <w:tcPr>
            <w:tcW w:w="801"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66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p>
        </w:tc>
        <w:tc>
          <w:tcPr>
            <w:tcW w:w="772"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99</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839"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1.01</w:t>
            </w:r>
          </w:p>
        </w:tc>
        <w:tc>
          <w:tcPr>
            <w:tcW w:w="850"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100</w:t>
            </w:r>
          </w:p>
        </w:tc>
        <w:tc>
          <w:tcPr>
            <w:tcW w:w="664"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628"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826" w:type="dxa"/>
            <w:vAlign w:val="center"/>
          </w:tcPr>
          <w:p>
            <w:pPr>
              <w:keepNext w:val="0"/>
              <w:keepLines w:val="0"/>
              <w:pageBreakBefore w:val="0"/>
              <w:widowControl/>
              <w:suppressLineNumbers w:val="0"/>
              <w:kinsoku/>
              <w:wordWrap/>
              <w:overflowPunct/>
              <w:topLinePunct w:val="0"/>
              <w:autoSpaceDN/>
              <w:bidi w:val="0"/>
              <w:adjustRightInd/>
              <w:snapToGrid/>
              <w:spacing w:line="240" w:lineRule="auto"/>
              <w:ind w:firstLine="0" w:firstLineChars="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否</w:t>
            </w:r>
          </w:p>
        </w:tc>
        <w:tc>
          <w:tcPr>
            <w:tcW w:w="802" w:type="dxa"/>
          </w:tcPr>
          <w:p>
            <w:pPr>
              <w:pStyle w:val="15"/>
              <w:keepNext w:val="0"/>
              <w:keepLines w:val="0"/>
              <w:pageBreakBefore w:val="0"/>
              <w:widowControl w:val="0"/>
              <w:kinsoku/>
              <w:wordWrap/>
              <w:overflowPunct/>
              <w:topLinePunct w:val="0"/>
              <w:autoSpaceDE w:val="0"/>
              <w:autoSpaceDN/>
              <w:bidi w:val="0"/>
              <w:adjustRightInd/>
              <w:snapToGrid/>
              <w:spacing w:before="0" w:beforeAutospacing="0" w:after="0" w:afterAutospacing="0" w:line="240" w:lineRule="auto"/>
              <w:ind w:firstLineChars="0"/>
              <w:jc w:val="both"/>
              <w:textAlignment w:val="auto"/>
              <w:rPr>
                <w:rFonts w:hint="eastAsia" w:ascii="Times New Roman" w:hAnsi="Times New Roman" w:eastAsia="方正仿宋_GBK" w:cs="方正仿宋_GBK"/>
                <w:color w:val="auto"/>
                <w:sz w:val="20"/>
                <w:szCs w:val="20"/>
                <w:shd w:val="clear" w:color="auto" w:fill="FFFFFF"/>
                <w:vertAlign w:val="baseline"/>
                <w:lang w:eastAsia="zh-CN"/>
              </w:rPr>
            </w:pPr>
          </w:p>
        </w:tc>
      </w:tr>
    </w:tbl>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（二）单位绩效评价情况</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Fonts w:hint="eastAsia" w:ascii="Times New Roman" w:hAnsi="Times New Roman" w:eastAsia="方正仿宋_GBK" w:cs="方正仿宋_GBK"/>
          <w:color w:val="auto"/>
          <w:sz w:val="32"/>
          <w:szCs w:val="32"/>
          <w:shd w:val="clear" w:color="auto" w:fill="FFFFFF"/>
          <w:lang w:val="en-US" w:eastAsia="zh-CN" w:bidi="ar-SA"/>
        </w:rPr>
      </w:pPr>
      <w:r>
        <w:rPr>
          <w:rFonts w:hint="eastAsia" w:ascii="Times New Roman" w:hAnsi="Times New Roman" w:eastAsia="方正仿宋_GBK" w:cs="方正仿宋_GBK"/>
          <w:color w:val="auto"/>
          <w:sz w:val="32"/>
          <w:szCs w:val="32"/>
          <w:shd w:val="clear" w:color="auto" w:fill="FFFFFF"/>
          <w:lang w:val="en-US" w:eastAsia="zh-CN" w:bidi="ar-SA"/>
        </w:rPr>
        <w:t>我单位未组织开展绩效评价。</w:t>
      </w:r>
    </w:p>
    <w:p>
      <w:pPr>
        <w:pStyle w:val="14"/>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lang w:val="en-US" w:eastAsia="zh-CN" w:bidi="ar-SA"/>
        </w:rPr>
      </w:pPr>
      <w:r>
        <w:rPr>
          <w:rStyle w:val="13"/>
          <w:rFonts w:hint="eastAsia" w:ascii="方正楷体_GBK" w:hAnsi="方正楷体_GBK" w:eastAsia="方正楷体_GBK" w:cs="方正楷体_GBK"/>
          <w:b w:val="0"/>
          <w:bCs/>
          <w:sz w:val="32"/>
          <w:szCs w:val="32"/>
          <w:shd w:val="clear" w:color="auto" w:fill="FFFFFF"/>
          <w:lang w:val="en-US" w:eastAsia="zh-CN" w:bidi="ar-SA"/>
        </w:rPr>
        <w:t>（三）财政绩效评价情况</w:t>
      </w:r>
    </w:p>
    <w:p>
      <w:pPr>
        <w:pStyle w:val="14"/>
        <w:keepNext w:val="0"/>
        <w:keepLines w:val="0"/>
        <w:pageBreakBefore w:val="0"/>
        <w:widowControl w:val="0"/>
        <w:numPr>
          <w:ilvl w:val="0"/>
          <w:numId w:val="0"/>
        </w:numP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仿宋_GBK"/>
          <w:bCs/>
          <w:sz w:val="32"/>
          <w:szCs w:val="32"/>
        </w:rPr>
      </w:pPr>
      <w:r>
        <w:rPr>
          <w:rFonts w:hint="eastAsia" w:ascii="Times New Roman" w:hAnsi="Times New Roman" w:eastAsia="方正仿宋_GBK" w:cs="方正仿宋_GBK"/>
          <w:color w:val="auto"/>
          <w:sz w:val="32"/>
          <w:szCs w:val="32"/>
          <w:shd w:val="clear" w:color="auto" w:fill="FFFFFF"/>
          <w:lang w:val="en-US" w:eastAsia="zh-CN" w:bidi="ar-SA"/>
        </w:rPr>
        <w:t>重庆高新区财政局未委托第三方对我单位开展绩效评价。</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keepNext w:val="0"/>
        <w:keepLines w:val="0"/>
        <w:pageBreakBefore w:val="0"/>
        <w:widowControl w:val="0"/>
        <w:kinsoku/>
        <w:wordWrap/>
        <w:overflowPunct/>
        <w:topLinePunct w:val="0"/>
        <w:autoSpaceDN/>
        <w:bidi w:val="0"/>
        <w:adjustRightInd/>
        <w:spacing w:before="0" w:beforeAutospacing="0" w:after="0" w:afterAutospacing="0" w:line="600" w:lineRule="exact"/>
        <w:ind w:firstLine="640" w:firstLineChars="200"/>
        <w:textAlignment w:val="auto"/>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val="0"/>
        <w:kinsoku/>
        <w:wordWrap/>
        <w:overflowPunct/>
        <w:topLinePunct w:val="0"/>
        <w:autoSpaceDE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spacing w:before="0" w:beforeAutospacing="0" w:after="0" w:afterAutospacing="0" w:line="596" w:lineRule="exact"/>
        <w:ind w:firstLine="640" w:firstLineChars="200"/>
        <w:rPr>
          <w:rStyle w:val="13"/>
          <w:rFonts w:hint="eastAsia" w:ascii="方正仿宋_GBK" w:hAnsi="方正仿宋_GBK" w:eastAsia="方正仿宋_GBK" w:cs="方正仿宋_GBK"/>
          <w:sz w:val="32"/>
          <w:szCs w:val="32"/>
          <w:shd w:val="clear" w:color="auto" w:fill="FFFF00"/>
        </w:rPr>
        <w:sectPr>
          <w:footerReference r:id="rId3" w:type="default"/>
          <w:pgSz w:w="11915" w:h="16840"/>
          <w:pgMar w:top="2098" w:right="1531" w:bottom="1984" w:left="1531" w:header="851" w:footer="992" w:gutter="0"/>
          <w:pgNumType w:fmt="decimal"/>
          <w:cols w:space="720" w:num="1"/>
          <w:docGrid w:type="lines" w:linePitch="312" w:charSpace="0"/>
        </w:sectPr>
      </w:pPr>
      <w:r>
        <w:rPr>
          <w:rFonts w:hint="eastAsia" w:ascii="方正仿宋_GBK" w:hAnsi="方正仿宋_GBK" w:eastAsia="方正仿宋_GBK" w:cs="方正仿宋_GBK"/>
          <w:sz w:val="32"/>
          <w:szCs w:val="32"/>
          <w:shd w:val="clear" w:color="auto" w:fill="FFFFFF"/>
        </w:rPr>
        <w:t>本单位决算公开信息反馈和联系方式：</w:t>
      </w:r>
      <w:r>
        <w:rPr>
          <w:rFonts w:hint="eastAsia" w:ascii="Times New Roman" w:hAnsi="Times New Roman" w:eastAsia="方正仿宋_GBK" w:cs="方正仿宋_GBK"/>
          <w:color w:val="auto"/>
          <w:sz w:val="32"/>
          <w:szCs w:val="32"/>
          <w:highlight w:val="none"/>
          <w:shd w:val="clear" w:color="auto" w:fill="FFFFFF"/>
          <w:lang w:val="en-US" w:eastAsia="zh-CN"/>
        </w:rPr>
        <w:t>023</w:t>
      </w:r>
      <w:r>
        <w:rPr>
          <w:rFonts w:hint="eastAsia" w:ascii="方正仿宋_GBK" w:hAnsi="方正仿宋_GBK" w:eastAsia="方正仿宋_GBK" w:cs="方正仿宋_GBK"/>
          <w:color w:val="auto"/>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shd w:val="clear" w:color="auto" w:fill="FFFFFF"/>
          <w:lang w:val="en-US" w:eastAsia="zh-CN"/>
        </w:rPr>
        <w:t>65707445。</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部门：</w:t>
            </w:r>
            <w:r>
              <w:rPr>
                <w:sz w:val="20"/>
                <w:u w:color="auto"/>
              </w:rPr>
              <w:t>重庆市九龙坡区白市驿镇劳动就业和社会保障服务所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987.85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1,007.12</w:t>
            </w:r>
            <w:r>
              <w:rPr>
                <w:rFonts w:ascii="Times New Roman" w:hAnsi="Times New Roman"/>
                <w:color w:val="000000"/>
                <w:sz w:val="20"/>
                <w:u w:color="auto"/>
              </w:rPr>
              <w:t xml:space="preserve"> </w:t>
            </w:r>
          </w:p>
        </w:tc>
      </w:tr>
    </w:tbl>
    <w:p>
      <w:pPr>
        <w:rPr>
          <w:rFonts w:cs="宋体"/>
          <w:sz w:val="21"/>
          <w:szCs w:val="21"/>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362"/>
        <w:gridCol w:w="2973"/>
        <w:gridCol w:w="1377"/>
        <w:gridCol w:w="1429"/>
        <w:gridCol w:w="1463"/>
        <w:gridCol w:w="1355"/>
        <w:gridCol w:w="1386"/>
        <w:gridCol w:w="1256"/>
        <w:gridCol w:w="1256"/>
        <w:gridCol w:w="1646"/>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sz w:val="20"/>
                <w:u w:color="auto"/>
              </w:rPr>
              <w:t>重庆市九龙坡区白市驿镇劳动就业和社会保障服务所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1,007.12</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1,007.12</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304.50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304.50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就业见习补贴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34"/>
        <w:gridCol w:w="3916"/>
        <w:gridCol w:w="1799"/>
        <w:gridCol w:w="1738"/>
        <w:gridCol w:w="1569"/>
        <w:gridCol w:w="1508"/>
        <w:gridCol w:w="1670"/>
        <w:gridCol w:w="1888"/>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重庆市九龙坡区白市驿镇劳动就业和社会保障服务所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1,007.12</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303.04</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704.08</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987.85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285.65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702.20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304.50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255.54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48.97</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就业见习补贴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11.32</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p>
      <w:pPr>
        <w:rPr>
          <w:rFonts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987.85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11.32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1,007.12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1,007.12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303.04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704.08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987.85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285.65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702.20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304.50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255.54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48.97</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255.54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48.97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30.11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就业补助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40.60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就业创业服务补贴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就业见习补贴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其他就业补助支出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84.14</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残疾人生活和护理补贴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38.12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最低生活保障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526.29</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2081901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城市最低生活保障金支出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526.29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2.22</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2082502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其他农村生活救助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11.32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21015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医疗保障管理事务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2101506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医疗保障经办事务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cs="宋体"/>
          <w:sz w:val="21"/>
          <w:szCs w:val="21"/>
        </w:rPr>
      </w:pPr>
      <w:r>
        <w:rPr>
          <w:rFonts w:cs="宋体"/>
          <w:sz w:val="21"/>
          <w:szCs w:val="21"/>
        </w:rPr>
        <w:br w:type="page"/>
      </w:r>
    </w:p>
    <w:tbl>
      <w:tblPr>
        <w:tblStyle w:val="10"/>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u w:color="auto"/>
              </w:rPr>
              <w:t>重庆市九龙坡区白市驿镇劳动就业和社会保障服务所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262.42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40.62</w:t>
            </w:r>
            <w:r>
              <w:rPr>
                <w:rFonts w:ascii="Times New Roman" w:hAnsi="Times New Roman"/>
                <w:color w:val="000000"/>
                <w:sz w:val="18"/>
                <w:u w:color="auto"/>
              </w:rPr>
              <w:t xml:space="preserve"> </w:t>
            </w:r>
          </w:p>
        </w:tc>
      </w:tr>
    </w:tbl>
    <w:p>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u w:color="auto"/>
              </w:rPr>
              <w:t>重庆市九龙坡区白市驿镇劳动就业和社会保障服务所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cs="宋体"/>
          <w:sz w:val="21"/>
          <w:szCs w:val="21"/>
        </w:rPr>
      </w:pPr>
      <w:r>
        <w:rPr>
          <w:rFonts w:hint="default" w:cs="宋体"/>
          <w:sz w:val="21"/>
          <w:szCs w:val="21"/>
        </w:rPr>
        <w:br w:type="page"/>
      </w:r>
    </w:p>
    <w:tbl>
      <w:tblPr>
        <w:tblStyle w:val="10"/>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u w:color="auto"/>
              </w:rPr>
              <w:t>重庆市九龙坡区白市驿镇劳动就业和社会保障服务所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cs="宋体"/>
                <w:color w:val="000000"/>
                <w:sz w:val="16"/>
                <w:szCs w:val="16"/>
              </w:rPr>
            </w:pPr>
          </w:p>
        </w:tc>
      </w:tr>
    </w:tbl>
    <w:p>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headerReference r:id="rId4" w:type="default"/>
      <w:footerReference r:id="rId5" w:type="default"/>
      <w:pgSz w:w="16783" w:h="11850"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5"/>
                      <w:keepNext w:val="0"/>
                      <w:keepLines w:val="0"/>
                      <w:pageBreakBefore w:val="0"/>
                      <w:widowControl/>
                      <w:kinsoku/>
                      <w:wordWrap/>
                      <w:overflowPunct/>
                      <w:topLinePunct w:val="0"/>
                      <w:bidi w:val="0"/>
                      <w:adjustRightInd/>
                      <w:snapToGrid w:val="0"/>
                      <w:ind w:left="480" w:leftChars="200" w:right="480" w:rightChars="200"/>
                      <w:textAlignment w:val="auto"/>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5"/>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7E33C5"/>
    <w:rsid w:val="0A86124A"/>
    <w:rsid w:val="0AB54CC0"/>
    <w:rsid w:val="0B9335CE"/>
    <w:rsid w:val="0C7927C4"/>
    <w:rsid w:val="0C9B098C"/>
    <w:rsid w:val="0D673E11"/>
    <w:rsid w:val="0DDA54E4"/>
    <w:rsid w:val="0E084ABF"/>
    <w:rsid w:val="0E3A5F83"/>
    <w:rsid w:val="0E74421A"/>
    <w:rsid w:val="0EA46639"/>
    <w:rsid w:val="0EC6180C"/>
    <w:rsid w:val="0F497FB6"/>
    <w:rsid w:val="0F836721"/>
    <w:rsid w:val="0F8D1B9E"/>
    <w:rsid w:val="0FA25D96"/>
    <w:rsid w:val="107B59E5"/>
    <w:rsid w:val="10EC0126"/>
    <w:rsid w:val="10F70B9A"/>
    <w:rsid w:val="111445C7"/>
    <w:rsid w:val="114278C6"/>
    <w:rsid w:val="1158083A"/>
    <w:rsid w:val="11643A4B"/>
    <w:rsid w:val="11ED0F98"/>
    <w:rsid w:val="11F03528"/>
    <w:rsid w:val="1201380A"/>
    <w:rsid w:val="12C921C4"/>
    <w:rsid w:val="12F52ECF"/>
    <w:rsid w:val="13871C70"/>
    <w:rsid w:val="13A71CB4"/>
    <w:rsid w:val="13AF1D43"/>
    <w:rsid w:val="13CE1647"/>
    <w:rsid w:val="13DA0C25"/>
    <w:rsid w:val="13FD55AB"/>
    <w:rsid w:val="14200702"/>
    <w:rsid w:val="14907817"/>
    <w:rsid w:val="15714980"/>
    <w:rsid w:val="163A6CEE"/>
    <w:rsid w:val="173708E3"/>
    <w:rsid w:val="174C19C7"/>
    <w:rsid w:val="179B1E41"/>
    <w:rsid w:val="17C374FC"/>
    <w:rsid w:val="189079DC"/>
    <w:rsid w:val="189B0D0B"/>
    <w:rsid w:val="18B43F7C"/>
    <w:rsid w:val="194A1770"/>
    <w:rsid w:val="19B906A4"/>
    <w:rsid w:val="19FB026E"/>
    <w:rsid w:val="1B4C2051"/>
    <w:rsid w:val="1B6F15B6"/>
    <w:rsid w:val="1B790B7A"/>
    <w:rsid w:val="1BAA2EDC"/>
    <w:rsid w:val="1C5C0973"/>
    <w:rsid w:val="1CA55E64"/>
    <w:rsid w:val="1D014A01"/>
    <w:rsid w:val="1D022362"/>
    <w:rsid w:val="1D1B04B0"/>
    <w:rsid w:val="1D6534C4"/>
    <w:rsid w:val="1D657198"/>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3F5732E"/>
    <w:rsid w:val="24B92327"/>
    <w:rsid w:val="24C14514"/>
    <w:rsid w:val="24C258D3"/>
    <w:rsid w:val="2533755C"/>
    <w:rsid w:val="25791755"/>
    <w:rsid w:val="26396DF4"/>
    <w:rsid w:val="26F92E80"/>
    <w:rsid w:val="27167136"/>
    <w:rsid w:val="27A7649B"/>
    <w:rsid w:val="27B23302"/>
    <w:rsid w:val="27F22438"/>
    <w:rsid w:val="29310A5F"/>
    <w:rsid w:val="29C37A35"/>
    <w:rsid w:val="2A076083"/>
    <w:rsid w:val="2A73162E"/>
    <w:rsid w:val="2A751F0B"/>
    <w:rsid w:val="2A780AEE"/>
    <w:rsid w:val="2B167953"/>
    <w:rsid w:val="2B200583"/>
    <w:rsid w:val="2B220436"/>
    <w:rsid w:val="2B8209DE"/>
    <w:rsid w:val="2C6762A3"/>
    <w:rsid w:val="2C9319F8"/>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1F7AF0"/>
    <w:rsid w:val="36C77471"/>
    <w:rsid w:val="36C9128A"/>
    <w:rsid w:val="372E3953"/>
    <w:rsid w:val="37841E99"/>
    <w:rsid w:val="37BF1123"/>
    <w:rsid w:val="383C3F15"/>
    <w:rsid w:val="38BE4696"/>
    <w:rsid w:val="3939115E"/>
    <w:rsid w:val="39B82A39"/>
    <w:rsid w:val="39C42CA8"/>
    <w:rsid w:val="39DC4FD6"/>
    <w:rsid w:val="39F03D7A"/>
    <w:rsid w:val="39F33306"/>
    <w:rsid w:val="3A242A9F"/>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1508BC"/>
    <w:rsid w:val="426554D0"/>
    <w:rsid w:val="426C1EA8"/>
    <w:rsid w:val="42736402"/>
    <w:rsid w:val="42E86A87"/>
    <w:rsid w:val="43307B09"/>
    <w:rsid w:val="43470647"/>
    <w:rsid w:val="43554284"/>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BB42ABF"/>
    <w:rsid w:val="4CCF773C"/>
    <w:rsid w:val="4DAC4ACA"/>
    <w:rsid w:val="4DBE01D2"/>
    <w:rsid w:val="4EC92552"/>
    <w:rsid w:val="4EFC6D10"/>
    <w:rsid w:val="4F0C6BA3"/>
    <w:rsid w:val="4F10477D"/>
    <w:rsid w:val="4F186D58"/>
    <w:rsid w:val="4FCB7957"/>
    <w:rsid w:val="4FEA65B7"/>
    <w:rsid w:val="5042146E"/>
    <w:rsid w:val="50F06B6E"/>
    <w:rsid w:val="52234D33"/>
    <w:rsid w:val="52261ABA"/>
    <w:rsid w:val="522F6E0C"/>
    <w:rsid w:val="52463BA1"/>
    <w:rsid w:val="5298794F"/>
    <w:rsid w:val="52F163D4"/>
    <w:rsid w:val="531A2DB4"/>
    <w:rsid w:val="53C0244D"/>
    <w:rsid w:val="53DD4D4E"/>
    <w:rsid w:val="53E578CE"/>
    <w:rsid w:val="541330F0"/>
    <w:rsid w:val="54272666"/>
    <w:rsid w:val="543B029D"/>
    <w:rsid w:val="544C3364"/>
    <w:rsid w:val="54861779"/>
    <w:rsid w:val="552256E1"/>
    <w:rsid w:val="554E5773"/>
    <w:rsid w:val="555A3CBC"/>
    <w:rsid w:val="5582012B"/>
    <w:rsid w:val="558422A5"/>
    <w:rsid w:val="558E4E05"/>
    <w:rsid w:val="55BE2E85"/>
    <w:rsid w:val="55D82B6C"/>
    <w:rsid w:val="561D52C4"/>
    <w:rsid w:val="5651697D"/>
    <w:rsid w:val="56530F5D"/>
    <w:rsid w:val="56692AE5"/>
    <w:rsid w:val="567700D3"/>
    <w:rsid w:val="56FF7E9E"/>
    <w:rsid w:val="578867FC"/>
    <w:rsid w:val="5842572D"/>
    <w:rsid w:val="58992763"/>
    <w:rsid w:val="59606125"/>
    <w:rsid w:val="5A3B59D6"/>
    <w:rsid w:val="5AD134D8"/>
    <w:rsid w:val="5B6503B1"/>
    <w:rsid w:val="5BA26C0E"/>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5E61262"/>
    <w:rsid w:val="66267C04"/>
    <w:rsid w:val="663F505A"/>
    <w:rsid w:val="66967186"/>
    <w:rsid w:val="66D75FED"/>
    <w:rsid w:val="66EE5541"/>
    <w:rsid w:val="66FE3570"/>
    <w:rsid w:val="67924660"/>
    <w:rsid w:val="67B53825"/>
    <w:rsid w:val="683200C2"/>
    <w:rsid w:val="68407834"/>
    <w:rsid w:val="6883293E"/>
    <w:rsid w:val="688412AD"/>
    <w:rsid w:val="68EB1B71"/>
    <w:rsid w:val="69475C96"/>
    <w:rsid w:val="6AAD2300"/>
    <w:rsid w:val="6B474EF5"/>
    <w:rsid w:val="6BBF53FD"/>
    <w:rsid w:val="6C560CAE"/>
    <w:rsid w:val="6C576495"/>
    <w:rsid w:val="6D645085"/>
    <w:rsid w:val="6D903FF5"/>
    <w:rsid w:val="6DA955B8"/>
    <w:rsid w:val="6DE346AB"/>
    <w:rsid w:val="6DE36C58"/>
    <w:rsid w:val="6DE5391A"/>
    <w:rsid w:val="6E7A1625"/>
    <w:rsid w:val="6EFD1324"/>
    <w:rsid w:val="6F5A53AC"/>
    <w:rsid w:val="6FAC003D"/>
    <w:rsid w:val="6FE55E12"/>
    <w:rsid w:val="6FFB2E76"/>
    <w:rsid w:val="708F6F7F"/>
    <w:rsid w:val="70D94BD3"/>
    <w:rsid w:val="70EE53E3"/>
    <w:rsid w:val="71C34D91"/>
    <w:rsid w:val="72DB435C"/>
    <w:rsid w:val="72E2613A"/>
    <w:rsid w:val="72F771F4"/>
    <w:rsid w:val="734150D5"/>
    <w:rsid w:val="736650B0"/>
    <w:rsid w:val="73934AD2"/>
    <w:rsid w:val="750837F0"/>
    <w:rsid w:val="754758CF"/>
    <w:rsid w:val="761275E6"/>
    <w:rsid w:val="764F62AB"/>
    <w:rsid w:val="765C45EC"/>
    <w:rsid w:val="768A7619"/>
    <w:rsid w:val="76AA36E6"/>
    <w:rsid w:val="772E1EBA"/>
    <w:rsid w:val="77303AE2"/>
    <w:rsid w:val="77EB79F7"/>
    <w:rsid w:val="796D60A4"/>
    <w:rsid w:val="79A031D5"/>
    <w:rsid w:val="7A1525F7"/>
    <w:rsid w:val="7B24540B"/>
    <w:rsid w:val="7B420052"/>
    <w:rsid w:val="7B861484"/>
    <w:rsid w:val="7BD06A28"/>
    <w:rsid w:val="7C2535BA"/>
    <w:rsid w:val="7C3A7C0B"/>
    <w:rsid w:val="7C5248E4"/>
    <w:rsid w:val="7C566698"/>
    <w:rsid w:val="7C5866A3"/>
    <w:rsid w:val="7CBE2F89"/>
    <w:rsid w:val="7CCD0158"/>
    <w:rsid w:val="7D7406BB"/>
    <w:rsid w:val="7DE94331"/>
    <w:rsid w:val="7EFF197A"/>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rPr>
      <w:rFonts w:cs="宋体"/>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4"/>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2918</Words>
  <Characters>3424</Characters>
  <Lines>192</Lines>
  <Paragraphs>54</Paragraphs>
  <TotalTime>19</TotalTime>
  <ScaleCrop>false</ScaleCrop>
  <LinksUpToDate>false</LinksUpToDate>
  <CharactersWithSpaces>3485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bsy</cp:lastModifiedBy>
  <cp:lastPrinted>2025-10-15T06:31:00Z</cp:lastPrinted>
  <dcterms:modified xsi:type="dcterms:W3CDTF">2025-10-16T03:25:46Z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7D63809E96B64D478284682A3E20DCEC</vt:lpwstr>
  </property>
  <property fmtid="{D5CDD505-2E9C-101B-9397-08002B2CF9AE}" pid="4" name="KSOTemplateDocerSaveRecord">
    <vt:lpwstr>eyJoZGlkIjoiODQxNWY2ZTU2YTgxMDZjODc1Y2VkY2NmZDVkNDFjMTcifQ==</vt:lpwstr>
  </property>
</Properties>
</file>