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重庆市九龙坡区白市驿镇文化服务中心</w:t>
      </w:r>
    </w:p>
    <w:p>
      <w:pPr>
        <w:pStyle w:val="10"/>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4"/>
          <w:rFonts w:ascii="黑体" w:hAnsi="黑体" w:eastAsia="黑体" w:cs="黑体"/>
          <w:sz w:val="32"/>
          <w:szCs w:val="32"/>
          <w:shd w:val="clear" w:color="auto" w:fill="FFFFFF"/>
        </w:rPr>
      </w:pP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一、单位基本情况</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（一）职能职责</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2"/>
          <w:sz w:val="32"/>
          <w:szCs w:val="20"/>
        </w:rPr>
      </w:pPr>
      <w:r>
        <w:rPr>
          <w:rFonts w:hint="default" w:ascii="Times New Roman" w:hAnsi="Times New Roman" w:eastAsia="方正仿宋_GBK" w:cs="Times New Roman"/>
          <w:color w:val="auto"/>
          <w:kern w:val="2"/>
          <w:sz w:val="32"/>
          <w:szCs w:val="20"/>
        </w:rPr>
        <w:t>白市驿镇</w:t>
      </w:r>
      <w:r>
        <w:rPr>
          <w:rFonts w:hint="default" w:ascii="Times New Roman" w:hAnsi="Times New Roman" w:eastAsia="方正仿宋_GBK" w:cs="Times New Roman"/>
          <w:color w:val="auto"/>
          <w:kern w:val="2"/>
          <w:sz w:val="32"/>
          <w:szCs w:val="22"/>
          <w:lang w:val="en-US" w:eastAsia="zh-CN"/>
        </w:rPr>
        <w:t>文化服务中心</w:t>
      </w:r>
      <w:r>
        <w:rPr>
          <w:rFonts w:hint="default" w:ascii="Times New Roman" w:hAnsi="Times New Roman" w:eastAsia="方正仿宋_GBK" w:cs="Times New Roman"/>
          <w:color w:val="auto"/>
          <w:kern w:val="2"/>
          <w:sz w:val="32"/>
          <w:szCs w:val="20"/>
        </w:rPr>
        <w:t>的主要职能职责为：承担教育、文化、旅游、体育、科技培训等方面的事务性工作。</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白市驿镇</w:t>
      </w:r>
      <w:r>
        <w:rPr>
          <w:rFonts w:hint="default" w:ascii="Times New Roman" w:hAnsi="Times New Roman" w:eastAsia="方正仿宋_GBK" w:cs="Times New Roman"/>
          <w:color w:val="auto"/>
          <w:sz w:val="32"/>
          <w:lang w:val="en-US" w:eastAsia="zh-CN"/>
        </w:rPr>
        <w:t>文化服</w:t>
      </w:r>
      <w:r>
        <w:rPr>
          <w:rFonts w:hint="default" w:ascii="Times New Roman" w:hAnsi="Times New Roman" w:eastAsia="方正仿宋_GBK" w:cs="Times New Roman"/>
          <w:color w:val="auto"/>
          <w:sz w:val="32"/>
          <w:szCs w:val="22"/>
          <w:lang w:val="en-US" w:eastAsia="zh-CN"/>
        </w:rPr>
        <w:t>务中心</w:t>
      </w:r>
      <w:r>
        <w:rPr>
          <w:rFonts w:hint="eastAsia" w:ascii="Times New Roman" w:hAnsi="Times New Roman" w:eastAsia="方正仿宋_GBK" w:cs="Times New Roman"/>
          <w:color w:val="auto"/>
          <w:sz w:val="32"/>
          <w:lang w:val="en-US" w:eastAsia="zh-CN"/>
        </w:rPr>
        <w:t>为白市驿镇人民政府下属事业单位，无内设机构</w:t>
      </w:r>
      <w:r>
        <w:rPr>
          <w:rFonts w:hint="default" w:ascii="Times New Roman" w:hAnsi="Times New Roman" w:eastAsia="方正仿宋_GBK" w:cs="Times New Roman"/>
          <w:color w:val="auto"/>
          <w:sz w:val="32"/>
        </w:rPr>
        <w:t>。</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二、单位决算收支情况说明</w:t>
      </w:r>
    </w:p>
    <w:p>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（一）收入支出决算总体情况说明</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269.09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收、支与2023年度相比，减少12.29万元，下降4.4%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厉行节约，减少年初预算。</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269.09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与2023年度相比，减少12.29万元，下降4.4%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厉行节约，减少年初预算。</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269.09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269.09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与2023年度相比，减少12.29万元，下降4.4%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厉行节约，减少年初预算。</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208.03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61.06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22.7%</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4"/>
          <w:rFonts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（二）财政拨款收入支出决算总体情况说明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269.09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财政拨款收、支总计各减少12.29万元，下降4.4%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厉行节约，减少年初预算。</w:t>
      </w:r>
    </w:p>
    <w:p>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（三）一般公共预算财政拨款收入支出决算情况说明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auto"/>
          <w:sz w:val="32"/>
          <w:szCs w:val="32"/>
        </w:rPr>
      </w:pPr>
      <w:r>
        <w:rPr>
          <w:rStyle w:val="14"/>
          <w:rFonts w:hint="default"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261.09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与2023年度相比，减少20.29万元，下降7.2%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厉行节约，减少年初预算。</w:t>
      </w:r>
      <w:r>
        <w:rPr>
          <w:rFonts w:hint="default" w:ascii="Times New Roman" w:hAnsi="Times New Roman" w:eastAsia="方正仿宋_GBK"/>
          <w:sz w:val="32"/>
          <w:szCs w:val="32"/>
          <w:shd w:val="clear" w:color="auto" w:fill="FFFFFF"/>
        </w:rPr>
        <w:t>较年初预算数增加64.13万元，增长32.6%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年中下达乡镇（街道）文服中心免费开放补助、体育彩票公益金区县分成。</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14"/>
          <w:rFonts w:hint="default" w:ascii="Times New Roman" w:hAnsi="Times New Roman" w:eastAsia="方正仿宋_GBK"/>
          <w:color w:val="auto"/>
          <w:sz w:val="32"/>
          <w:szCs w:val="32"/>
          <w:shd w:val="clear" w:color="auto" w:fill="FFFFFF"/>
        </w:rPr>
        <w:t>2</w:t>
      </w:r>
      <w:r>
        <w:rPr>
          <w:rStyle w:val="14"/>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261.09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与2023年度相比，减少20.29万元，下降7.2%</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厉行节约，减少年初预算。</w:t>
      </w:r>
      <w:r>
        <w:rPr>
          <w:rFonts w:hint="default" w:ascii="Times New Roman" w:hAnsi="Times New Roman" w:eastAsia="方正仿宋_GBK"/>
          <w:color w:val="auto"/>
          <w:sz w:val="32"/>
          <w:szCs w:val="32"/>
          <w:shd w:val="clear" w:color="auto" w:fill="FFFFFF"/>
        </w:rPr>
        <w:t>较年初预算数增加64.13万元，增长32.6%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年中下达乡镇（街道）文服中心免费开放补助、体育彩票公益金区县分成。</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一般公共预算财政拨款支出主要用途如下：</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215.03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82.4%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较年初预算数增加57.59万元，增长36.6%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年中下达乡镇（街道）文服中心免费开放补助、体育彩票公益金区县分成。</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）社会保障和就业支出</w:t>
      </w:r>
      <w:r>
        <w:rPr>
          <w:rFonts w:hint="default" w:ascii="Times New Roman" w:hAnsi="Times New Roman" w:eastAsia="方正仿宋_GBK"/>
          <w:color w:val="auto"/>
          <w:sz w:val="32"/>
          <w:szCs w:val="32"/>
          <w:shd w:val="clear" w:color="auto" w:fill="FFFFFF"/>
        </w:rPr>
        <w:t>35.36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13.5%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较年初预算数增加6.54万元，增长22.7%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人员变动社会保障经费调整、</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r>
        <w:rPr>
          <w:rFonts w:hint="eastAsia" w:ascii="方正仿宋_GBK" w:hAnsi="方正仿宋_GBK" w:eastAsia="方正仿宋_GBK" w:cs="方正仿宋_GBK"/>
          <w:color w:val="auto"/>
          <w:sz w:val="32"/>
          <w:szCs w:val="32"/>
          <w:shd w:val="clear" w:color="auto" w:fill="FFFFFF"/>
          <w:lang w:val="en-US" w:eastAsia="zh-CN"/>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5.71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4.99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14"/>
          <w:rFonts w:hint="default" w:ascii="Times New Roman" w:hAnsi="Times New Roman" w:eastAsia="方正仿宋_GBK"/>
          <w:color w:val="auto"/>
          <w:sz w:val="32"/>
          <w:szCs w:val="32"/>
          <w:shd w:val="clear" w:color="auto" w:fill="FFFFFF"/>
        </w:rPr>
        <w:t>3</w:t>
      </w:r>
      <w:r>
        <w:rPr>
          <w:rStyle w:val="14"/>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（四）一般公共预算财政拨款基本支出决算情况说明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208.03</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185.99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与2023年度相比，增加36.21万元，增长24.2%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方正仿宋_GBK"/>
          <w:color w:val="auto"/>
          <w:sz w:val="32"/>
          <w:szCs w:val="32"/>
          <w:highlight w:val="none"/>
        </w:rPr>
        <w:t>基本工资、津贴补贴、社会保障缴费、绩效工资、其他福利支出、退休费、其他对个人和家庭的补助支出。</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22.05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与2023年度相比，增加2.1万元，增长10.5%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方正仿宋_GBK"/>
          <w:color w:val="auto"/>
          <w:sz w:val="32"/>
          <w:szCs w:val="32"/>
          <w:highlight w:val="none"/>
        </w:rPr>
        <w:t>办公费、咨询费、差旅费、劳务费、维修费</w:t>
      </w:r>
      <w:r>
        <w:rPr>
          <w:rFonts w:hint="eastAsia" w:ascii="Times New Roman" w:hAnsi="Times New Roman" w:eastAsia="方正仿宋_GBK" w:cs="方正仿宋_GBK"/>
          <w:color w:val="auto"/>
          <w:sz w:val="32"/>
          <w:szCs w:val="32"/>
        </w:rPr>
        <w:t>、公务车运行维护费、水电费及其他商品服务支出。</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楷体" w:hAnsi="楷体" w:eastAsia="楷体" w:cs="楷体"/>
          <w:b/>
          <w:bCs/>
          <w:sz w:val="32"/>
          <w:szCs w:val="32"/>
          <w:shd w:val="clear" w:color="auto" w:fill="FFFFFF"/>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（五）政府性基金预算收支决算情况说明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与2023年度相比，增加8万元，增长100%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w:t>
      </w:r>
      <w:r>
        <w:rPr>
          <w:rFonts w:hint="eastAsia" w:ascii="方正仿宋_GBK" w:hAnsi="方正仿宋_GBK" w:eastAsia="方正仿宋_GBK" w:cs="方正仿宋_GBK"/>
          <w:color w:val="auto"/>
          <w:sz w:val="32"/>
          <w:szCs w:val="32"/>
          <w:shd w:val="clear" w:color="auto" w:fill="FFFFFF"/>
        </w:rPr>
        <w:t>体育彩票公益金区县分成</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与2023年度相比，增加8万元，增长100%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w:t>
      </w:r>
      <w:r>
        <w:rPr>
          <w:rFonts w:hint="eastAsia" w:ascii="方正仿宋_GBK" w:hAnsi="方正仿宋_GBK" w:eastAsia="方正仿宋_GBK" w:cs="方正仿宋_GBK"/>
          <w:color w:val="auto"/>
          <w:sz w:val="32"/>
          <w:szCs w:val="32"/>
          <w:shd w:val="clear" w:color="auto" w:fill="FFFFFF"/>
        </w:rPr>
        <w:t>体育彩票公益金区县分成</w:t>
      </w:r>
      <w:r>
        <w:rPr>
          <w:rFonts w:hint="eastAsia" w:ascii="方正仿宋_GBK" w:hAnsi="方正仿宋_GBK" w:eastAsia="方正仿宋_GBK" w:cs="方正仿宋_GBK"/>
          <w:color w:val="auto"/>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（六）国有资本经营预算财政拨款支出决算情况说明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rPr>
        <w:t>本单位202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年度无国有资本经营预算财政拨款支出。</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三、财政拨款“三公”经费情况说明</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（一）“三公”经费支出总体情况说明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highlight w:val="gree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较年初预算数减少22.39万元，下降97.4%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车辆维修及燃料费用减少。</w:t>
      </w:r>
      <w:r>
        <w:rPr>
          <w:rFonts w:hint="default" w:ascii="Times New Roman" w:hAnsi="Times New Roman" w:eastAsia="方正仿宋_GBK"/>
          <w:sz w:val="32"/>
          <w:szCs w:val="32"/>
          <w:shd w:val="clear" w:color="auto" w:fill="FFFFFF"/>
        </w:rPr>
        <w:t>较上年支出数增加0.47万元，增长335.7%</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highlight w:val="none"/>
          <w:shd w:val="clear" w:color="auto" w:fill="FFFFFF"/>
        </w:rPr>
        <w:t>是</w:t>
      </w:r>
      <w:r>
        <w:rPr>
          <w:rFonts w:hint="eastAsia" w:ascii="方正仿宋_GBK" w:hAnsi="方正仿宋_GBK" w:eastAsia="方正仿宋_GBK" w:cs="方正仿宋_GBK"/>
          <w:color w:val="auto"/>
          <w:sz w:val="32"/>
          <w:szCs w:val="32"/>
          <w:highlight w:val="none"/>
          <w:shd w:val="clear" w:color="auto" w:fill="FFFFFF"/>
          <w:lang w:val="en-US" w:eastAsia="zh-CN"/>
        </w:rPr>
        <w:t>统计口径不一致，</w:t>
      </w:r>
      <w:r>
        <w:rPr>
          <w:rFonts w:hint="default" w:ascii="Times New Roman" w:hAnsi="Times New Roman" w:eastAsia="方正仿宋_GBK" w:cs="Times New Roman"/>
          <w:color w:val="auto"/>
          <w:sz w:val="32"/>
          <w:szCs w:val="32"/>
          <w:highlight w:val="none"/>
          <w:shd w:val="clear" w:color="auto" w:fill="FFFFFF"/>
          <w:lang w:val="en-US" w:eastAsia="zh-CN"/>
        </w:rPr>
        <w:t>2023</w:t>
      </w:r>
      <w:r>
        <w:rPr>
          <w:rFonts w:hint="eastAsia" w:ascii="方正仿宋_GBK" w:hAnsi="方正仿宋_GBK" w:eastAsia="方正仿宋_GBK" w:cs="方正仿宋_GBK"/>
          <w:color w:val="auto"/>
          <w:sz w:val="32"/>
          <w:szCs w:val="32"/>
          <w:highlight w:val="none"/>
          <w:shd w:val="clear" w:color="auto" w:fill="FFFFFF"/>
          <w:lang w:val="en-US" w:eastAsia="zh-CN"/>
        </w:rPr>
        <w:t>年公务车运行维护费纳入了白市驿镇人民政府（本级）统计</w:t>
      </w:r>
      <w:r>
        <w:rPr>
          <w:rFonts w:ascii="方正仿宋_GBK" w:hAnsi="方正仿宋_GBK" w:eastAsia="方正仿宋_GBK" w:cs="方正仿宋_GBK"/>
          <w:color w:val="auto"/>
          <w:sz w:val="32"/>
          <w:szCs w:val="32"/>
          <w:highlight w:val="none"/>
          <w:shd w:val="clear" w:color="auto" w:fill="FFFFFF"/>
        </w:rPr>
        <w:t>。</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（二）“三公”经费分项支出情况</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rPr>
        <w:t>202</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年度本</w:t>
      </w:r>
      <w:r>
        <w:rPr>
          <w:rFonts w:hint="eastAsia" w:ascii="Times New Roman" w:hAnsi="Times New Roman" w:eastAsia="方正仿宋_GBK" w:cs="方正仿宋_GBK"/>
          <w:color w:val="auto"/>
          <w:sz w:val="32"/>
          <w:szCs w:val="32"/>
          <w:lang w:val="en-US" w:eastAsia="zh-CN"/>
        </w:rPr>
        <w:t>单位</w:t>
      </w:r>
      <w:r>
        <w:rPr>
          <w:rFonts w:hint="eastAsia" w:ascii="Times New Roman" w:hAnsi="Times New Roman" w:eastAsia="方正仿宋_GBK" w:cs="方正仿宋_GBK"/>
          <w:color w:val="auto"/>
          <w:sz w:val="32"/>
          <w:szCs w:val="32"/>
        </w:rPr>
        <w:t>未发生因公出国（境）费用。</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rPr>
        <w:t>202</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年度本</w:t>
      </w:r>
      <w:r>
        <w:rPr>
          <w:rFonts w:hint="eastAsia" w:ascii="Times New Roman" w:hAnsi="Times New Roman" w:eastAsia="方正仿宋_GBK" w:cs="方正仿宋_GBK"/>
          <w:color w:val="auto"/>
          <w:sz w:val="32"/>
          <w:szCs w:val="32"/>
          <w:lang w:val="en-US" w:eastAsia="zh-CN"/>
        </w:rPr>
        <w:t>单位</w:t>
      </w:r>
      <w:r>
        <w:rPr>
          <w:rFonts w:hint="eastAsia" w:ascii="Times New Roman" w:hAnsi="Times New Roman" w:eastAsia="方正仿宋_GBK" w:cs="方正仿宋_GBK"/>
          <w:color w:val="auto"/>
          <w:sz w:val="32"/>
          <w:szCs w:val="32"/>
        </w:rPr>
        <w:t>未发生</w:t>
      </w:r>
      <w:r>
        <w:rPr>
          <w:rFonts w:ascii="方正仿宋_GBK" w:hAnsi="方正仿宋_GBK" w:eastAsia="方正仿宋_GBK" w:cs="方正仿宋_GBK"/>
          <w:sz w:val="32"/>
          <w:szCs w:val="32"/>
          <w:shd w:val="clear" w:color="auto" w:fill="FFFFFF"/>
        </w:rPr>
        <w:t>公务用车购置费</w:t>
      </w:r>
      <w:r>
        <w:rPr>
          <w:rFonts w:hint="eastAsia" w:ascii="Times New Roman" w:hAnsi="Times New Roman" w:eastAsia="方正仿宋_GBK"/>
          <w:sz w:val="32"/>
          <w:szCs w:val="32"/>
          <w:shd w:val="clear" w:color="auto" w:fill="FFFFFF"/>
          <w:lang w:val="en-US" w:eastAsia="zh-CN"/>
        </w:rPr>
        <w:t>用。</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0.61</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cs="方正仿宋_GBK"/>
          <w:color w:val="auto"/>
          <w:sz w:val="32"/>
          <w:szCs w:val="32"/>
        </w:rPr>
        <w:t>机要文件交换、市内因公出行、业务检查、特种车辆等工作所需车辆的燃料费、维修费、过桥过路费、保险费等</w:t>
      </w:r>
      <w:r>
        <w:rPr>
          <w:rFonts w:hint="eastAsia" w:ascii="Times New Roman" w:hAnsi="Times New Roman"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较年初预算数减少4.39万元，下降87.8%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车辆维修及燃料费用减少</w:t>
      </w:r>
      <w:r>
        <w:rPr>
          <w:rFonts w:hint="eastAsia"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较上年支出数增加0.61万元，增长100%</w:t>
      </w:r>
      <w:r>
        <w:rPr>
          <w:rFonts w:ascii="方正仿宋_GBK" w:hAnsi="方正仿宋_GBK" w:eastAsia="方正仿宋_GBK" w:cs="方正仿宋_GBK"/>
          <w:sz w:val="32"/>
          <w:szCs w:val="32"/>
          <w:shd w:val="clear" w:color="auto" w:fill="FFFFFF"/>
        </w:rPr>
        <w:t>，主要原因</w:t>
      </w:r>
      <w:bookmarkStart w:id="0" w:name="_GoBack"/>
      <w:bookmarkEnd w:id="0"/>
      <w:r>
        <w:rPr>
          <w:rFonts w:ascii="方正仿宋_GBK" w:hAnsi="方正仿宋_GBK" w:eastAsia="方正仿宋_GBK" w:cs="方正仿宋_GBK"/>
          <w:color w:val="auto"/>
          <w:sz w:val="32"/>
          <w:szCs w:val="32"/>
          <w:highlight w:val="none"/>
          <w:shd w:val="clear" w:color="auto" w:fill="FFFFFF"/>
        </w:rPr>
        <w:t>是</w:t>
      </w:r>
      <w:r>
        <w:rPr>
          <w:rFonts w:hint="eastAsia" w:ascii="方正仿宋_GBK" w:hAnsi="方正仿宋_GBK" w:eastAsia="方正仿宋_GBK" w:cs="方正仿宋_GBK"/>
          <w:color w:val="auto"/>
          <w:sz w:val="32"/>
          <w:szCs w:val="32"/>
          <w:highlight w:val="none"/>
          <w:shd w:val="clear" w:color="auto" w:fill="FFFFFF"/>
          <w:lang w:val="en-US" w:eastAsia="zh-CN"/>
        </w:rPr>
        <w:t>统计口径不一致，</w:t>
      </w:r>
      <w:r>
        <w:rPr>
          <w:rFonts w:hint="default" w:ascii="Times New Roman" w:hAnsi="Times New Roman" w:eastAsia="方正仿宋_GBK" w:cs="Times New Roman"/>
          <w:color w:val="auto"/>
          <w:sz w:val="32"/>
          <w:szCs w:val="32"/>
          <w:highlight w:val="none"/>
          <w:shd w:val="clear" w:color="auto" w:fill="FFFFFF"/>
          <w:lang w:val="en-US" w:eastAsia="zh-CN"/>
        </w:rPr>
        <w:t>2023</w:t>
      </w:r>
      <w:r>
        <w:rPr>
          <w:rFonts w:hint="eastAsia" w:ascii="方正仿宋_GBK" w:hAnsi="方正仿宋_GBK" w:eastAsia="方正仿宋_GBK" w:cs="方正仿宋_GBK"/>
          <w:color w:val="auto"/>
          <w:sz w:val="32"/>
          <w:szCs w:val="32"/>
          <w:highlight w:val="none"/>
          <w:shd w:val="clear" w:color="auto" w:fill="FFFFFF"/>
          <w:lang w:val="en-US" w:eastAsia="zh-CN"/>
        </w:rPr>
        <w:t>年公务车运行维护费纳入了白市驿镇人民政府（本级）统计</w:t>
      </w:r>
      <w:r>
        <w:rPr>
          <w:rFonts w:ascii="方正仿宋_GBK" w:hAnsi="方正仿宋_GBK" w:eastAsia="方正仿宋_GBK" w:cs="方正仿宋_GBK"/>
          <w:color w:val="auto"/>
          <w:sz w:val="32"/>
          <w:szCs w:val="32"/>
          <w:highlight w:val="none"/>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方正仿宋_GBK"/>
          <w:color w:val="auto"/>
          <w:sz w:val="32"/>
          <w:szCs w:val="32"/>
        </w:rPr>
        <w:t>202</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年度本</w:t>
      </w:r>
      <w:r>
        <w:rPr>
          <w:rFonts w:hint="eastAsia" w:ascii="Times New Roman" w:hAnsi="Times New Roman" w:eastAsia="方正仿宋_GBK" w:cs="方正仿宋_GBK"/>
          <w:color w:val="auto"/>
          <w:sz w:val="32"/>
          <w:szCs w:val="32"/>
          <w:lang w:val="en-US" w:eastAsia="zh-CN"/>
        </w:rPr>
        <w:t>单位</w:t>
      </w:r>
      <w:r>
        <w:rPr>
          <w:rFonts w:hint="eastAsia" w:ascii="Times New Roman" w:hAnsi="Times New Roman" w:eastAsia="方正仿宋_GBK" w:cs="方正仿宋_GBK"/>
          <w:color w:val="auto"/>
          <w:sz w:val="32"/>
          <w:szCs w:val="32"/>
        </w:rPr>
        <w:t>未发生</w:t>
      </w:r>
      <w:r>
        <w:rPr>
          <w:rFonts w:ascii="方正仿宋_GBK" w:hAnsi="方正仿宋_GBK" w:eastAsia="方正仿宋_GBK" w:cs="方正仿宋_GBK"/>
          <w:sz w:val="32"/>
          <w:szCs w:val="32"/>
          <w:shd w:val="clear" w:color="auto" w:fill="FFFFFF"/>
        </w:rPr>
        <w:t>公务接待费</w:t>
      </w:r>
      <w:r>
        <w:rPr>
          <w:rFonts w:hint="eastAsia" w:ascii="Times New Roman" w:hAnsi="Times New Roman" w:eastAsia="方正仿宋_GBK"/>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（三）“三公”经费实物量情况</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原有</w:t>
      </w:r>
      <w:r>
        <w:rPr>
          <w:rFonts w:hint="default" w:ascii="Times New Roman" w:hAnsi="Times New Roman" w:eastAsia="方正仿宋_GBK" w:cs="Times New Roman"/>
          <w:sz w:val="32"/>
          <w:szCs w:val="32"/>
          <w:highlight w:val="none"/>
          <w:shd w:val="clear" w:color="auto" w:fill="FFFFFF"/>
          <w:lang w:val="en-US" w:eastAsia="zh-CN"/>
        </w:rPr>
        <w:t>1辆公务车于2024年12月下账</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shd w:val="clear" w:color="auto" w:fill="FFFFFF"/>
        </w:rPr>
        <w:t>；国内公务接待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.61</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四、其他需要说明的事项</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（一）财政拨款会议费、培训费和差旅费情况说明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与2023年度相比，增加0.29万元，增长87.9%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lang w:val="en-US" w:eastAsia="zh-CN"/>
        </w:rPr>
        <w:t>往年纳入其他科目核算的职工教育经费本年纳入了培训费科目核算。</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（二）机关运行经费情况说明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highlight w:val="yellow"/>
        </w:rPr>
      </w:pPr>
      <w:r>
        <w:rPr>
          <w:rFonts w:hint="eastAsia" w:ascii="Times New Roman" w:hAnsi="Times New Roman" w:eastAsia="方正仿宋_GBK" w:cs="方正仿宋_GBK"/>
          <w:color w:val="auto"/>
          <w:sz w:val="32"/>
          <w:szCs w:val="32"/>
          <w:shd w:val="clear" w:color="auto" w:fill="FFFFFF"/>
        </w:rPr>
        <w:t>按照部门决算列报口径，我单位不在机关运行经费统计范围之内。</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（三）国有资产占用情况说明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（四）政府采购支出情况说明</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年度我单位未发生政府采购事项，无相关经费支出。</w:t>
      </w:r>
    </w:p>
    <w:p>
      <w:pPr>
        <w:pStyle w:val="16"/>
        <w:keepNext w:val="0"/>
        <w:keepLines w:val="0"/>
        <w:pageBreakBefore w:val="0"/>
        <w:kinsoku/>
        <w:wordWrap/>
        <w:overflowPunct/>
        <w:topLinePunct w:val="0"/>
        <w:autoSpaceDN/>
        <w:bidi w:val="0"/>
        <w:adjustRightInd/>
        <w:spacing w:before="0" w:beforeAutospacing="0" w:after="0" w:afterAutospacing="0" w:line="600" w:lineRule="exact"/>
        <w:ind w:left="638" w:leftChars="266" w:firstLine="0" w:firstLineChars="0"/>
        <w:textAlignment w:val="auto"/>
        <w:rPr>
          <w:rStyle w:val="14"/>
          <w:rFonts w:hint="eastAsia" w:ascii="黑体" w:hAnsi="黑体" w:eastAsia="黑体" w:cs="黑体"/>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（一）单位自评情况</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rPr>
        <w:t>根据预算绩效管理要求，我单位对</w:t>
      </w:r>
      <w:r>
        <w:rPr>
          <w:rFonts w:hint="eastAsia" w:ascii="Times New Roman" w:hAnsi="Times New Roman" w:eastAsia="方正仿宋_GBK" w:cs="方正仿宋_GBK"/>
          <w:color w:val="auto"/>
          <w:sz w:val="32"/>
          <w:szCs w:val="32"/>
          <w:shd w:val="clear" w:color="auto" w:fill="FFFFFF"/>
          <w:lang w:val="en-US" w:eastAsia="zh-CN"/>
        </w:rPr>
        <w:t>6</w:t>
      </w:r>
      <w:r>
        <w:rPr>
          <w:rFonts w:hint="eastAsia" w:ascii="Times New Roman" w:hAnsi="Times New Roman" w:eastAsia="方正仿宋_GBK" w:cs="方正仿宋_GBK"/>
          <w:color w:val="auto"/>
          <w:sz w:val="32"/>
          <w:szCs w:val="32"/>
          <w:shd w:val="clear" w:color="auto" w:fill="FFFFFF"/>
        </w:rPr>
        <w:t>个二级项目开展了绩效自评，涉及财政拨款项目支出资金</w:t>
      </w:r>
      <w:r>
        <w:rPr>
          <w:rFonts w:hint="eastAsia" w:ascii="Times New Roman" w:hAnsi="Times New Roman" w:eastAsia="方正仿宋_GBK" w:cs="方正仿宋_GBK"/>
          <w:color w:val="auto"/>
          <w:sz w:val="32"/>
          <w:szCs w:val="32"/>
          <w:shd w:val="clear" w:color="auto" w:fill="FFFFFF"/>
          <w:lang w:val="en-US" w:eastAsia="zh-CN"/>
        </w:rPr>
        <w:t>61.06</w:t>
      </w:r>
      <w:r>
        <w:rPr>
          <w:rFonts w:hint="eastAsia" w:ascii="Times New Roman" w:hAnsi="Times New Roman" w:eastAsia="方正仿宋_GBK" w:cs="方正仿宋_GBK"/>
          <w:color w:val="auto"/>
          <w:sz w:val="32"/>
          <w:szCs w:val="32"/>
          <w:shd w:val="clear" w:color="auto" w:fill="FFFFFF"/>
        </w:rPr>
        <w:t>万元</w:t>
      </w:r>
      <w:r>
        <w:rPr>
          <w:rFonts w:hint="eastAsia" w:ascii="Times New Roman" w:hAnsi="Times New Roman" w:eastAsia="方正仿宋_GBK" w:cs="方正仿宋_GBK"/>
          <w:color w:val="auto"/>
          <w:sz w:val="32"/>
          <w:szCs w:val="32"/>
          <w:shd w:val="clear" w:color="auto" w:fill="FFFFFF"/>
          <w:lang w:eastAsia="zh-CN"/>
        </w:rPr>
        <w:t>。</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rPr>
        <w:t>项目支出绩效自评表（二级项目）</w:t>
      </w:r>
      <w:r>
        <w:rPr>
          <w:rFonts w:hint="eastAsia" w:ascii="Times New Roman" w:hAnsi="Times New Roman" w:eastAsia="方正仿宋_GBK" w:cs="方正仿宋_GBK"/>
          <w:color w:val="auto"/>
          <w:sz w:val="32"/>
          <w:szCs w:val="32"/>
          <w:shd w:val="clear" w:color="auto" w:fill="FFFFFF"/>
          <w:lang w:eastAsia="zh-CN"/>
        </w:rPr>
        <w:t>。</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p>
    <w:tbl>
      <w:tblPr>
        <w:tblStyle w:val="11"/>
        <w:tblW w:w="9162" w:type="dxa"/>
        <w:tblInd w:w="-45" w:type="dxa"/>
        <w:shd w:val="clear" w:color="auto" w:fill="auto"/>
        <w:tblLayout w:type="fixed"/>
        <w:tblCellMar>
          <w:top w:w="0" w:type="dxa"/>
          <w:left w:w="0" w:type="dxa"/>
          <w:bottom w:w="0" w:type="dxa"/>
          <w:right w:w="0" w:type="dxa"/>
        </w:tblCellMar>
      </w:tblPr>
      <w:tblGrid>
        <w:gridCol w:w="1144"/>
        <w:gridCol w:w="391"/>
        <w:gridCol w:w="484"/>
        <w:gridCol w:w="542"/>
        <w:gridCol w:w="553"/>
        <w:gridCol w:w="242"/>
        <w:gridCol w:w="73"/>
        <w:gridCol w:w="722"/>
        <w:gridCol w:w="68"/>
        <w:gridCol w:w="1150"/>
        <w:gridCol w:w="197"/>
        <w:gridCol w:w="85"/>
        <w:gridCol w:w="361"/>
        <w:gridCol w:w="756"/>
        <w:gridCol w:w="744"/>
        <w:gridCol w:w="158"/>
        <w:gridCol w:w="632"/>
        <w:gridCol w:w="860"/>
      </w:tblGrid>
      <w:tr>
        <w:tblPrEx>
          <w:tblCellMar>
            <w:top w:w="0" w:type="dxa"/>
            <w:left w:w="0" w:type="dxa"/>
            <w:bottom w:w="0" w:type="dxa"/>
            <w:right w:w="0" w:type="dxa"/>
          </w:tblCellMar>
        </w:tblPrEx>
        <w:trPr>
          <w:trHeight w:val="571" w:hRule="atLeas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6"/>
                <w:szCs w:val="36"/>
                <w:u w:val="none"/>
                <w:lang w:val="en-US" w:eastAsia="zh-CN" w:bidi="ar"/>
              </w:rPr>
              <w:t>2024年度二级项目绩效自评表</w:t>
            </w:r>
          </w:p>
        </w:tc>
      </w:tr>
      <w:tr>
        <w:tblPrEx>
          <w:shd w:val="clear" w:color="auto" w:fill="auto"/>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97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2024年度-白市驿镇文化遗产保护项目</w:t>
            </w:r>
          </w:p>
        </w:tc>
        <w:tc>
          <w:tcPr>
            <w:tcW w:w="103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50019324T000004168983</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100 </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97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302-重庆市九龙坡区白市驿镇人民政府</w:t>
            </w:r>
          </w:p>
        </w:tc>
        <w:tc>
          <w:tcPr>
            <w:tcW w:w="103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003-预算科</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杨琰</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6570</w:t>
            </w:r>
            <w:r>
              <w:rPr>
                <w:rFonts w:hint="eastAsia" w:cs="宋体"/>
                <w:i w:val="0"/>
                <w:color w:val="000000"/>
                <w:kern w:val="0"/>
                <w:sz w:val="20"/>
                <w:szCs w:val="20"/>
                <w:u w:val="none"/>
                <w:lang w:val="en-US" w:eastAsia="zh-CN" w:bidi="ar"/>
              </w:rPr>
              <w:t>2388</w:t>
            </w:r>
          </w:p>
        </w:tc>
      </w:tr>
      <w:tr>
        <w:tblPrEx>
          <w:shd w:val="clear" w:color="auto" w:fill="auto"/>
          <w:tblCellMar>
            <w:top w:w="0" w:type="dxa"/>
            <w:left w:w="0" w:type="dxa"/>
            <w:bottom w:w="0" w:type="dxa"/>
            <w:right w:w="0" w:type="dxa"/>
          </w:tblCellMar>
        </w:tblPrEx>
        <w:trPr>
          <w:trHeight w:val="482"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资金情况</w:t>
            </w:r>
          </w:p>
        </w:tc>
      </w:tr>
      <w:tr>
        <w:tblPrEx>
          <w:shd w:val="clear" w:color="auto" w:fill="auto"/>
          <w:tblCellMar>
            <w:top w:w="0" w:type="dxa"/>
            <w:left w:w="0" w:type="dxa"/>
            <w:bottom w:w="0" w:type="dxa"/>
            <w:right w:w="0" w:type="dxa"/>
          </w:tblCellMar>
        </w:tblPrEx>
        <w:trPr>
          <w:trHeight w:val="593" w:hRule="atLeast"/>
        </w:trPr>
        <w:tc>
          <w:tcPr>
            <w:tcW w:w="201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410"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1940"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1399"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8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执行率</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tblPrEx>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r>
              <w:rPr>
                <w:rFonts w:hint="eastAsia" w:ascii="宋体" w:hAnsi="宋体" w:eastAsia="宋体" w:cs="宋体"/>
                <w:i w:val="0"/>
                <w:color w:val="000000"/>
                <w:kern w:val="0"/>
                <w:sz w:val="20"/>
                <w:szCs w:val="20"/>
                <w:u w:val="none"/>
                <w:lang w:val="en-US" w:eastAsia="zh-CN" w:bidi="ar"/>
              </w:rPr>
              <w:t xml:space="preserve"> </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643"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643"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pageBreakBefore w:val="0"/>
              <w:widowControl/>
              <w:suppressLineNumbers w:val="0"/>
              <w:kinsoku/>
              <w:wordWrap/>
              <w:overflowPunct/>
              <w:topLinePunct w:val="0"/>
              <w:autoSpaceDE/>
              <w:autoSpaceDN/>
              <w:bidi w:val="0"/>
              <w:adjustRightInd/>
              <w:snapToGrid/>
              <w:ind w:right="-240" w:rightChars="-100"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10</w:t>
            </w:r>
          </w:p>
        </w:tc>
      </w:tr>
      <w:tr>
        <w:tblPrEx>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643"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trHeight w:val="482"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绩效目标</w:t>
            </w:r>
          </w:p>
        </w:tc>
      </w:tr>
      <w:tr>
        <w:tblPrEx>
          <w:tblCellMar>
            <w:top w:w="0" w:type="dxa"/>
            <w:left w:w="0" w:type="dxa"/>
            <w:bottom w:w="0" w:type="dxa"/>
            <w:right w:w="0" w:type="dxa"/>
          </w:tblCellMar>
        </w:tblPrEx>
        <w:trPr>
          <w:trHeight w:val="413" w:hRule="atLeast"/>
        </w:trPr>
        <w:tc>
          <w:tcPr>
            <w:tcW w:w="3356" w:type="dxa"/>
            <w:gridSpan w:val="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2210" w:type="dxa"/>
            <w:gridSpan w:val="5"/>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3596" w:type="dxa"/>
            <w:gridSpan w:val="7"/>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tblCellMar>
            <w:top w:w="0" w:type="dxa"/>
            <w:left w:w="0" w:type="dxa"/>
            <w:bottom w:w="0" w:type="dxa"/>
            <w:right w:w="0" w:type="dxa"/>
          </w:tblCellMar>
        </w:tblPrEx>
        <w:trPr>
          <w:trHeight w:val="1434" w:hRule="atLeast"/>
        </w:trPr>
        <w:tc>
          <w:tcPr>
            <w:tcW w:w="3356"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年完成川剧班期演出、川剧进农村演出11场、第三届川剧文化展演季；完成文化作品创作、川剧新剧创演；保障川剧联合会日常运营及白市驿川剧院日常维保。突出“川剧之乡”文化特色，保护文化遗产和非遗文化传承，打造“白市驿镇文化遗产保护项目”，为“四城”建设注入文化力量。</w:t>
            </w:r>
          </w:p>
        </w:tc>
        <w:tc>
          <w:tcPr>
            <w:tcW w:w="2210" w:type="dxa"/>
            <w:gridSpan w:val="5"/>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3596" w:type="dxa"/>
            <w:gridSpan w:val="7"/>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年完成了川剧班期演出、川剧进农村演出11场、第三届川剧文化展演季；完成文化作品创作、川剧新剧创演；保障川剧联合会日常运营及白市驿川剧院日常维保。突出“川剧之乡”文化特色，保护文化遗产和非遗文化传承，打造“白市驿镇文化遗产保护项目”，为“四城”建设注入了文化力量，群众满意度达100%。</w:t>
            </w:r>
          </w:p>
        </w:tc>
      </w:tr>
    </w:tbl>
    <w:tbl>
      <w:tblPr>
        <w:tblStyle w:val="12"/>
        <w:tblW w:w="9192"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681"/>
        <w:gridCol w:w="660"/>
        <w:gridCol w:w="772"/>
        <w:gridCol w:w="839"/>
        <w:gridCol w:w="839"/>
        <w:gridCol w:w="850"/>
        <w:gridCol w:w="664"/>
        <w:gridCol w:w="628"/>
        <w:gridCol w:w="826"/>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9192" w:type="dxa"/>
            <w:gridSpan w:val="11"/>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微软雅黑" w:hAnsi="微软雅黑" w:eastAsia="微软雅黑" w:cs="微软雅黑"/>
                <w:b/>
                <w:i w:val="0"/>
                <w:color w:val="808080"/>
                <w:kern w:val="0"/>
                <w:sz w:val="24"/>
                <w:szCs w:val="24"/>
                <w:u w:val="none"/>
                <w:lang w:val="en-US" w:eastAsia="zh-CN" w:bidi="ar"/>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指标名称</w:t>
            </w:r>
          </w:p>
        </w:tc>
        <w:tc>
          <w:tcPr>
            <w:tcW w:w="681"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计量单位</w:t>
            </w:r>
          </w:p>
        </w:tc>
        <w:tc>
          <w:tcPr>
            <w:tcW w:w="660"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指标性质</w:t>
            </w:r>
          </w:p>
        </w:tc>
        <w:tc>
          <w:tcPr>
            <w:tcW w:w="772"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指标值</w:t>
            </w:r>
          </w:p>
        </w:tc>
        <w:tc>
          <w:tcPr>
            <w:tcW w:w="839"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全年</w:t>
            </w:r>
          </w:p>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完成值</w:t>
            </w:r>
          </w:p>
        </w:tc>
        <w:tc>
          <w:tcPr>
            <w:tcW w:w="839"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偏离度（%）</w:t>
            </w:r>
          </w:p>
        </w:tc>
        <w:tc>
          <w:tcPr>
            <w:tcW w:w="850"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得分系数（%）</w:t>
            </w:r>
          </w:p>
        </w:tc>
        <w:tc>
          <w:tcPr>
            <w:tcW w:w="664"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指标权重</w:t>
            </w:r>
          </w:p>
        </w:tc>
        <w:tc>
          <w:tcPr>
            <w:tcW w:w="628"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指标得分</w:t>
            </w:r>
          </w:p>
        </w:tc>
        <w:tc>
          <w:tcPr>
            <w:tcW w:w="826"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是否核心指标</w:t>
            </w:r>
          </w:p>
        </w:tc>
        <w:tc>
          <w:tcPr>
            <w:tcW w:w="802"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开展文化展演次</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次</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文化作品创作</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演出场次</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场</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802"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验收合格率</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及时完成率</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保护文化遗产和非遗传承</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保护</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可持续影响年度</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年</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群众满意度</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11.11</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bl>
    <w:tbl>
      <w:tblPr>
        <w:tblStyle w:val="11"/>
        <w:tblW w:w="9192" w:type="dxa"/>
        <w:tblInd w:w="-45" w:type="dxa"/>
        <w:shd w:val="clear" w:color="auto" w:fill="auto"/>
        <w:tblLayout w:type="fixed"/>
        <w:tblCellMar>
          <w:top w:w="0" w:type="dxa"/>
          <w:left w:w="0" w:type="dxa"/>
          <w:bottom w:w="0" w:type="dxa"/>
          <w:right w:w="0" w:type="dxa"/>
        </w:tblCellMar>
      </w:tblPr>
      <w:tblGrid>
        <w:gridCol w:w="1144"/>
        <w:gridCol w:w="391"/>
        <w:gridCol w:w="484"/>
        <w:gridCol w:w="542"/>
        <w:gridCol w:w="553"/>
        <w:gridCol w:w="242"/>
        <w:gridCol w:w="73"/>
        <w:gridCol w:w="722"/>
        <w:gridCol w:w="68"/>
        <w:gridCol w:w="1150"/>
        <w:gridCol w:w="197"/>
        <w:gridCol w:w="85"/>
        <w:gridCol w:w="361"/>
        <w:gridCol w:w="756"/>
        <w:gridCol w:w="744"/>
        <w:gridCol w:w="158"/>
        <w:gridCol w:w="632"/>
        <w:gridCol w:w="860"/>
      </w:tblGrid>
      <w:tr>
        <w:tblPrEx>
          <w:shd w:val="clear" w:color="auto" w:fill="auto"/>
          <w:tblCellMar>
            <w:top w:w="0" w:type="dxa"/>
            <w:left w:w="0" w:type="dxa"/>
            <w:bottom w:w="0" w:type="dxa"/>
            <w:right w:w="0" w:type="dxa"/>
          </w:tblCellMar>
        </w:tblPrEx>
        <w:trPr>
          <w:trHeight w:val="719" w:hRule="atLeas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6"/>
                <w:szCs w:val="36"/>
                <w:u w:val="none"/>
                <w:lang w:val="en-US" w:eastAsia="zh-CN" w:bidi="ar"/>
              </w:rPr>
              <w:t>2024年度二级项目绩效自评表</w:t>
            </w:r>
          </w:p>
        </w:tc>
      </w:tr>
      <w:tr>
        <w:tblPrEx>
          <w:shd w:val="clear" w:color="auto" w:fill="auto"/>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97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体育彩票公益金区县分成</w:t>
            </w:r>
          </w:p>
        </w:tc>
        <w:tc>
          <w:tcPr>
            <w:tcW w:w="103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50019324T000004489773</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100 </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97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302-重庆市九龙坡区白市驿镇人民政府</w:t>
            </w:r>
          </w:p>
        </w:tc>
        <w:tc>
          <w:tcPr>
            <w:tcW w:w="103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003-预算科</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杨琰</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6570</w:t>
            </w:r>
            <w:r>
              <w:rPr>
                <w:rFonts w:hint="eastAsia" w:cs="宋体"/>
                <w:i w:val="0"/>
                <w:color w:val="000000"/>
                <w:kern w:val="0"/>
                <w:sz w:val="20"/>
                <w:szCs w:val="20"/>
                <w:u w:val="none"/>
                <w:lang w:val="en-US" w:eastAsia="zh-CN" w:bidi="ar"/>
              </w:rPr>
              <w:t>2388</w:t>
            </w:r>
          </w:p>
        </w:tc>
      </w:tr>
      <w:tr>
        <w:tblPrEx>
          <w:shd w:val="clear" w:color="auto" w:fill="auto"/>
          <w:tblCellMar>
            <w:top w:w="0" w:type="dxa"/>
            <w:left w:w="0" w:type="dxa"/>
            <w:bottom w:w="0" w:type="dxa"/>
            <w:right w:w="0" w:type="dxa"/>
          </w:tblCellMar>
        </w:tblPrEx>
        <w:trPr>
          <w:trHeight w:val="520"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资金情况</w:t>
            </w:r>
          </w:p>
        </w:tc>
      </w:tr>
      <w:tr>
        <w:tblPrEx>
          <w:shd w:val="clear" w:color="auto" w:fill="auto"/>
          <w:tblCellMar>
            <w:top w:w="0" w:type="dxa"/>
            <w:left w:w="0" w:type="dxa"/>
            <w:bottom w:w="0" w:type="dxa"/>
            <w:right w:w="0" w:type="dxa"/>
          </w:tblCellMar>
        </w:tblPrEx>
        <w:trPr>
          <w:trHeight w:val="593" w:hRule="atLeast"/>
        </w:trPr>
        <w:tc>
          <w:tcPr>
            <w:tcW w:w="201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410"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1940"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1399"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8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执行率</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tblPrEx>
          <w:shd w:val="clear" w:color="auto" w:fill="auto"/>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 </w:t>
            </w:r>
          </w:p>
        </w:tc>
        <w:tc>
          <w:tcPr>
            <w:tcW w:w="643"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 </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 </w:t>
            </w:r>
          </w:p>
        </w:tc>
        <w:tc>
          <w:tcPr>
            <w:tcW w:w="643"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 </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pageBreakBefore w:val="0"/>
              <w:widowControl/>
              <w:suppressLineNumbers w:val="0"/>
              <w:kinsoku/>
              <w:wordWrap/>
              <w:overflowPunct/>
              <w:topLinePunct w:val="0"/>
              <w:autoSpaceDE/>
              <w:autoSpaceDN/>
              <w:bidi w:val="0"/>
              <w:adjustRightInd/>
              <w:snapToGrid/>
              <w:ind w:right="-240" w:rightChars="-100"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643"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608"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绩效目标</w:t>
            </w:r>
          </w:p>
        </w:tc>
      </w:tr>
      <w:tr>
        <w:tblPrEx>
          <w:shd w:val="clear" w:color="auto" w:fill="auto"/>
          <w:tblCellMar>
            <w:top w:w="0" w:type="dxa"/>
            <w:left w:w="0" w:type="dxa"/>
            <w:bottom w:w="0" w:type="dxa"/>
            <w:right w:w="0" w:type="dxa"/>
          </w:tblCellMar>
        </w:tblPrEx>
        <w:trPr>
          <w:trHeight w:val="413" w:hRule="atLeast"/>
        </w:trPr>
        <w:tc>
          <w:tcPr>
            <w:tcW w:w="3356" w:type="dxa"/>
            <w:gridSpan w:val="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2210" w:type="dxa"/>
            <w:gridSpan w:val="5"/>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3596" w:type="dxa"/>
            <w:gridSpan w:val="7"/>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shd w:val="clear" w:color="auto" w:fill="auto"/>
        </w:tblPrEx>
        <w:trPr>
          <w:trHeight w:val="1434" w:hRule="atLeast"/>
        </w:trPr>
        <w:tc>
          <w:tcPr>
            <w:tcW w:w="3356"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多形式多层次普及全民健身文化，加强全民健身宣传教育，提升群众健身娱乐及满意度，推动全面健身事业发展。</w:t>
            </w:r>
          </w:p>
        </w:tc>
        <w:tc>
          <w:tcPr>
            <w:tcW w:w="2210" w:type="dxa"/>
            <w:gridSpan w:val="5"/>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多形式多层次普及全民健身文化，加强全民健身宣传教育，提升群众健身娱乐及满意度，推动全面健身事业发展。</w:t>
            </w:r>
          </w:p>
        </w:tc>
        <w:tc>
          <w:tcPr>
            <w:tcW w:w="3596" w:type="dxa"/>
            <w:gridSpan w:val="7"/>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多形式多层次普及全民健身文化，加强全民健身宣传教育，提升了群众健身娱乐及满意度，高达95%，全面推动了健身事业的发展。</w:t>
            </w:r>
          </w:p>
        </w:tc>
      </w:tr>
    </w:tbl>
    <w:tbl>
      <w:tblPr>
        <w:tblStyle w:val="12"/>
        <w:tblW w:w="9192"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681"/>
        <w:gridCol w:w="660"/>
        <w:gridCol w:w="772"/>
        <w:gridCol w:w="839"/>
        <w:gridCol w:w="839"/>
        <w:gridCol w:w="850"/>
        <w:gridCol w:w="664"/>
        <w:gridCol w:w="628"/>
        <w:gridCol w:w="826"/>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9192" w:type="dxa"/>
            <w:gridSpan w:val="11"/>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微软雅黑" w:hAnsi="微软雅黑" w:eastAsia="微软雅黑" w:cs="微软雅黑"/>
                <w:b/>
                <w:i w:val="0"/>
                <w:color w:val="808080"/>
                <w:kern w:val="0"/>
                <w:sz w:val="24"/>
                <w:szCs w:val="24"/>
                <w:u w:val="none"/>
                <w:lang w:val="en-US" w:eastAsia="zh-CN" w:bidi="ar"/>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指标名称</w:t>
            </w:r>
          </w:p>
        </w:tc>
        <w:tc>
          <w:tcPr>
            <w:tcW w:w="681"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计量单位</w:t>
            </w:r>
          </w:p>
        </w:tc>
        <w:tc>
          <w:tcPr>
            <w:tcW w:w="660"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指标性质</w:t>
            </w:r>
          </w:p>
        </w:tc>
        <w:tc>
          <w:tcPr>
            <w:tcW w:w="772"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指标值</w:t>
            </w:r>
          </w:p>
        </w:tc>
        <w:tc>
          <w:tcPr>
            <w:tcW w:w="839"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全年</w:t>
            </w:r>
          </w:p>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完成值</w:t>
            </w:r>
          </w:p>
        </w:tc>
        <w:tc>
          <w:tcPr>
            <w:tcW w:w="839"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偏离度（%）</w:t>
            </w:r>
          </w:p>
        </w:tc>
        <w:tc>
          <w:tcPr>
            <w:tcW w:w="850"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得分系数（%）</w:t>
            </w:r>
          </w:p>
        </w:tc>
        <w:tc>
          <w:tcPr>
            <w:tcW w:w="664"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指标权重</w:t>
            </w:r>
          </w:p>
        </w:tc>
        <w:tc>
          <w:tcPr>
            <w:tcW w:w="628"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指标得分</w:t>
            </w:r>
          </w:p>
        </w:tc>
        <w:tc>
          <w:tcPr>
            <w:tcW w:w="826"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是否核心指标</w:t>
            </w:r>
          </w:p>
        </w:tc>
        <w:tc>
          <w:tcPr>
            <w:tcW w:w="802"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参与活动人次</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802"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举办活动场次</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场次</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802"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举办活动完成率</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802"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全民健身事业发展</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有效促进</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全民健身宣传教育</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加强</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提升群众健身娱乐满意度</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5.56</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bl>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0" w:firstLineChars="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我单位未组织开展绩效评价。</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（三）财政绩效评价情况</w:t>
      </w:r>
    </w:p>
    <w:p>
      <w:pPr>
        <w:pStyle w:val="15"/>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仿宋_GBK"/>
          <w:bCs/>
          <w:sz w:val="32"/>
          <w:szCs w:val="32"/>
        </w:rPr>
      </w:pPr>
      <w:r>
        <w:rPr>
          <w:rFonts w:hint="eastAsia" w:ascii="Times New Roman" w:hAnsi="Times New Roman" w:eastAsia="方正仿宋_GBK" w:cs="方正仿宋_GBK"/>
          <w:color w:val="auto"/>
          <w:sz w:val="32"/>
          <w:szCs w:val="32"/>
          <w:shd w:val="clear" w:color="auto" w:fill="FFFFFF"/>
          <w:lang w:val="en-US" w:eastAsia="zh-CN" w:bidi="ar-SA"/>
        </w:rPr>
        <w:t>重庆高新区财政局未委托第三方对我单位开展绩效评价。</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6"/>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highlight w:val="none"/>
          <w:shd w:val="clear" w:color="auto" w:fill="FFFFFF"/>
          <w:lang w:val="en-US" w:eastAsia="zh-CN"/>
        </w:rPr>
        <w:t>023</w:t>
      </w:r>
      <w:r>
        <w:rPr>
          <w:rFonts w:hint="eastAsia" w:ascii="方正仿宋_GBK" w:hAnsi="方正仿宋_GBK" w:eastAsia="方正仿宋_GBK" w:cs="方正仿宋_GBK"/>
          <w:color w:val="auto"/>
          <w:sz w:val="32"/>
          <w:szCs w:val="32"/>
          <w:highlight w:val="none"/>
          <w:shd w:val="clear" w:color="auto" w:fill="FFFFFF"/>
          <w:lang w:val="en-US" w:eastAsia="zh-CN"/>
        </w:rPr>
        <w:t>-</w:t>
      </w:r>
      <w:r>
        <w:rPr>
          <w:rFonts w:hint="eastAsia" w:ascii="Times New Roman" w:hAnsi="Times New Roman" w:eastAsia="方正仿宋_GBK" w:cs="方正仿宋_GBK"/>
          <w:color w:val="auto"/>
          <w:sz w:val="32"/>
          <w:szCs w:val="32"/>
          <w:highlight w:val="none"/>
          <w:shd w:val="clear" w:color="auto" w:fill="FFFFFF"/>
          <w:lang w:val="en-US" w:eastAsia="zh-CN"/>
        </w:rPr>
        <w:t>65707445。</w:t>
      </w:r>
    </w:p>
    <w:p>
      <w:pPr>
        <w:pStyle w:val="15"/>
        <w:autoSpaceDE w:val="0"/>
        <w:spacing w:line="596" w:lineRule="exact"/>
        <w:ind w:firstLine="643"/>
        <w:jc w:val="both"/>
        <w:rPr>
          <w:rStyle w:val="14"/>
          <w:rFonts w:hint="eastAsia"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重庆市九龙坡区白市驿镇文化服务中心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261.09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269.09</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sz w:val="20"/>
                <w:u w:color="auto"/>
              </w:rPr>
              <w:t>重庆市九龙坡区白市驿镇文化服务中心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269.09</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269.09</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图书馆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重庆市九龙坡区白市驿镇文化服务中心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269.09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208.03</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61.06</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图书馆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164.03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261.09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269.09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269.09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800"/>
        <w:gridCol w:w="503"/>
        <w:gridCol w:w="2307"/>
        <w:gridCol w:w="1541"/>
        <w:gridCol w:w="224"/>
        <w:gridCol w:w="647"/>
        <w:gridCol w:w="2032"/>
        <w:gridCol w:w="628"/>
        <w:gridCol w:w="791"/>
        <w:gridCol w:w="870"/>
        <w:gridCol w:w="1633"/>
        <w:gridCol w:w="1829"/>
        <w:gridCol w:w="1502"/>
        <w:gridCol w:w="15"/>
      </w:tblGrid>
      <w:tr>
        <w:tblPrEx>
          <w:tblCellMar>
            <w:top w:w="0" w:type="dxa"/>
            <w:left w:w="0" w:type="dxa"/>
            <w:bottom w:w="0" w:type="dxa"/>
            <w:right w:w="0" w:type="dxa"/>
          </w:tblCellMar>
        </w:tblPrEx>
        <w:trPr>
          <w:trHeight w:val="510" w:hRule="atLeast"/>
        </w:trPr>
        <w:tc>
          <w:tcPr>
            <w:tcW w:w="5000" w:type="pct"/>
            <w:gridSpan w:val="1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3" w:type="pct"/>
            <w:gridSpan w:val="8"/>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重庆市九龙坡区白市驿镇文化服务中心</w:t>
            </w:r>
          </w:p>
        </w:tc>
        <w:tc>
          <w:tcPr>
            <w:tcW w:w="1075"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90" w:type="pct"/>
            <w:gridSpan w:val="3"/>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3" w:type="pct"/>
            <w:gridSpan w:val="8"/>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75"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90" w:type="pct"/>
            <w:gridSpan w:val="3"/>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4"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5" w:type="pct"/>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5"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5"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90"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5"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5"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90"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5"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5"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90"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4" w:type="pct"/>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261.09</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208.03</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164.03</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164.03</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2070104</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图书馆</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2070109</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群众文化</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183.63</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164.03</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35.36</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9.62</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9.62</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18.84</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18.84</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gridAfter w:val="1"/>
          <w:wAfter w:w="5" w:type="pct"/>
          <w:trHeight w:val="90" w:hRule="atLeast"/>
        </w:trPr>
        <w:tc>
          <w:tcPr>
            <w:tcW w:w="4994" w:type="pct"/>
            <w:gridSpan w:val="13"/>
            <w:tcBorders>
              <w:top w:val="nil"/>
              <w:left w:val="nil"/>
              <w:bottom w:val="nil"/>
              <w:right w:val="nil"/>
            </w:tcBorders>
            <w:shd w:val="clear" w:color="auto" w:fill="auto"/>
            <w:noWrap/>
            <w:tcMar>
              <w:top w:w="15" w:type="dxa"/>
              <w:left w:w="15" w:type="dxa"/>
              <w:right w:w="15" w:type="dxa"/>
            </w:tcMar>
            <w:vAlign w:val="bottom"/>
          </w:tcPr>
          <w:p>
            <w:pPr>
              <w:jc w:val="center"/>
              <w:rPr>
                <w:rFonts w:cs="宋体"/>
                <w:b/>
                <w:color w:val="000000"/>
                <w:sz w:val="32"/>
                <w:szCs w:val="32"/>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b/>
                <w:color w:val="000000"/>
                <w:sz w:val="32"/>
                <w:szCs w:val="32"/>
              </w:rPr>
              <w:t>一般公共预算财政拨款基本支出决算表</w:t>
            </w:r>
          </w:p>
        </w:tc>
      </w:tr>
      <w:tr>
        <w:tblPrEx>
          <w:tblCellMar>
            <w:top w:w="0" w:type="dxa"/>
            <w:left w:w="0" w:type="dxa"/>
            <w:bottom w:w="0" w:type="dxa"/>
            <w:right w:w="0" w:type="dxa"/>
          </w:tblCellMar>
        </w:tblPrEx>
        <w:trPr>
          <w:gridAfter w:val="1"/>
          <w:wAfter w:w="5" w:type="pct"/>
          <w:trHeight w:val="334" w:hRule="atLeast"/>
        </w:trPr>
        <w:tc>
          <w:tcPr>
            <w:tcW w:w="2628" w:type="pct"/>
            <w:gridSpan w:val="7"/>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重庆市九龙坡区白市驿镇文化服务中心</w:t>
            </w:r>
          </w:p>
        </w:tc>
        <w:tc>
          <w:tcPr>
            <w:tcW w:w="462"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29"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gridAfter w:val="1"/>
          <w:wAfter w:w="5" w:type="pct"/>
          <w:trHeight w:val="520" w:hRule="atLeast"/>
        </w:trPr>
        <w:tc>
          <w:tcPr>
            <w:tcW w:w="2628" w:type="pct"/>
            <w:gridSpan w:val="7"/>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62"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29"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gridAfter w:val="1"/>
          <w:wAfter w:w="5" w:type="pct"/>
          <w:trHeight w:val="90" w:hRule="atLeast"/>
        </w:trPr>
        <w:tc>
          <w:tcPr>
            <w:tcW w:w="168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2" w:type="pct"/>
            <w:gridSpan w:val="9"/>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gridAfter w:val="1"/>
          <w:wAfter w:w="5" w:type="pct"/>
          <w:trHeight w:val="312" w:hRule="atLeast"/>
        </w:trPr>
        <w:tc>
          <w:tcPr>
            <w:tcW w:w="26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4"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2"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29"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gridAfter w:val="1"/>
          <w:wAfter w:w="5" w:type="pct"/>
          <w:trHeight w:val="312" w:hRule="atLeast"/>
        </w:trPr>
        <w:tc>
          <w:tcPr>
            <w:tcW w:w="26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91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50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4"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6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129"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167.15</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114.52</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18.84</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17.44</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14.33</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gridAfter w:val="1"/>
          <w:wAfter w:w="5" w:type="pct"/>
          <w:trHeight w:val="155"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gridAfter w:val="1"/>
          <w:wAfter w:w="5" w:type="pct"/>
          <w:trHeight w:val="310" w:hRule="atLeast"/>
        </w:trPr>
        <w:tc>
          <w:tcPr>
            <w:tcW w:w="117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185.99</w:t>
            </w:r>
            <w:r>
              <w:rPr>
                <w:rFonts w:ascii="Times New Roman" w:hAnsi="Times New Roman"/>
                <w:color w:val="000000"/>
                <w:sz w:val="18"/>
                <w:u w:color="auto"/>
              </w:rPr>
              <w:t xml:space="preserve"> </w:t>
            </w:r>
          </w:p>
        </w:tc>
        <w:tc>
          <w:tcPr>
            <w:tcW w:w="2824" w:type="pct"/>
            <w:gridSpan w:val="8"/>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22.05</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1"/>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重庆市九龙坡区白市驿镇文化服务中心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sz w:val="16"/>
                <w:szCs w:val="16"/>
              </w:rPr>
            </w:pPr>
          </w:p>
        </w:tc>
      </w:tr>
    </w:tbl>
    <w:p>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994828"/>
    <w:rsid w:val="05BC6D49"/>
    <w:rsid w:val="06194FF1"/>
    <w:rsid w:val="06507DF0"/>
    <w:rsid w:val="06A1432E"/>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662643"/>
    <w:rsid w:val="14907817"/>
    <w:rsid w:val="15714980"/>
    <w:rsid w:val="163A6CEE"/>
    <w:rsid w:val="173708E3"/>
    <w:rsid w:val="174C19C7"/>
    <w:rsid w:val="17C374FC"/>
    <w:rsid w:val="189079DC"/>
    <w:rsid w:val="189B0D0B"/>
    <w:rsid w:val="18B43F7C"/>
    <w:rsid w:val="194A1770"/>
    <w:rsid w:val="19B906A4"/>
    <w:rsid w:val="19FB026E"/>
    <w:rsid w:val="1B1303FB"/>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1D80A94"/>
    <w:rsid w:val="22403BD3"/>
    <w:rsid w:val="23885562"/>
    <w:rsid w:val="23DA37D9"/>
    <w:rsid w:val="23F5732E"/>
    <w:rsid w:val="24B92327"/>
    <w:rsid w:val="24C14514"/>
    <w:rsid w:val="25162CC0"/>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E9692C"/>
    <w:rsid w:val="39F03D7A"/>
    <w:rsid w:val="39F33306"/>
    <w:rsid w:val="3A2C1C67"/>
    <w:rsid w:val="3AD92978"/>
    <w:rsid w:val="3B1705E5"/>
    <w:rsid w:val="3B18334B"/>
    <w:rsid w:val="3B36794F"/>
    <w:rsid w:val="3C566AD6"/>
    <w:rsid w:val="3C6A5B02"/>
    <w:rsid w:val="3D2757A1"/>
    <w:rsid w:val="3D3D4FC4"/>
    <w:rsid w:val="3D7F2208"/>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C94F5B"/>
    <w:rsid w:val="40D54604"/>
    <w:rsid w:val="411B6CE5"/>
    <w:rsid w:val="412070D7"/>
    <w:rsid w:val="41314E40"/>
    <w:rsid w:val="41C0444F"/>
    <w:rsid w:val="41E0734B"/>
    <w:rsid w:val="421508BC"/>
    <w:rsid w:val="42186CB8"/>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2E7CFA"/>
    <w:rsid w:val="488F422B"/>
    <w:rsid w:val="48E36915"/>
    <w:rsid w:val="495C4A24"/>
    <w:rsid w:val="497135DF"/>
    <w:rsid w:val="4A1605D9"/>
    <w:rsid w:val="4A263DF2"/>
    <w:rsid w:val="4A6F6675"/>
    <w:rsid w:val="4ABF0746"/>
    <w:rsid w:val="4B0502DF"/>
    <w:rsid w:val="4B116C92"/>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5C73FC"/>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697D1A"/>
    <w:rsid w:val="66967186"/>
    <w:rsid w:val="66EE5541"/>
    <w:rsid w:val="67924660"/>
    <w:rsid w:val="67D67C78"/>
    <w:rsid w:val="683200C2"/>
    <w:rsid w:val="68407834"/>
    <w:rsid w:val="6883293E"/>
    <w:rsid w:val="688412AD"/>
    <w:rsid w:val="68EB1B71"/>
    <w:rsid w:val="69475C96"/>
    <w:rsid w:val="696D4BEE"/>
    <w:rsid w:val="6AAD2300"/>
    <w:rsid w:val="6B474EF5"/>
    <w:rsid w:val="6BBF53FD"/>
    <w:rsid w:val="6C560CAE"/>
    <w:rsid w:val="6C576495"/>
    <w:rsid w:val="6D903FF5"/>
    <w:rsid w:val="6DA955B8"/>
    <w:rsid w:val="6DE346AB"/>
    <w:rsid w:val="6DE36C58"/>
    <w:rsid w:val="6DE5391A"/>
    <w:rsid w:val="6EFD1324"/>
    <w:rsid w:val="6F5A53AC"/>
    <w:rsid w:val="6F7B05B7"/>
    <w:rsid w:val="6FAC003D"/>
    <w:rsid w:val="6FE55E12"/>
    <w:rsid w:val="6FFB2E76"/>
    <w:rsid w:val="708F6F7F"/>
    <w:rsid w:val="70D94BD3"/>
    <w:rsid w:val="71C34D91"/>
    <w:rsid w:val="72C51639"/>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3002</Words>
  <Characters>3461</Characters>
  <Lines>192</Lines>
  <Paragraphs>54</Paragraphs>
  <TotalTime>8</TotalTime>
  <ScaleCrop>false</ScaleCrop>
  <LinksUpToDate>false</LinksUpToDate>
  <CharactersWithSpaces>3484</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bsy</cp:lastModifiedBy>
  <dcterms:modified xsi:type="dcterms:W3CDTF">2025-10-16T03:24:05Z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F634802FC8884AAFB002392FE9E483FC</vt:lpwstr>
  </property>
  <property fmtid="{D5CDD505-2E9C-101B-9397-08002B2CF9AE}" pid="4" name="KSOTemplateDocerSaveRecord">
    <vt:lpwstr>eyJoZGlkIjoiODQxNWY2ZTU2YTgxMDZjODc1Y2VkY2NmZDVkNDFjMTcifQ==</vt:lpwstr>
  </property>
</Properties>
</file>