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F40" w:rsidRDefault="00000000">
      <w:pPr>
        <w:pStyle w:val="a9"/>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重庆市九龙坡区白市驿镇人民政府（本级）</w:t>
      </w:r>
    </w:p>
    <w:p w:rsidR="00133F40" w:rsidRDefault="00000000">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33F40" w:rsidRDefault="00133F40">
      <w:pPr>
        <w:pStyle w:val="a9"/>
        <w:shd w:val="clear" w:color="auto" w:fill="FFFFFF"/>
        <w:spacing w:before="0" w:beforeAutospacing="0" w:after="0" w:afterAutospacing="0" w:line="600" w:lineRule="exact"/>
        <w:ind w:firstLineChars="200" w:firstLine="643"/>
        <w:rPr>
          <w:rStyle w:val="ab"/>
          <w:rFonts w:ascii="黑体" w:eastAsia="黑体" w:hAnsi="黑体" w:cs="黑体"/>
          <w:sz w:val="32"/>
          <w:szCs w:val="32"/>
          <w:shd w:val="clear" w:color="auto" w:fill="FFFFFF"/>
        </w:rPr>
      </w:pPr>
    </w:p>
    <w:p w:rsidR="00133F40" w:rsidRDefault="00000000">
      <w:pPr>
        <w:pStyle w:val="a9"/>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一、单位基本情况</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（一）职能职责</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单位现行的职能职责为：</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1.</w:t>
      </w:r>
      <w:r>
        <w:rPr>
          <w:rFonts w:ascii="Times New Roman" w:eastAsia="方正仿宋_GBK" w:hAnsi="Times New Roman" w:cs="方正仿宋_GBK"/>
          <w:sz w:val="32"/>
          <w:szCs w:val="32"/>
          <w:shd w:val="clear" w:color="auto" w:fill="FFFFFF"/>
        </w:rPr>
        <w:t>贯彻执行党和国家的路线、方针、政策、法律、法规；执行上级党组织的决议、决定，执行镇人民代表大会的各项决议。</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2.</w:t>
      </w:r>
      <w:r>
        <w:rPr>
          <w:rFonts w:ascii="Times New Roman" w:eastAsia="方正仿宋_GBK" w:hAnsi="Times New Roman" w:cs="方正仿宋_GBK"/>
          <w:sz w:val="32"/>
          <w:szCs w:val="32"/>
          <w:shd w:val="clear" w:color="auto" w:fill="FFFFFF"/>
        </w:rPr>
        <w:t>制定并实施镇经济和社会发展规划、年度计划和预算；抓好本辖区内经济和社会发展的各项工作，并向本级人民代表大会报告工作。</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3.</w:t>
      </w:r>
      <w:r>
        <w:rPr>
          <w:rFonts w:ascii="Times New Roman" w:eastAsia="方正仿宋_GBK" w:hAnsi="Times New Roman" w:cs="方正仿宋_GBK"/>
          <w:sz w:val="32"/>
          <w:szCs w:val="32"/>
          <w:shd w:val="clear" w:color="auto" w:fill="FFFFFF"/>
        </w:rPr>
        <w:t>管理本辖区内的经济、教育、科学、文化、体育、规划建设、生态环境、财政、民政、信访、司法、卫生健康、社会治安、安全生产、综合治理、交通安全、社会保障等工作。</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加强镇财政的监督和管理，按计划、预算管理镇财政收入和支出，执行国家财政、财税工作的法律、政策，保证国家财政收入的完成。</w:t>
      </w:r>
    </w:p>
    <w:p w:rsidR="00133F40"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5.</w:t>
      </w:r>
      <w:r>
        <w:rPr>
          <w:rFonts w:ascii="Times New Roman" w:eastAsia="方正仿宋_GBK" w:hAnsi="Times New Roman" w:cs="方正仿宋_GBK"/>
          <w:sz w:val="32"/>
          <w:szCs w:val="32"/>
          <w:shd w:val="clear" w:color="auto" w:fill="FFFFFF"/>
        </w:rPr>
        <w:t>指导、支持村（社区）工作，帮助其进行组织、制度和业务建设，促进村（社区）民主自治。</w:t>
      </w:r>
    </w:p>
    <w:p w:rsidR="00133F40" w:rsidRDefault="00000000">
      <w:pPr>
        <w:pStyle w:val="a9"/>
        <w:shd w:val="clear" w:color="auto" w:fill="FFFFFF"/>
        <w:spacing w:before="0" w:beforeAutospacing="0" w:after="0" w:afterAutospacing="0" w:line="60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6.</w:t>
      </w:r>
      <w:r>
        <w:rPr>
          <w:rFonts w:ascii="Times New Roman" w:eastAsia="方正仿宋_GBK" w:hAnsi="Times New Roman" w:cs="方正仿宋_GBK"/>
          <w:sz w:val="32"/>
          <w:szCs w:val="32"/>
          <w:shd w:val="clear" w:color="auto" w:fill="FFFFFF"/>
        </w:rPr>
        <w:t>承办管委会交办的其他工作。</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（二）机构设置</w:t>
      </w:r>
    </w:p>
    <w:p w:rsidR="00133F40" w:rsidRDefault="00000000">
      <w:pPr>
        <w:pStyle w:val="a9"/>
        <w:widowControl w:val="0"/>
        <w:shd w:val="clear" w:color="auto" w:fill="FFFFFF"/>
        <w:spacing w:before="0" w:beforeAutospacing="0" w:after="0" w:afterAutospacing="0" w:line="60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lastRenderedPageBreak/>
        <w:t>镇属内设机构</w:t>
      </w:r>
      <w:r>
        <w:rPr>
          <w:rFonts w:ascii="Times New Roman" w:eastAsia="方正仿宋_GBK" w:hAnsi="Times New Roman" w:cs="方正仿宋_GBK"/>
          <w:sz w:val="32"/>
          <w:szCs w:val="32"/>
          <w:shd w:val="clear" w:color="auto" w:fill="FFFFFF"/>
        </w:rPr>
        <w:t>9</w:t>
      </w:r>
      <w:r>
        <w:rPr>
          <w:rFonts w:ascii="Times New Roman" w:eastAsia="方正仿宋_GBK" w:hAnsi="Times New Roman" w:cs="方正仿宋_GBK"/>
          <w:sz w:val="32"/>
          <w:szCs w:val="32"/>
          <w:shd w:val="clear" w:color="auto" w:fill="FFFFFF"/>
        </w:rPr>
        <w:t>个，包括党政办公室、党建工作办公室、经济发展办公室、财政办公室、规划建设管理环保办公室、民政和社会事务办公室、平安建设办公室、应急管理办公室、综合行政执法办公室。</w:t>
      </w:r>
    </w:p>
    <w:p w:rsidR="00133F40" w:rsidRDefault="00000000">
      <w:pPr>
        <w:pStyle w:val="a9"/>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二、单位决算收支情况说明</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（一）收入支出决算总体情况说明</w:t>
      </w:r>
    </w:p>
    <w:p w:rsidR="00133F40" w:rsidRDefault="00000000">
      <w:pPr>
        <w:pStyle w:val="a9"/>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7125.05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440.73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p>
    <w:p w:rsidR="00133F40" w:rsidRDefault="00000000">
      <w:pPr>
        <w:pStyle w:val="a9"/>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7125.05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440.73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7125.05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33F40"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7125.05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440.73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2111.88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5013.17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70.4%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33F40"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lastRenderedPageBreak/>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（二）财政拨款收入支出决算总体情况说明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7125.05</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440.73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（三）一般公共预算财政拨款收入支出决算情况说明</w:t>
      </w:r>
    </w:p>
    <w:p w:rsidR="00133F40"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6991.55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533.03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1941.72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38.5%</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年中下达专业市场除险清患专项整治、计划生育</w:t>
      </w:r>
      <w:proofErr w:type="gramStart"/>
      <w:r>
        <w:rPr>
          <w:rStyle w:val="ab"/>
          <w:rFonts w:ascii="Times New Roman" w:eastAsia="方正仿宋_GBK" w:hAnsi="Times New Roman" w:cs="方正仿宋_GBK"/>
          <w:b w:val="0"/>
          <w:sz w:val="32"/>
          <w:szCs w:val="32"/>
        </w:rPr>
        <w:t>奖特扶</w:t>
      </w:r>
      <w:proofErr w:type="gramEnd"/>
      <w:r>
        <w:rPr>
          <w:rStyle w:val="ab"/>
          <w:rFonts w:ascii="Times New Roman" w:eastAsia="方正仿宋_GBK" w:hAnsi="Times New Roman" w:cs="方正仿宋_GBK"/>
          <w:b w:val="0"/>
          <w:sz w:val="32"/>
          <w:szCs w:val="32"/>
        </w:rPr>
        <w:t>、计划生育转移支付中央专款、棚改补助资金、市财政衔接推进乡村振兴补助资金、基层平安法治</w:t>
      </w:r>
      <w:proofErr w:type="gramStart"/>
      <w:r>
        <w:rPr>
          <w:rStyle w:val="ab"/>
          <w:rFonts w:ascii="Times New Roman" w:eastAsia="方正仿宋_GBK" w:hAnsi="Times New Roman" w:cs="方正仿宋_GBK"/>
          <w:b w:val="0"/>
          <w:sz w:val="32"/>
          <w:szCs w:val="32"/>
        </w:rPr>
        <w:t>建设奖补资金</w:t>
      </w:r>
      <w:proofErr w:type="gramEnd"/>
      <w:r>
        <w:rPr>
          <w:rStyle w:val="ab"/>
          <w:rFonts w:ascii="Times New Roman" w:eastAsia="方正仿宋_GBK" w:hAnsi="Times New Roman" w:cs="方正仿宋_GBK"/>
          <w:b w:val="0"/>
          <w:sz w:val="32"/>
          <w:szCs w:val="32"/>
        </w:rPr>
        <w:t>、助推高质量发展专项行动、养老服务站区级建设补助。</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133F40"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6991.55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533.03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厉行节约，减少年初预算。</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1941.72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38.5%</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年中下达专业市场除险清患专项整治、计划生育</w:t>
      </w:r>
      <w:proofErr w:type="gramStart"/>
      <w:r>
        <w:rPr>
          <w:rStyle w:val="ab"/>
          <w:rFonts w:ascii="Times New Roman" w:eastAsia="方正仿宋_GBK" w:hAnsi="Times New Roman" w:cs="方正仿宋_GBK"/>
          <w:b w:val="0"/>
          <w:sz w:val="32"/>
          <w:szCs w:val="32"/>
        </w:rPr>
        <w:t>奖特扶</w:t>
      </w:r>
      <w:proofErr w:type="gramEnd"/>
      <w:r>
        <w:rPr>
          <w:rStyle w:val="ab"/>
          <w:rFonts w:ascii="Times New Roman" w:eastAsia="方正仿宋_GBK" w:hAnsi="Times New Roman" w:cs="方正仿宋_GBK"/>
          <w:b w:val="0"/>
          <w:sz w:val="32"/>
          <w:szCs w:val="32"/>
        </w:rPr>
        <w:t>、计划生育转移支付中央专款、棚改补助资金、</w:t>
      </w:r>
      <w:r>
        <w:rPr>
          <w:rStyle w:val="ab"/>
          <w:rFonts w:ascii="Times New Roman" w:eastAsia="方正仿宋_GBK" w:hAnsi="Times New Roman" w:cs="方正仿宋_GBK"/>
          <w:b w:val="0"/>
          <w:sz w:val="32"/>
          <w:szCs w:val="32"/>
        </w:rPr>
        <w:lastRenderedPageBreak/>
        <w:t>市财政衔接推进乡村振兴补助资金、基层平安法治</w:t>
      </w:r>
      <w:proofErr w:type="gramStart"/>
      <w:r>
        <w:rPr>
          <w:rStyle w:val="ab"/>
          <w:rFonts w:ascii="Times New Roman" w:eastAsia="方正仿宋_GBK" w:hAnsi="Times New Roman" w:cs="方正仿宋_GBK"/>
          <w:b w:val="0"/>
          <w:sz w:val="32"/>
          <w:szCs w:val="32"/>
        </w:rPr>
        <w:t>建设奖补资金</w:t>
      </w:r>
      <w:proofErr w:type="gramEnd"/>
      <w:r>
        <w:rPr>
          <w:rStyle w:val="ab"/>
          <w:rFonts w:ascii="Times New Roman" w:eastAsia="方正仿宋_GBK" w:hAnsi="Times New Roman" w:cs="方正仿宋_GBK"/>
          <w:b w:val="0"/>
          <w:sz w:val="32"/>
          <w:szCs w:val="32"/>
        </w:rPr>
        <w:t>、助推高质量发展专项行动、养老服务站区级建设补助。</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3975.22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56.9%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566.28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16.6%</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基层政权建设补助资金、人员变动工资调整。</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）国防支出</w:t>
      </w:r>
      <w:r>
        <w:rPr>
          <w:rFonts w:ascii="Times New Roman" w:eastAsia="方正仿宋_GBK" w:hAnsi="Times New Roman" w:hint="default"/>
          <w:sz w:val="32"/>
          <w:szCs w:val="32"/>
          <w:shd w:val="clear" w:color="auto" w:fill="FFFFFF"/>
        </w:rPr>
        <w:t>17.84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，主要原因是2023年纳入</w:t>
      </w:r>
      <w:proofErr w:type="gramStart"/>
      <w:r>
        <w:rPr>
          <w:rFonts w:ascii="方正仿宋_GBK" w:eastAsia="方正仿宋_GBK" w:hAnsi="方正仿宋_GBK" w:cs="方正仿宋_GBK"/>
          <w:sz w:val="32"/>
          <w:szCs w:val="32"/>
          <w:shd w:val="clear" w:color="auto" w:fill="FFFFFF"/>
        </w:rPr>
        <w:t>社事综合</w:t>
      </w:r>
      <w:proofErr w:type="gramEnd"/>
      <w:r>
        <w:rPr>
          <w:rFonts w:ascii="方正仿宋_GBK" w:eastAsia="方正仿宋_GBK" w:hAnsi="方正仿宋_GBK" w:cs="方正仿宋_GBK"/>
          <w:sz w:val="32"/>
          <w:szCs w:val="32"/>
          <w:shd w:val="clear" w:color="auto" w:fill="FFFFFF"/>
        </w:rPr>
        <w:t>工作的武装建设与保障经费2024年作为独立项目，从国防支出中核算。</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highlight w:val="green"/>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97.8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369.89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79.1%</w:t>
      </w:r>
      <w:r>
        <w:rPr>
          <w:rFonts w:ascii="方正仿宋_GBK" w:eastAsia="方正仿宋_GBK" w:hAnsi="方正仿宋_GBK" w:cs="方正仿宋_GBK"/>
          <w:sz w:val="32"/>
          <w:szCs w:val="32"/>
          <w:shd w:val="clear" w:color="auto" w:fill="FFFFFF"/>
        </w:rPr>
        <w:t>，主要原因是按照统一要求将该功能分类调整到其他功能分类。</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）科学技术支出</w:t>
      </w:r>
      <w:r>
        <w:rPr>
          <w:rFonts w:ascii="Times New Roman" w:eastAsia="方正仿宋_GBK" w:hAnsi="Times New Roman" w:hint="default"/>
          <w:sz w:val="32"/>
          <w:szCs w:val="32"/>
          <w:shd w:val="clear" w:color="auto" w:fill="FFFFFF"/>
        </w:rPr>
        <w:t>45.50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13.8%</w:t>
      </w:r>
      <w:r>
        <w:rPr>
          <w:rFonts w:ascii="方正仿宋_GBK" w:eastAsia="方正仿宋_GBK" w:hAnsi="方正仿宋_GBK" w:cs="方正仿宋_GBK"/>
          <w:sz w:val="32"/>
          <w:szCs w:val="32"/>
          <w:shd w:val="clear" w:color="auto" w:fill="FFFFFF"/>
        </w:rPr>
        <w:t>，主要原因是减少特色科普阵地建设支出。</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778.95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340.26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77.6%</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困难群众救助补助、丧葬费抚恤金。</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669.50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384.35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134.8%</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计划生育</w:t>
      </w:r>
      <w:proofErr w:type="gramStart"/>
      <w:r>
        <w:rPr>
          <w:rFonts w:ascii="方正仿宋_GBK" w:eastAsia="方正仿宋_GBK" w:hAnsi="方正仿宋_GBK" w:cs="方正仿宋_GBK"/>
          <w:sz w:val="32"/>
          <w:szCs w:val="32"/>
          <w:shd w:val="clear" w:color="auto" w:fill="FFFFFF"/>
        </w:rPr>
        <w:t>奖特扶</w:t>
      </w:r>
      <w:proofErr w:type="gramEnd"/>
      <w:r>
        <w:rPr>
          <w:rFonts w:ascii="方正仿宋_GBK" w:eastAsia="方正仿宋_GBK" w:hAnsi="方正仿宋_GBK" w:cs="方正仿宋_GBK"/>
          <w:sz w:val="32"/>
          <w:szCs w:val="32"/>
          <w:shd w:val="clear" w:color="auto" w:fill="FFFFFF"/>
        </w:rPr>
        <w:t>、计划生育转移支付中央专款。</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13.33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突出环境问题整治经费、提前下达</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年市级生态环境“以奖促治”。</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8</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703.02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641.76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1047.6%</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专业市场除险清患专项整治、助推高质量发展专项行动经费。</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9</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251.14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122.14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94.7%</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w:t>
      </w:r>
      <w:proofErr w:type="gramStart"/>
      <w:r>
        <w:rPr>
          <w:rStyle w:val="ab"/>
          <w:rFonts w:ascii="Times New Roman" w:eastAsia="方正仿宋_GBK" w:hAnsi="Times New Roman" w:cs="方正仿宋_GBK"/>
          <w:b w:val="0"/>
          <w:sz w:val="32"/>
          <w:szCs w:val="32"/>
        </w:rPr>
        <w:t>下达</w:t>
      </w:r>
      <w:r>
        <w:rPr>
          <w:rFonts w:ascii="方正仿宋_GBK" w:eastAsia="方正仿宋_GBK" w:hAnsi="方正仿宋_GBK" w:cs="方正仿宋_GBK"/>
          <w:sz w:val="32"/>
          <w:szCs w:val="32"/>
          <w:shd w:val="clear" w:color="auto" w:fill="FFFFFF"/>
        </w:rPr>
        <w:t>市</w:t>
      </w:r>
      <w:proofErr w:type="gramEnd"/>
      <w:r>
        <w:rPr>
          <w:rFonts w:ascii="方正仿宋_GBK" w:eastAsia="方正仿宋_GBK" w:hAnsi="方正仿宋_GBK" w:cs="方正仿宋_GBK"/>
          <w:sz w:val="32"/>
          <w:szCs w:val="32"/>
          <w:shd w:val="clear" w:color="auto" w:fill="FFFFFF"/>
        </w:rPr>
        <w:t>财政衔接推进乡村振兴补助资金、农村综合改革转移支付。</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）交通运输支出</w:t>
      </w:r>
      <w:r>
        <w:rPr>
          <w:rFonts w:ascii="Times New Roman" w:eastAsia="方正仿宋_GBK" w:hAnsi="Times New Roman" w:hint="default"/>
          <w:sz w:val="32"/>
          <w:szCs w:val="32"/>
          <w:shd w:val="clear" w:color="auto" w:fill="FFFFFF"/>
        </w:rPr>
        <w:t>6.86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铁路沿线安全环境治理经费。</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1.05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Times New Roman" w:eastAsia="方正仿宋_GBK" w:hAnsi="Times New Roman"/>
          <w:sz w:val="32"/>
          <w:szCs w:val="32"/>
          <w:shd w:val="clear" w:color="auto" w:fill="FFFFFF"/>
        </w:rPr>
        <w:t>1</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地质灾害驻守技术</w:t>
      </w:r>
      <w:proofErr w:type="gramStart"/>
      <w:r>
        <w:rPr>
          <w:rFonts w:ascii="方正仿宋_GBK" w:eastAsia="方正仿宋_GBK" w:hAnsi="方正仿宋_GBK" w:cs="方正仿宋_GBK"/>
          <w:sz w:val="32"/>
          <w:szCs w:val="32"/>
          <w:shd w:val="clear" w:color="auto" w:fill="FFFFFF"/>
        </w:rPr>
        <w:t>支撑及群测</w:t>
      </w:r>
      <w:proofErr w:type="gramEnd"/>
      <w:r>
        <w:rPr>
          <w:rFonts w:ascii="方正仿宋_GBK" w:eastAsia="方正仿宋_GBK" w:hAnsi="方正仿宋_GBK" w:cs="方正仿宋_GBK"/>
          <w:sz w:val="32"/>
          <w:szCs w:val="32"/>
          <w:shd w:val="clear" w:color="auto" w:fill="FFFFFF"/>
        </w:rPr>
        <w:t>群防经费。</w:t>
      </w:r>
    </w:p>
    <w:p w:rsidR="00133F40" w:rsidRDefault="00000000">
      <w:pPr>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347.68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183.4%</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棚改补助资金、城镇住房保障家庭租赁补贴。</w:t>
      </w:r>
    </w:p>
    <w:p w:rsidR="00133F40" w:rsidRDefault="00000000">
      <w:pPr>
        <w:spacing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灾害防治及应急管理支出</w:t>
      </w:r>
      <w:r>
        <w:rPr>
          <w:rFonts w:ascii="Times New Roman" w:eastAsia="方正仿宋_GBK" w:hAnsi="Times New Roman" w:hint="default"/>
          <w:sz w:val="32"/>
          <w:szCs w:val="32"/>
          <w:shd w:val="clear" w:color="auto" w:fill="FFFFFF"/>
        </w:rPr>
        <w:t>83.67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133F40" w:rsidRDefault="00000000">
      <w:pPr>
        <w:pStyle w:val="a9"/>
        <w:snapToGrid w:val="0"/>
        <w:spacing w:before="0" w:beforeAutospacing="0" w:after="0" w:afterAutospacing="0"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lastRenderedPageBreak/>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（四）一般公共预算财政拨款基本支出决算情况说明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2111.88</w:t>
      </w:r>
      <w:r>
        <w:rPr>
          <w:rFonts w:ascii="方正仿宋_GBK" w:eastAsia="方正仿宋_GBK" w:hAnsi="方正仿宋_GBK" w:cs="方正仿宋_GBK"/>
          <w:sz w:val="32"/>
          <w:szCs w:val="32"/>
          <w:shd w:val="clear" w:color="auto" w:fill="FFFFFF"/>
        </w:rPr>
        <w:t>万元。</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1801.92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11.57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，主要原因是人员变动。人员经费用途主要包括</w:t>
      </w:r>
      <w:r>
        <w:rPr>
          <w:rFonts w:ascii="Times New Roman" w:eastAsia="方正仿宋_GBK" w:hAnsi="Times New Roman" w:cs="方正仿宋_GBK"/>
          <w:sz w:val="32"/>
          <w:szCs w:val="32"/>
        </w:rPr>
        <w:t>基本工资、津贴补贴、社会保障缴费、绩效工资、其他福利支出、退休费、其他对个人和家庭的补助支出。</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309.96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14.24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，主要原因是厉行节约，减少公用经费年初预算。公用经费用途主要包括</w:t>
      </w:r>
      <w:r>
        <w:rPr>
          <w:rFonts w:ascii="Times New Roman" w:eastAsia="方正仿宋_GBK" w:hAnsi="Times New Roman" w:cs="方正仿宋_GBK"/>
          <w:sz w:val="32"/>
          <w:szCs w:val="32"/>
        </w:rPr>
        <w:t>办公费、咨询费、差旅费、劳务费、维修费、公务车运行维护费、水电费及其他商品服务支出。</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（五）政府性基金预算收支决算情况说明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133.5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224%</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养老服务站区级建设补助、敬老院运行及维修改造经费。本年支出</w:t>
      </w:r>
      <w:r>
        <w:rPr>
          <w:rFonts w:ascii="Times New Roman" w:eastAsia="方正仿宋_GBK" w:hAnsi="Times New Roman" w:hint="default"/>
          <w:sz w:val="32"/>
          <w:szCs w:val="32"/>
          <w:shd w:val="clear" w:color="auto" w:fill="FFFFFF"/>
        </w:rPr>
        <w:t>133.5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224%</w:t>
      </w:r>
      <w:r>
        <w:rPr>
          <w:rFonts w:ascii="方正仿宋_GBK" w:eastAsia="方正仿宋_GBK" w:hAnsi="方正仿宋_GBK" w:cs="方正仿宋_GBK"/>
          <w:sz w:val="32"/>
          <w:szCs w:val="32"/>
          <w:shd w:val="clear" w:color="auto" w:fill="FFFFFF"/>
        </w:rPr>
        <w:t>，主要原因是</w:t>
      </w:r>
      <w:r>
        <w:rPr>
          <w:rStyle w:val="ab"/>
          <w:rFonts w:ascii="Times New Roman" w:eastAsia="方正仿宋_GBK" w:hAnsi="Times New Roman" w:cs="方正仿宋_GBK"/>
          <w:b w:val="0"/>
          <w:sz w:val="32"/>
          <w:szCs w:val="32"/>
        </w:rPr>
        <w:t>年中下达</w:t>
      </w:r>
      <w:r>
        <w:rPr>
          <w:rFonts w:ascii="方正仿宋_GBK" w:eastAsia="方正仿宋_GBK" w:hAnsi="方正仿宋_GBK" w:cs="方正仿宋_GBK"/>
          <w:sz w:val="32"/>
          <w:szCs w:val="32"/>
          <w:shd w:val="clear" w:color="auto" w:fill="FFFFFF"/>
        </w:rPr>
        <w:t>养老服务站区级建设补助、敬老院运行及维修改造经费。</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（六）国有资本经营预算财政拨款支出决算情况说明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lastRenderedPageBreak/>
        <w:t>本单位</w:t>
      </w: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年度无国有资本经营预算财政拨款支出。</w:t>
      </w:r>
    </w:p>
    <w:p w:rsidR="00133F40" w:rsidRDefault="00000000">
      <w:pPr>
        <w:pStyle w:val="a9"/>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三、财政拨款“三公”经费情况说明</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（一）“三公”经费支出总体情况说明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36.11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94.4%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19.49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90.1%</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（二）“三公”经费分项支出情况</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年度本单位未发生因公出国（境）费用。</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年度本单位未发生</w:t>
      </w: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sz w:val="32"/>
          <w:szCs w:val="32"/>
          <w:shd w:val="clear" w:color="auto" w:fill="FFFFFF"/>
        </w:rPr>
        <w:t>用。</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2.13</w:t>
      </w:r>
      <w:r>
        <w:rPr>
          <w:rFonts w:ascii="方正仿宋_GBK" w:eastAsia="方正仿宋_GBK" w:hAnsi="方正仿宋_GBK" w:cs="方正仿宋_GBK"/>
          <w:sz w:val="32"/>
          <w:szCs w:val="32"/>
          <w:shd w:val="clear" w:color="auto" w:fill="FFFFFF"/>
        </w:rPr>
        <w:t>万元，主要用于</w:t>
      </w:r>
      <w:r>
        <w:rPr>
          <w:rFonts w:ascii="Times New Roman" w:eastAsia="方正仿宋_GBK" w:hAnsi="Times New Roman" w:cs="方正仿宋_GBK"/>
          <w:sz w:val="32"/>
          <w:szCs w:val="32"/>
        </w:rPr>
        <w:t>机要文件交换、市内因公出行、业务检查、特种车辆等工作所需车辆的燃料费、维修费、过桥过路费、保险费等</w:t>
      </w:r>
      <w:r>
        <w:rPr>
          <w:rFonts w:ascii="Times New Roman" w:eastAsia="方正仿宋_GBK" w:hAnsi="Times New Roman"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17.87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89.4%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55.3%</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cs="方正仿宋_GBK"/>
          <w:sz w:val="32"/>
          <w:szCs w:val="32"/>
          <w:shd w:val="clear" w:color="auto" w:fill="FFFFFF"/>
        </w:rPr>
        <w:t>。</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0.02</w:t>
      </w:r>
      <w:r>
        <w:rPr>
          <w:rFonts w:ascii="方正仿宋_GBK" w:eastAsia="方正仿宋_GBK" w:hAnsi="方正仿宋_GBK" w:cs="方正仿宋_GBK"/>
          <w:sz w:val="32"/>
          <w:szCs w:val="32"/>
          <w:shd w:val="clear" w:color="auto" w:fill="FFFFFF"/>
        </w:rPr>
        <w:t>万元，主要用于接待</w:t>
      </w:r>
      <w:r>
        <w:rPr>
          <w:rFonts w:ascii="Times New Roman" w:eastAsia="方正仿宋_GBK" w:hAnsi="Times New Roman" w:cs="方正仿宋_GBK"/>
          <w:sz w:val="32"/>
          <w:szCs w:val="32"/>
        </w:rPr>
        <w:t>检查人员及工作交流。</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92.3%</w:t>
      </w:r>
      <w:r>
        <w:rPr>
          <w:rFonts w:ascii="方正仿宋_GBK" w:eastAsia="方正仿宋_GBK" w:hAnsi="方正仿宋_GBK" w:cs="方正仿宋_GBK"/>
          <w:sz w:val="32"/>
          <w:szCs w:val="32"/>
          <w:shd w:val="clear" w:color="auto" w:fill="FFFFFF"/>
        </w:rPr>
        <w:t>，主要原因是</w:t>
      </w:r>
      <w:r w:rsidR="00B22CF1">
        <w:rPr>
          <w:rFonts w:ascii="Times New Roman" w:eastAsia="方正仿宋_GBK" w:hAnsi="Times New Roman" w:cs="方正仿宋_GBK"/>
          <w:sz w:val="32"/>
          <w:szCs w:val="32"/>
        </w:rPr>
        <w:t>厉</w:t>
      </w:r>
      <w:r>
        <w:rPr>
          <w:rFonts w:ascii="Times New Roman" w:eastAsia="方正仿宋_GBK" w:hAnsi="Times New Roman" w:cs="方正仿宋_GBK"/>
          <w:sz w:val="32"/>
          <w:szCs w:val="32"/>
        </w:rPr>
        <w:t>行节约，减少接待费开支</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0.02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公务接待费在</w:t>
      </w:r>
      <w:r>
        <w:rPr>
          <w:rFonts w:ascii="方正仿宋_GBK" w:eastAsia="方正仿宋_GBK" w:hAnsi="方正仿宋_GBK" w:cs="方正仿宋_GBK"/>
          <w:sz w:val="32"/>
          <w:szCs w:val="32"/>
          <w:shd w:val="clear" w:color="auto" w:fill="FFFFFF"/>
        </w:rPr>
        <w:t>文化服务中心列支，</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年公务接待费在</w:t>
      </w:r>
      <w:r>
        <w:rPr>
          <w:rFonts w:ascii="Times New Roman" w:eastAsia="方正仿宋_GBK" w:hAnsi="Times New Roman" w:hint="default"/>
          <w:sz w:val="32"/>
          <w:szCs w:val="32"/>
          <w:shd w:val="clear" w:color="auto" w:fill="FFFFFF"/>
        </w:rPr>
        <w:t>政府本级列支</w:t>
      </w:r>
      <w:r>
        <w:rPr>
          <w:rFonts w:ascii="Times New Roman" w:eastAsia="方正仿宋_GBK" w:hAnsi="Times New Roman"/>
          <w:sz w:val="32"/>
          <w:szCs w:val="32"/>
          <w:shd w:val="clear" w:color="auto" w:fill="FFFFFF"/>
        </w:rPr>
        <w:t>。</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lastRenderedPageBreak/>
        <w:t>（三）“三公”经费实物量情况</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33.33</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0.35</w:t>
      </w:r>
      <w:r>
        <w:rPr>
          <w:rFonts w:ascii="方正仿宋_GBK" w:eastAsia="方正仿宋_GBK" w:hAnsi="方正仿宋_GBK" w:cs="方正仿宋_GBK"/>
          <w:sz w:val="32"/>
          <w:szCs w:val="32"/>
          <w:shd w:val="clear" w:color="auto" w:fill="FFFFFF"/>
        </w:rPr>
        <w:t>万元。</w:t>
      </w:r>
    </w:p>
    <w:p w:rsidR="00133F40" w:rsidRDefault="00000000">
      <w:pPr>
        <w:pStyle w:val="a9"/>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四、其他需要说明的事项</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（一）财政拨款会议费、培训费和差旅费情况说明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22.17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20.74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1450.4%</w:t>
      </w:r>
      <w:r>
        <w:rPr>
          <w:rFonts w:ascii="方正仿宋_GBK" w:eastAsia="方正仿宋_GBK" w:hAnsi="方正仿宋_GBK" w:cs="方正仿宋_GBK"/>
          <w:sz w:val="32"/>
          <w:szCs w:val="32"/>
          <w:shd w:val="clear" w:color="auto" w:fill="FFFFFF"/>
        </w:rPr>
        <w:t>，主要原因是增加了人大代表补选经费，且往年部分纳入办公费核算支出本年纳入会议费核算。本年度培训费支出</w:t>
      </w:r>
      <w:r>
        <w:rPr>
          <w:rFonts w:ascii="Times New Roman" w:eastAsia="方正仿宋_GBK" w:hAnsi="Times New Roman" w:hint="default"/>
          <w:sz w:val="32"/>
          <w:szCs w:val="32"/>
          <w:shd w:val="clear" w:color="auto" w:fill="FFFFFF"/>
        </w:rPr>
        <w:t>17.2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76.6%</w:t>
      </w:r>
      <w:r>
        <w:rPr>
          <w:rFonts w:ascii="方正仿宋_GBK" w:eastAsia="方正仿宋_GBK" w:hAnsi="方正仿宋_GBK" w:cs="方正仿宋_GBK"/>
          <w:sz w:val="32"/>
          <w:szCs w:val="32"/>
          <w:shd w:val="clear" w:color="auto" w:fill="FFFFFF"/>
        </w:rPr>
        <w:t>，主要原因是往年纳入其他科目核算的支出本年纳入培训费核算、增加选调生到村服务群众培训费用。本年度差旅费支出</w:t>
      </w:r>
      <w:r>
        <w:rPr>
          <w:rFonts w:ascii="Times New Roman" w:eastAsia="方正仿宋_GBK" w:hAnsi="Times New Roman" w:hint="default"/>
          <w:sz w:val="32"/>
          <w:szCs w:val="32"/>
          <w:shd w:val="clear" w:color="auto" w:fill="FFFFFF"/>
        </w:rPr>
        <w:t>12.22</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94.%</w:t>
      </w:r>
      <w:r>
        <w:rPr>
          <w:rFonts w:ascii="方正仿宋_GBK" w:eastAsia="方正仿宋_GBK" w:hAnsi="方正仿宋_GBK" w:cs="方正仿宋_GBK"/>
          <w:sz w:val="32"/>
          <w:szCs w:val="32"/>
          <w:shd w:val="clear" w:color="auto" w:fill="FFFFFF"/>
        </w:rPr>
        <w:t>，主要原因是增加了社会综治与安全相关差旅费支出。</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（二）机关运行经费情况说明</w:t>
      </w:r>
    </w:p>
    <w:p w:rsidR="00133F40" w:rsidRDefault="00000000">
      <w:pPr>
        <w:pStyle w:val="a9"/>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309.96</w:t>
      </w:r>
      <w:r>
        <w:rPr>
          <w:rFonts w:ascii="方正仿宋_GBK" w:eastAsia="方正仿宋_GBK" w:hAnsi="方正仿宋_GBK" w:cs="方正仿宋_GBK"/>
          <w:sz w:val="32"/>
          <w:szCs w:val="32"/>
          <w:shd w:val="clear" w:color="auto" w:fill="FFFFFF"/>
        </w:rPr>
        <w:t>万元，机关运行经费主要用于开支</w:t>
      </w:r>
      <w:r>
        <w:rPr>
          <w:rFonts w:ascii="Times New Roman" w:eastAsia="方正仿宋_GBK" w:hAnsi="Times New Roman" w:cs="方正仿宋_GBK"/>
          <w:sz w:val="32"/>
          <w:szCs w:val="32"/>
        </w:rPr>
        <w:t>办公费、公务车运行维护费、维修费、劳务费、其他商品服务支出等。</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14.24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，主要原因是</w:t>
      </w:r>
      <w:r w:rsidR="00B22CF1">
        <w:rPr>
          <w:rFonts w:ascii="Times New Roman" w:eastAsia="方正仿宋_GBK" w:hAnsi="Times New Roman" w:cs="方正仿宋_GBK"/>
          <w:sz w:val="32"/>
          <w:szCs w:val="32"/>
        </w:rPr>
        <w:t>厉</w:t>
      </w:r>
      <w:r>
        <w:rPr>
          <w:rFonts w:ascii="Times New Roman" w:eastAsia="方正仿宋_GBK" w:hAnsi="Times New Roman" w:cs="方正仿宋_GBK"/>
          <w:sz w:val="32"/>
          <w:szCs w:val="32"/>
        </w:rPr>
        <w:t>行节约，减少机关运行经费开支。</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lastRenderedPageBreak/>
        <w:t>（三）国有资产占用情况说明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（四）政府采购支出情况说明</w:t>
      </w:r>
    </w:p>
    <w:p w:rsidR="00133F40"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76.81</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18.32</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58.49</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76.81</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76.81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。主要用于采购物业管理服务及办公设备购置。</w:t>
      </w:r>
    </w:p>
    <w:p w:rsidR="00133F40" w:rsidRDefault="00000000">
      <w:pPr>
        <w:pStyle w:val="Char"/>
        <w:spacing w:before="0" w:beforeAutospacing="0" w:after="0" w:afterAutospacing="0" w:line="600" w:lineRule="exact"/>
        <w:ind w:leftChars="266" w:left="638"/>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五、2024年度预算绩效管理情况说明</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（一）单位自评情况</w:t>
      </w:r>
    </w:p>
    <w:p w:rsidR="00133F40" w:rsidRDefault="00000000">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根据预算绩效管理要求，我单位对</w:t>
      </w:r>
      <w:r>
        <w:rPr>
          <w:rFonts w:ascii="Times New Roman" w:eastAsia="方正仿宋_GBK" w:hAnsi="Times New Roman" w:cs="方正仿宋_GBK" w:hint="eastAsia"/>
          <w:sz w:val="32"/>
          <w:szCs w:val="32"/>
          <w:shd w:val="clear" w:color="auto" w:fill="FFFFFF"/>
        </w:rPr>
        <w:t>65</w:t>
      </w:r>
      <w:r>
        <w:rPr>
          <w:rFonts w:ascii="Times New Roman" w:eastAsia="方正仿宋_GBK" w:hAnsi="Times New Roman" w:cs="方正仿宋_GBK" w:hint="eastAsia"/>
          <w:sz w:val="32"/>
          <w:szCs w:val="32"/>
          <w:shd w:val="clear" w:color="auto" w:fill="FFFFFF"/>
        </w:rPr>
        <w:t>个二级项目开展了绩效自评，涉及财政拨款项目支出资金</w:t>
      </w:r>
      <w:r>
        <w:rPr>
          <w:rFonts w:ascii="Times New Roman" w:eastAsia="方正仿宋_GBK" w:hAnsi="Times New Roman" w:cs="方正仿宋_GBK" w:hint="eastAsia"/>
          <w:sz w:val="32"/>
          <w:szCs w:val="32"/>
          <w:shd w:val="clear" w:color="auto" w:fill="FFFFFF"/>
        </w:rPr>
        <w:t>5013.17</w:t>
      </w:r>
      <w:r>
        <w:rPr>
          <w:rFonts w:ascii="Times New Roman" w:eastAsia="方正仿宋_GBK" w:hAnsi="Times New Roman" w:cs="方正仿宋_GBK" w:hint="eastAsia"/>
          <w:sz w:val="32"/>
          <w:szCs w:val="32"/>
          <w:shd w:val="clear" w:color="auto" w:fill="FFFFFF"/>
        </w:rPr>
        <w:t>万元。</w:t>
      </w:r>
    </w:p>
    <w:p w:rsidR="00133F40" w:rsidRDefault="00000000">
      <w:pPr>
        <w:pStyle w:val="a9"/>
        <w:widowControl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项目支出绩效自评表（二级项目）。</w:t>
      </w:r>
    </w:p>
    <w:p w:rsidR="00133F40" w:rsidRDefault="00133F40">
      <w:pPr>
        <w:pStyle w:val="a9"/>
        <w:widowControl w:val="0"/>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p>
    <w:tbl>
      <w:tblPr>
        <w:tblW w:w="9162" w:type="dxa"/>
        <w:tblInd w:w="-45" w:type="dxa"/>
        <w:tblLayout w:type="fixed"/>
        <w:tblCellMar>
          <w:left w:w="0" w:type="dxa"/>
          <w:right w:w="0" w:type="dxa"/>
        </w:tblCellMar>
        <w:tblLook w:val="04A0" w:firstRow="1" w:lastRow="0" w:firstColumn="1" w:lastColumn="0" w:noHBand="0" w:noVBand="1"/>
      </w:tblPr>
      <w:tblGrid>
        <w:gridCol w:w="1144"/>
        <w:gridCol w:w="391"/>
        <w:gridCol w:w="484"/>
        <w:gridCol w:w="329"/>
        <w:gridCol w:w="213"/>
        <w:gridCol w:w="553"/>
        <w:gridCol w:w="315"/>
        <w:gridCol w:w="722"/>
        <w:gridCol w:w="68"/>
        <w:gridCol w:w="656"/>
        <w:gridCol w:w="494"/>
        <w:gridCol w:w="282"/>
        <w:gridCol w:w="361"/>
        <w:gridCol w:w="756"/>
        <w:gridCol w:w="744"/>
        <w:gridCol w:w="158"/>
        <w:gridCol w:w="632"/>
        <w:gridCol w:w="860"/>
      </w:tblGrid>
      <w:tr w:rsidR="00133F40">
        <w:trPr>
          <w:trHeight w:val="805"/>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000000"/>
                <w:sz w:val="40"/>
                <w:szCs w:val="40"/>
              </w:rPr>
            </w:pPr>
            <w:r>
              <w:rPr>
                <w:rFonts w:ascii="微软雅黑" w:eastAsia="微软雅黑" w:hAnsi="微软雅黑" w:cs="微软雅黑"/>
                <w:b/>
                <w:color w:val="000000"/>
                <w:sz w:val="36"/>
                <w:szCs w:val="36"/>
                <w:lang w:bidi="ar"/>
              </w:rPr>
              <w:t>2024年度二级项目绩效自评表</w:t>
            </w:r>
          </w:p>
        </w:tc>
      </w:tr>
      <w:tr w:rsidR="00133F40">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lastRenderedPageBreak/>
              <w:t>项目名称：</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proofErr w:type="gramStart"/>
            <w:r>
              <w:rPr>
                <w:rFonts w:cs="宋体"/>
                <w:color w:val="000000"/>
                <w:sz w:val="20"/>
                <w:szCs w:val="20"/>
                <w:lang w:bidi="ar"/>
              </w:rPr>
              <w:t>计划生育奖特扶本级</w:t>
            </w:r>
            <w:proofErr w:type="gramEnd"/>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项目编码：</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50019324T000004461523</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自评总分：</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 xml:space="preserve">100 </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r>
      <w:tr w:rsidR="00133F40">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项目主管部门：</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302-重庆市九龙坡区白市驿镇人民政府</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财政归口处室：</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003-预算科</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部门联系人：</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ind w:leftChars="-100" w:left="-240"/>
              <w:textAlignment w:val="center"/>
              <w:rPr>
                <w:rFonts w:cs="宋体"/>
                <w:color w:val="000000"/>
                <w:sz w:val="20"/>
                <w:szCs w:val="20"/>
                <w:lang w:bidi="ar"/>
              </w:rPr>
            </w:pPr>
            <w:r>
              <w:rPr>
                <w:rFonts w:cs="宋体"/>
                <w:color w:val="000000"/>
                <w:sz w:val="20"/>
                <w:szCs w:val="20"/>
                <w:lang w:bidi="ar"/>
              </w:rPr>
              <w:t>杨永红</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联系电话：</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65711035</w:t>
            </w:r>
          </w:p>
        </w:tc>
      </w:tr>
      <w:tr w:rsidR="00133F40">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资金情况</w:t>
            </w:r>
          </w:p>
        </w:tc>
      </w:tr>
      <w:tr w:rsidR="00133F40">
        <w:trPr>
          <w:trHeight w:val="515"/>
        </w:trPr>
        <w:tc>
          <w:tcPr>
            <w:tcW w:w="201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color w:val="000000"/>
                <w:sz w:val="20"/>
                <w:szCs w:val="20"/>
              </w:rPr>
            </w:pPr>
            <w:r>
              <w:rPr>
                <w:rFonts w:cs="宋体"/>
                <w:color w:val="000000"/>
                <w:sz w:val="20"/>
                <w:szCs w:val="20"/>
                <w:lang w:bidi="ar"/>
              </w:rPr>
              <w:t xml:space="preserve">　</w:t>
            </w:r>
          </w:p>
        </w:tc>
        <w:tc>
          <w:tcPr>
            <w:tcW w:w="141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年初预算数</w:t>
            </w:r>
          </w:p>
        </w:tc>
        <w:tc>
          <w:tcPr>
            <w:tcW w:w="19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全年（调整）预算数</w:t>
            </w:r>
          </w:p>
        </w:tc>
        <w:tc>
          <w:tcPr>
            <w:tcW w:w="1399"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全年执行数</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执行率</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执行率权重</w:t>
            </w:r>
          </w:p>
        </w:tc>
        <w:tc>
          <w:tcPr>
            <w:tcW w:w="86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lang w:bidi="ar"/>
              </w:rPr>
            </w:pPr>
            <w:r>
              <w:rPr>
                <w:rFonts w:cs="宋体"/>
                <w:b/>
                <w:color w:val="000000"/>
                <w:sz w:val="20"/>
                <w:szCs w:val="20"/>
                <w:lang w:bidi="ar"/>
              </w:rPr>
              <w:t>执行率</w:t>
            </w:r>
          </w:p>
          <w:p w:rsidR="00133F40" w:rsidRDefault="00000000">
            <w:pPr>
              <w:jc w:val="center"/>
              <w:textAlignment w:val="center"/>
              <w:rPr>
                <w:rFonts w:cs="宋体"/>
                <w:b/>
                <w:color w:val="000000"/>
                <w:sz w:val="20"/>
                <w:szCs w:val="20"/>
              </w:rPr>
            </w:pPr>
            <w:r>
              <w:rPr>
                <w:rFonts w:cs="宋体"/>
                <w:b/>
                <w:color w:val="000000"/>
                <w:sz w:val="20"/>
                <w:szCs w:val="20"/>
                <w:lang w:bidi="ar"/>
              </w:rPr>
              <w:t>得分</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年度总金额</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其中：财政拨款</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rightChars="-100" w:right="-240"/>
              <w:jc w:val="right"/>
              <w:textAlignment w:val="center"/>
              <w:rPr>
                <w:rFonts w:cs="宋体"/>
                <w:color w:val="000000"/>
                <w:sz w:val="20"/>
                <w:szCs w:val="20"/>
                <w:lang w:bidi="ar"/>
              </w:rPr>
            </w:pPr>
            <w:r>
              <w:rPr>
                <w:rFonts w:cs="宋体"/>
                <w:sz w:val="20"/>
                <w:szCs w:val="20"/>
                <w:lang w:bidi="ar"/>
              </w:rPr>
              <w:t>10</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一般公共预算</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133F40">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绩效目标</w:t>
            </w:r>
          </w:p>
        </w:tc>
      </w:tr>
      <w:tr w:rsidR="00133F40">
        <w:trPr>
          <w:trHeight w:val="413"/>
        </w:trPr>
        <w:tc>
          <w:tcPr>
            <w:tcW w:w="2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年初绩效目标</w:t>
            </w:r>
          </w:p>
        </w:tc>
        <w:tc>
          <w:tcPr>
            <w:tcW w:w="2527"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全年（调整）绩效目标</w:t>
            </w:r>
          </w:p>
        </w:tc>
        <w:tc>
          <w:tcPr>
            <w:tcW w:w="4287" w:type="dxa"/>
            <w:gridSpan w:val="8"/>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全年目标实际完成情况</w:t>
            </w:r>
          </w:p>
        </w:tc>
      </w:tr>
      <w:tr w:rsidR="00133F40">
        <w:trPr>
          <w:trHeight w:val="1434"/>
        </w:trPr>
        <w:tc>
          <w:tcPr>
            <w:tcW w:w="234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 xml:space="preserve">　</w:t>
            </w:r>
          </w:p>
        </w:tc>
        <w:tc>
          <w:tcPr>
            <w:tcW w:w="2527" w:type="dxa"/>
            <w:gridSpan w:val="6"/>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通过惠民惠农财政补贴资金</w:t>
            </w:r>
            <w:proofErr w:type="gramStart"/>
            <w:r>
              <w:rPr>
                <w:rFonts w:cs="宋体"/>
                <w:color w:val="000000"/>
                <w:sz w:val="20"/>
                <w:szCs w:val="20"/>
                <w:lang w:bidi="ar"/>
              </w:rPr>
              <w:t>一</w:t>
            </w:r>
            <w:proofErr w:type="gramEnd"/>
            <w:r>
              <w:rPr>
                <w:rFonts w:cs="宋体"/>
                <w:color w:val="000000"/>
                <w:sz w:val="20"/>
                <w:szCs w:val="20"/>
                <w:lang w:bidi="ar"/>
              </w:rPr>
              <w:t>卡通渠道统一发放扶助资金，达到受益对象全覆盖。</w:t>
            </w:r>
          </w:p>
        </w:tc>
        <w:tc>
          <w:tcPr>
            <w:tcW w:w="4287" w:type="dxa"/>
            <w:gridSpan w:val="8"/>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通过惠民惠农财政补贴资金</w:t>
            </w:r>
            <w:proofErr w:type="gramStart"/>
            <w:r>
              <w:rPr>
                <w:rFonts w:cs="宋体"/>
                <w:color w:val="000000"/>
                <w:sz w:val="20"/>
                <w:szCs w:val="20"/>
                <w:lang w:bidi="ar"/>
              </w:rPr>
              <w:t>一</w:t>
            </w:r>
            <w:proofErr w:type="gramEnd"/>
            <w:r>
              <w:rPr>
                <w:rFonts w:cs="宋体"/>
                <w:color w:val="000000"/>
                <w:sz w:val="20"/>
                <w:szCs w:val="20"/>
                <w:lang w:bidi="ar"/>
              </w:rPr>
              <w:t>卡通渠道统一发放扶助资金，达到受益对象全覆盖，受益群众满意度达100%。</w:t>
            </w:r>
          </w:p>
        </w:tc>
      </w:tr>
    </w:tbl>
    <w:tbl>
      <w:tblPr>
        <w:tblStyle w:val="aa"/>
        <w:tblW w:w="9192" w:type="dxa"/>
        <w:tblInd w:w="22" w:type="dxa"/>
        <w:tblLayout w:type="fixed"/>
        <w:tblLook w:val="04A0" w:firstRow="1" w:lastRow="0" w:firstColumn="1" w:lastColumn="0" w:noHBand="0" w:noVBand="1"/>
      </w:tblPr>
      <w:tblGrid>
        <w:gridCol w:w="1631"/>
        <w:gridCol w:w="681"/>
        <w:gridCol w:w="660"/>
        <w:gridCol w:w="772"/>
        <w:gridCol w:w="839"/>
        <w:gridCol w:w="839"/>
        <w:gridCol w:w="850"/>
        <w:gridCol w:w="664"/>
        <w:gridCol w:w="628"/>
        <w:gridCol w:w="826"/>
        <w:gridCol w:w="802"/>
      </w:tblGrid>
      <w:tr w:rsidR="00133F40">
        <w:trPr>
          <w:trHeight w:hRule="exact" w:val="618"/>
        </w:trPr>
        <w:tc>
          <w:tcPr>
            <w:tcW w:w="9192" w:type="dxa"/>
            <w:gridSpan w:val="11"/>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ascii="微软雅黑" w:eastAsia="微软雅黑" w:hAnsi="微软雅黑" w:cs="微软雅黑"/>
                <w:b/>
                <w:color w:val="808080"/>
                <w:lang w:bidi="ar"/>
              </w:rPr>
              <w:t>绩效指标</w:t>
            </w:r>
          </w:p>
        </w:tc>
      </w:tr>
      <w:tr w:rsidR="00133F40">
        <w:tc>
          <w:tcPr>
            <w:tcW w:w="1631"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指标名称</w:t>
            </w:r>
          </w:p>
        </w:tc>
        <w:tc>
          <w:tcPr>
            <w:tcW w:w="681"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计量单位</w:t>
            </w:r>
          </w:p>
        </w:tc>
        <w:tc>
          <w:tcPr>
            <w:tcW w:w="660"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指标性质</w:t>
            </w:r>
          </w:p>
        </w:tc>
        <w:tc>
          <w:tcPr>
            <w:tcW w:w="772"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指标值</w:t>
            </w:r>
          </w:p>
        </w:tc>
        <w:tc>
          <w:tcPr>
            <w:tcW w:w="839" w:type="dxa"/>
            <w:vAlign w:val="center"/>
          </w:tcPr>
          <w:p w:rsidR="00133F40" w:rsidRDefault="00000000">
            <w:pPr>
              <w:widowControl/>
              <w:jc w:val="center"/>
              <w:textAlignment w:val="center"/>
              <w:rPr>
                <w:rFonts w:cs="宋体"/>
                <w:b/>
                <w:color w:val="000000"/>
                <w:sz w:val="20"/>
                <w:szCs w:val="20"/>
                <w:lang w:bidi="ar"/>
              </w:rPr>
            </w:pPr>
            <w:r>
              <w:rPr>
                <w:rFonts w:cs="宋体"/>
                <w:b/>
                <w:color w:val="000000"/>
                <w:sz w:val="20"/>
                <w:szCs w:val="20"/>
                <w:lang w:bidi="ar"/>
              </w:rPr>
              <w:t>全年</w:t>
            </w:r>
          </w:p>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完成值</w:t>
            </w:r>
          </w:p>
        </w:tc>
        <w:tc>
          <w:tcPr>
            <w:tcW w:w="839"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偏离度（%）</w:t>
            </w:r>
          </w:p>
        </w:tc>
        <w:tc>
          <w:tcPr>
            <w:tcW w:w="850"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得分系数（%）</w:t>
            </w:r>
          </w:p>
        </w:tc>
        <w:tc>
          <w:tcPr>
            <w:tcW w:w="664"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指标权重</w:t>
            </w:r>
          </w:p>
        </w:tc>
        <w:tc>
          <w:tcPr>
            <w:tcW w:w="628"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指标得分</w:t>
            </w:r>
          </w:p>
        </w:tc>
        <w:tc>
          <w:tcPr>
            <w:tcW w:w="826"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是否核心指标</w:t>
            </w:r>
          </w:p>
        </w:tc>
        <w:tc>
          <w:tcPr>
            <w:tcW w:w="802"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说明</w:t>
            </w: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资金足额发放率</w:t>
            </w:r>
          </w:p>
        </w:tc>
        <w:tc>
          <w:tcPr>
            <w:tcW w:w="681"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子女伤残父母补助标准</w:t>
            </w:r>
          </w:p>
        </w:tc>
        <w:tc>
          <w:tcPr>
            <w:tcW w:w="681" w:type="dxa"/>
            <w:vAlign w:val="center"/>
          </w:tcPr>
          <w:p w:rsidR="00133F40" w:rsidRDefault="00000000">
            <w:pPr>
              <w:widowControl/>
              <w:jc w:val="right"/>
              <w:textAlignment w:val="center"/>
              <w:rPr>
                <w:rFonts w:cs="宋体"/>
                <w:color w:val="000000"/>
                <w:w w:val="93"/>
                <w:sz w:val="20"/>
                <w:szCs w:val="20"/>
                <w:lang w:bidi="ar"/>
              </w:rPr>
            </w:pPr>
            <w:r>
              <w:rPr>
                <w:rFonts w:cs="宋体"/>
                <w:color w:val="000000"/>
                <w:w w:val="93"/>
                <w:sz w:val="20"/>
                <w:szCs w:val="20"/>
                <w:lang w:bidi="ar"/>
              </w:rPr>
              <w:t>元/年</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10320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10320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子女死亡父母补助标准</w:t>
            </w:r>
          </w:p>
        </w:tc>
        <w:tc>
          <w:tcPr>
            <w:tcW w:w="681" w:type="dxa"/>
            <w:vAlign w:val="center"/>
          </w:tcPr>
          <w:p w:rsidR="00133F40" w:rsidRDefault="00000000">
            <w:pPr>
              <w:widowControl/>
              <w:jc w:val="right"/>
              <w:textAlignment w:val="center"/>
              <w:rPr>
                <w:rFonts w:cs="宋体"/>
                <w:color w:val="000000"/>
                <w:w w:val="93"/>
                <w:sz w:val="20"/>
                <w:szCs w:val="20"/>
                <w:lang w:bidi="ar"/>
              </w:rPr>
            </w:pPr>
            <w:r>
              <w:rPr>
                <w:rFonts w:cs="宋体"/>
                <w:color w:val="000000"/>
                <w:w w:val="93"/>
                <w:sz w:val="20"/>
                <w:szCs w:val="20"/>
                <w:lang w:bidi="ar"/>
              </w:rPr>
              <w:t>元/年</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12960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12960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改善享受对象和计生工作者的关系</w:t>
            </w:r>
          </w:p>
        </w:tc>
        <w:tc>
          <w:tcPr>
            <w:tcW w:w="681"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明显改善</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完善国家</w:t>
            </w:r>
            <w:proofErr w:type="gramStart"/>
            <w:r>
              <w:rPr>
                <w:rFonts w:cs="宋体"/>
                <w:color w:val="000000"/>
                <w:sz w:val="20"/>
                <w:szCs w:val="20"/>
                <w:lang w:bidi="ar"/>
              </w:rPr>
              <w:t>奖特扶</w:t>
            </w:r>
            <w:proofErr w:type="gramEnd"/>
            <w:r>
              <w:rPr>
                <w:rFonts w:cs="宋体"/>
                <w:color w:val="000000"/>
                <w:sz w:val="20"/>
                <w:szCs w:val="20"/>
                <w:lang w:bidi="ar"/>
              </w:rPr>
              <w:t>信息系统</w:t>
            </w:r>
          </w:p>
        </w:tc>
        <w:tc>
          <w:tcPr>
            <w:tcW w:w="681"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不断完善</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133F40">
        <w:tc>
          <w:tcPr>
            <w:tcW w:w="1631"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受益群众满意度</w:t>
            </w:r>
          </w:p>
        </w:tc>
        <w:tc>
          <w:tcPr>
            <w:tcW w:w="681"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5.26</w:t>
            </w:r>
          </w:p>
        </w:tc>
        <w:tc>
          <w:tcPr>
            <w:tcW w:w="85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133F40" w:rsidRDefault="00133F40">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bl>
    <w:tbl>
      <w:tblPr>
        <w:tblW w:w="9162" w:type="dxa"/>
        <w:tblInd w:w="-45" w:type="dxa"/>
        <w:tblLayout w:type="fixed"/>
        <w:tblCellMar>
          <w:left w:w="0" w:type="dxa"/>
          <w:right w:w="0" w:type="dxa"/>
        </w:tblCellMar>
        <w:tblLook w:val="04A0" w:firstRow="1" w:lastRow="0" w:firstColumn="1" w:lastColumn="0" w:noHBand="0" w:noVBand="1"/>
      </w:tblPr>
      <w:tblGrid>
        <w:gridCol w:w="993"/>
        <w:gridCol w:w="542"/>
        <w:gridCol w:w="484"/>
        <w:gridCol w:w="779"/>
        <w:gridCol w:w="316"/>
        <w:gridCol w:w="315"/>
        <w:gridCol w:w="722"/>
        <w:gridCol w:w="68"/>
        <w:gridCol w:w="1150"/>
        <w:gridCol w:w="282"/>
        <w:gridCol w:w="361"/>
        <w:gridCol w:w="756"/>
        <w:gridCol w:w="744"/>
        <w:gridCol w:w="158"/>
        <w:gridCol w:w="632"/>
        <w:gridCol w:w="860"/>
      </w:tblGrid>
      <w:tr w:rsidR="00133F40">
        <w:trPr>
          <w:trHeight w:val="805"/>
        </w:trPr>
        <w:tc>
          <w:tcPr>
            <w:tcW w:w="9162" w:type="dxa"/>
            <w:gridSpan w:val="1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000000"/>
                <w:sz w:val="40"/>
                <w:szCs w:val="40"/>
              </w:rPr>
            </w:pPr>
            <w:r>
              <w:rPr>
                <w:rFonts w:ascii="微软雅黑" w:eastAsia="微软雅黑" w:hAnsi="微软雅黑" w:cs="微软雅黑"/>
                <w:b/>
                <w:color w:val="000000"/>
                <w:sz w:val="36"/>
                <w:szCs w:val="36"/>
                <w:lang w:bidi="ar"/>
              </w:rPr>
              <w:t>2024年度二级项目绩效自评表</w:t>
            </w:r>
          </w:p>
        </w:tc>
      </w:tr>
      <w:tr w:rsidR="00133F40">
        <w:trPr>
          <w:trHeight w:val="499"/>
        </w:trPr>
        <w:tc>
          <w:tcPr>
            <w:tcW w:w="993"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lastRenderedPageBreak/>
              <w:t>项目名称：</w:t>
            </w:r>
          </w:p>
        </w:tc>
        <w:tc>
          <w:tcPr>
            <w:tcW w:w="2121"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2024年度-机关大楼电力分户专项改造</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项目编码：</w:t>
            </w:r>
          </w:p>
        </w:tc>
        <w:tc>
          <w:tcPr>
            <w:tcW w:w="1500" w:type="dxa"/>
            <w:gridSpan w:val="3"/>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50019324T000004167155</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自评总分：</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 xml:space="preserve">100 </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r>
      <w:tr w:rsidR="00133F40">
        <w:trPr>
          <w:trHeight w:val="499"/>
        </w:trPr>
        <w:tc>
          <w:tcPr>
            <w:tcW w:w="993"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项目主管部门：</w:t>
            </w:r>
          </w:p>
        </w:tc>
        <w:tc>
          <w:tcPr>
            <w:tcW w:w="2121"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302-重庆市九龙坡区白市驿镇人民政府</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财政归口处室：</w:t>
            </w:r>
          </w:p>
        </w:tc>
        <w:tc>
          <w:tcPr>
            <w:tcW w:w="1500" w:type="dxa"/>
            <w:gridSpan w:val="3"/>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003-预算科</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部门联系人：</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133F40" w:rsidRDefault="00000000">
            <w:pPr>
              <w:textAlignment w:val="center"/>
              <w:rPr>
                <w:rFonts w:cs="宋体"/>
                <w:color w:val="000000"/>
                <w:sz w:val="20"/>
                <w:szCs w:val="20"/>
                <w:lang w:bidi="ar"/>
              </w:rPr>
            </w:pPr>
            <w:r>
              <w:rPr>
                <w:rFonts w:cs="宋体"/>
                <w:color w:val="000000"/>
                <w:sz w:val="20"/>
                <w:szCs w:val="20"/>
                <w:lang w:bidi="ar"/>
              </w:rPr>
              <w:t>程淋</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b/>
                <w:color w:val="000000"/>
                <w:sz w:val="20"/>
                <w:szCs w:val="20"/>
              </w:rPr>
            </w:pPr>
            <w:r>
              <w:rPr>
                <w:rFonts w:cs="宋体"/>
                <w:b/>
                <w:color w:val="000000"/>
                <w:sz w:val="20"/>
                <w:szCs w:val="20"/>
                <w:lang w:bidi="ar"/>
              </w:rPr>
              <w:t>联系电话：</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65702074</w:t>
            </w:r>
          </w:p>
        </w:tc>
      </w:tr>
      <w:tr w:rsidR="00133F40">
        <w:trPr>
          <w:trHeight w:hRule="exact" w:val="618"/>
        </w:trPr>
        <w:tc>
          <w:tcPr>
            <w:tcW w:w="9162" w:type="dxa"/>
            <w:gridSpan w:val="1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资金情况</w:t>
            </w:r>
          </w:p>
        </w:tc>
      </w:tr>
      <w:tr w:rsidR="00133F40">
        <w:trPr>
          <w:trHeight w:val="515"/>
        </w:trPr>
        <w:tc>
          <w:tcPr>
            <w:tcW w:w="201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color w:val="000000"/>
                <w:sz w:val="20"/>
                <w:szCs w:val="20"/>
              </w:rPr>
            </w:pPr>
            <w:r>
              <w:rPr>
                <w:rFonts w:cs="宋体"/>
                <w:color w:val="000000"/>
                <w:sz w:val="20"/>
                <w:szCs w:val="20"/>
                <w:lang w:bidi="ar"/>
              </w:rPr>
              <w:t xml:space="preserve">　</w:t>
            </w:r>
          </w:p>
        </w:tc>
        <w:tc>
          <w:tcPr>
            <w:tcW w:w="1410"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年初预算数</w:t>
            </w:r>
          </w:p>
        </w:tc>
        <w:tc>
          <w:tcPr>
            <w:tcW w:w="1940"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全年（调整）预算数</w:t>
            </w:r>
          </w:p>
        </w:tc>
        <w:tc>
          <w:tcPr>
            <w:tcW w:w="1399"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全年执行数</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执行率</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执行率权重</w:t>
            </w:r>
          </w:p>
        </w:tc>
        <w:tc>
          <w:tcPr>
            <w:tcW w:w="86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lang w:bidi="ar"/>
              </w:rPr>
            </w:pPr>
            <w:r>
              <w:rPr>
                <w:rFonts w:cs="宋体"/>
                <w:b/>
                <w:color w:val="000000"/>
                <w:sz w:val="20"/>
                <w:szCs w:val="20"/>
                <w:lang w:bidi="ar"/>
              </w:rPr>
              <w:t>执行率</w:t>
            </w:r>
          </w:p>
          <w:p w:rsidR="00133F40" w:rsidRDefault="00000000">
            <w:pPr>
              <w:jc w:val="center"/>
              <w:textAlignment w:val="center"/>
              <w:rPr>
                <w:rFonts w:cs="宋体"/>
                <w:b/>
                <w:color w:val="000000"/>
                <w:sz w:val="20"/>
                <w:szCs w:val="20"/>
              </w:rPr>
            </w:pPr>
            <w:r>
              <w:rPr>
                <w:rFonts w:cs="宋体"/>
                <w:b/>
                <w:color w:val="000000"/>
                <w:sz w:val="20"/>
                <w:szCs w:val="20"/>
                <w:lang w:bidi="ar"/>
              </w:rPr>
              <w:t>得分</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年度总金额</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779" w:type="dxa"/>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631"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11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其中：财政拨款</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779" w:type="dxa"/>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631"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11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rightChars="-100" w:right="-240"/>
              <w:jc w:val="right"/>
              <w:textAlignment w:val="center"/>
              <w:rPr>
                <w:rFonts w:cs="宋体"/>
                <w:color w:val="000000"/>
                <w:sz w:val="20"/>
                <w:szCs w:val="20"/>
                <w:lang w:bidi="ar"/>
              </w:rPr>
            </w:pPr>
            <w:r>
              <w:rPr>
                <w:rFonts w:cs="宋体"/>
                <w:sz w:val="20"/>
                <w:szCs w:val="20"/>
                <w:lang w:bidi="ar"/>
              </w:rPr>
              <w:t>10</w:t>
            </w:r>
          </w:p>
        </w:tc>
      </w:tr>
      <w:tr w:rsidR="00133F40">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一般公共预算</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779" w:type="dxa"/>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631"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11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18"/>
                <w:szCs w:val="18"/>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33F40" w:rsidRDefault="00000000">
            <w:pPr>
              <w:jc w:val="right"/>
              <w:textAlignment w:val="center"/>
              <w:rPr>
                <w:rFonts w:cs="宋体"/>
                <w:color w:val="000000"/>
                <w:sz w:val="18"/>
                <w:szCs w:val="18"/>
                <w:lang w:bidi="ar"/>
              </w:rPr>
            </w:pPr>
            <w:r>
              <w:rPr>
                <w:rFonts w:cs="宋体"/>
                <w:color w:val="000000"/>
                <w:sz w:val="21"/>
                <w:szCs w:val="21"/>
                <w:lang w:bidi="ar"/>
              </w:rPr>
              <w:t>95.21</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133F40"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133F40">
        <w:trPr>
          <w:trHeight w:hRule="exact" w:val="618"/>
        </w:trPr>
        <w:tc>
          <w:tcPr>
            <w:tcW w:w="9162" w:type="dxa"/>
            <w:gridSpan w:val="1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绩效目标</w:t>
            </w:r>
          </w:p>
        </w:tc>
      </w:tr>
      <w:tr w:rsidR="00133F40">
        <w:trPr>
          <w:trHeight w:val="413"/>
        </w:trPr>
        <w:tc>
          <w:tcPr>
            <w:tcW w:w="279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年初绩效目标</w:t>
            </w:r>
          </w:p>
        </w:tc>
        <w:tc>
          <w:tcPr>
            <w:tcW w:w="2571" w:type="dxa"/>
            <w:gridSpan w:val="5"/>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全年（调整）绩效目标</w:t>
            </w:r>
          </w:p>
        </w:tc>
        <w:tc>
          <w:tcPr>
            <w:tcW w:w="3793" w:type="dxa"/>
            <w:gridSpan w:val="7"/>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lang w:bidi="ar"/>
              </w:rPr>
              <w:t>全年目标实际完成情况</w:t>
            </w:r>
          </w:p>
        </w:tc>
      </w:tr>
      <w:tr w:rsidR="00133F40">
        <w:trPr>
          <w:trHeight w:val="1434"/>
        </w:trPr>
        <w:tc>
          <w:tcPr>
            <w:tcW w:w="279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完成原四个单位共用的电力分户，分别安装箱变、铺设电缆等电力设施及</w:t>
            </w:r>
            <w:proofErr w:type="gramStart"/>
            <w:r>
              <w:rPr>
                <w:rFonts w:cs="宋体"/>
                <w:color w:val="000000"/>
                <w:sz w:val="20"/>
                <w:szCs w:val="20"/>
                <w:lang w:bidi="ar"/>
              </w:rPr>
              <w:t>机关楼</w:t>
            </w:r>
            <w:proofErr w:type="gramEnd"/>
            <w:r>
              <w:rPr>
                <w:rFonts w:cs="宋体"/>
                <w:color w:val="000000"/>
                <w:sz w:val="20"/>
                <w:szCs w:val="20"/>
                <w:lang w:bidi="ar"/>
              </w:rPr>
              <w:t>的维修改造，降低单位能耗，提升单位用电安全，保障单位正常运行。</w:t>
            </w:r>
          </w:p>
        </w:tc>
        <w:tc>
          <w:tcPr>
            <w:tcW w:w="2571" w:type="dxa"/>
            <w:gridSpan w:val="5"/>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 xml:space="preserve">　</w:t>
            </w:r>
          </w:p>
        </w:tc>
        <w:tc>
          <w:tcPr>
            <w:tcW w:w="3793" w:type="dxa"/>
            <w:gridSpan w:val="7"/>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133F40" w:rsidRDefault="00000000">
            <w:pPr>
              <w:textAlignment w:val="top"/>
              <w:rPr>
                <w:rFonts w:cs="宋体"/>
                <w:color w:val="000000"/>
                <w:sz w:val="20"/>
                <w:szCs w:val="20"/>
                <w:lang w:bidi="ar"/>
              </w:rPr>
            </w:pPr>
            <w:r>
              <w:rPr>
                <w:rFonts w:cs="宋体"/>
                <w:color w:val="000000"/>
                <w:sz w:val="20"/>
                <w:szCs w:val="20"/>
                <w:lang w:bidi="ar"/>
              </w:rPr>
              <w:t>已完成了原四个单位共用的电力分户，分别安装了箱变、铺设电缆等电力设施及</w:t>
            </w:r>
            <w:proofErr w:type="gramStart"/>
            <w:r>
              <w:rPr>
                <w:rFonts w:cs="宋体"/>
                <w:color w:val="000000"/>
                <w:sz w:val="20"/>
                <w:szCs w:val="20"/>
                <w:lang w:bidi="ar"/>
              </w:rPr>
              <w:t>机关楼</w:t>
            </w:r>
            <w:proofErr w:type="gramEnd"/>
            <w:r>
              <w:rPr>
                <w:rFonts w:cs="宋体"/>
                <w:color w:val="000000"/>
                <w:sz w:val="20"/>
                <w:szCs w:val="20"/>
                <w:lang w:bidi="ar"/>
              </w:rPr>
              <w:t>的维修改造，降低了单位能耗，提升了单位用电安全，保障了单位正常运行，服务对象满意度达90%以上。</w:t>
            </w:r>
          </w:p>
        </w:tc>
      </w:tr>
    </w:tbl>
    <w:tbl>
      <w:tblPr>
        <w:tblStyle w:val="aa"/>
        <w:tblW w:w="9192" w:type="dxa"/>
        <w:tblInd w:w="22" w:type="dxa"/>
        <w:tblLayout w:type="fixed"/>
        <w:tblLook w:val="04A0" w:firstRow="1" w:lastRow="0" w:firstColumn="1" w:lastColumn="0" w:noHBand="0" w:noVBand="1"/>
      </w:tblPr>
      <w:tblGrid>
        <w:gridCol w:w="1324"/>
        <w:gridCol w:w="665"/>
        <w:gridCol w:w="654"/>
        <w:gridCol w:w="666"/>
        <w:gridCol w:w="834"/>
        <w:gridCol w:w="880"/>
        <w:gridCol w:w="880"/>
        <w:gridCol w:w="676"/>
        <w:gridCol w:w="677"/>
        <w:gridCol w:w="823"/>
        <w:gridCol w:w="1113"/>
      </w:tblGrid>
      <w:tr w:rsidR="00133F40">
        <w:trPr>
          <w:trHeight w:hRule="exact" w:val="618"/>
        </w:trPr>
        <w:tc>
          <w:tcPr>
            <w:tcW w:w="9192" w:type="dxa"/>
            <w:gridSpan w:val="11"/>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ascii="微软雅黑" w:eastAsia="微软雅黑" w:hAnsi="微软雅黑" w:cs="微软雅黑"/>
                <w:b/>
                <w:color w:val="808080"/>
                <w:lang w:bidi="ar"/>
              </w:rPr>
              <w:t>绩效指标</w:t>
            </w:r>
          </w:p>
        </w:tc>
      </w:tr>
      <w:tr w:rsidR="00133F40">
        <w:tc>
          <w:tcPr>
            <w:tcW w:w="1324"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指标名称</w:t>
            </w:r>
          </w:p>
        </w:tc>
        <w:tc>
          <w:tcPr>
            <w:tcW w:w="665"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计量单位</w:t>
            </w:r>
          </w:p>
        </w:tc>
        <w:tc>
          <w:tcPr>
            <w:tcW w:w="654"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指标性质</w:t>
            </w:r>
          </w:p>
        </w:tc>
        <w:tc>
          <w:tcPr>
            <w:tcW w:w="666"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指标值</w:t>
            </w:r>
          </w:p>
        </w:tc>
        <w:tc>
          <w:tcPr>
            <w:tcW w:w="834" w:type="dxa"/>
            <w:vAlign w:val="center"/>
          </w:tcPr>
          <w:p w:rsidR="00133F40" w:rsidRDefault="00000000">
            <w:pPr>
              <w:widowControl/>
              <w:jc w:val="center"/>
              <w:textAlignment w:val="center"/>
              <w:rPr>
                <w:rFonts w:cs="宋体"/>
                <w:b/>
                <w:color w:val="000000"/>
                <w:sz w:val="20"/>
                <w:szCs w:val="20"/>
                <w:lang w:bidi="ar"/>
              </w:rPr>
            </w:pPr>
            <w:r>
              <w:rPr>
                <w:rFonts w:cs="宋体"/>
                <w:b/>
                <w:color w:val="000000"/>
                <w:sz w:val="20"/>
                <w:szCs w:val="20"/>
                <w:lang w:bidi="ar"/>
              </w:rPr>
              <w:t>全年</w:t>
            </w:r>
          </w:p>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完成值</w:t>
            </w:r>
          </w:p>
        </w:tc>
        <w:tc>
          <w:tcPr>
            <w:tcW w:w="880"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偏离度（%）</w:t>
            </w:r>
          </w:p>
        </w:tc>
        <w:tc>
          <w:tcPr>
            <w:tcW w:w="880"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得分系数（%）</w:t>
            </w:r>
          </w:p>
        </w:tc>
        <w:tc>
          <w:tcPr>
            <w:tcW w:w="676"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指标权重</w:t>
            </w:r>
          </w:p>
        </w:tc>
        <w:tc>
          <w:tcPr>
            <w:tcW w:w="677"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指标得分</w:t>
            </w:r>
          </w:p>
        </w:tc>
        <w:tc>
          <w:tcPr>
            <w:tcW w:w="823"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是否核心指标</w:t>
            </w:r>
          </w:p>
        </w:tc>
        <w:tc>
          <w:tcPr>
            <w:tcW w:w="1113" w:type="dxa"/>
            <w:vAlign w:val="center"/>
          </w:tcPr>
          <w:p w:rsidR="00133F40"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说明</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变压器数</w:t>
            </w:r>
          </w:p>
        </w:tc>
        <w:tc>
          <w:tcPr>
            <w:tcW w:w="665"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台</w:t>
            </w:r>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50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1113" w:type="dxa"/>
            <w:vAlign w:val="center"/>
          </w:tcPr>
          <w:p w:rsidR="00133F40" w:rsidRDefault="00000000">
            <w:pPr>
              <w:widowControl/>
              <w:textAlignment w:val="center"/>
              <w:rPr>
                <w:rFonts w:cs="宋体"/>
                <w:color w:val="000000"/>
                <w:sz w:val="20"/>
                <w:szCs w:val="20"/>
                <w:lang w:bidi="ar"/>
              </w:rPr>
            </w:pPr>
            <w:r>
              <w:rPr>
                <w:rFonts w:cs="宋体"/>
                <w:color w:val="000000"/>
                <w:sz w:val="20"/>
                <w:szCs w:val="20"/>
                <w:lang w:bidi="ar"/>
              </w:rPr>
              <w:t>白市</w:t>
            </w:r>
            <w:proofErr w:type="gramStart"/>
            <w:r>
              <w:rPr>
                <w:rFonts w:cs="宋体"/>
                <w:color w:val="000000"/>
                <w:sz w:val="20"/>
                <w:szCs w:val="20"/>
                <w:lang w:bidi="ar"/>
              </w:rPr>
              <w:t>驿</w:t>
            </w:r>
            <w:proofErr w:type="gramEnd"/>
            <w:r>
              <w:rPr>
                <w:rFonts w:cs="宋体"/>
                <w:color w:val="000000"/>
                <w:sz w:val="20"/>
                <w:szCs w:val="20"/>
                <w:lang w:bidi="ar"/>
              </w:rPr>
              <w:t>法庭单独增加一台变压器。</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分支</w:t>
            </w:r>
            <w:proofErr w:type="gramStart"/>
            <w:r>
              <w:rPr>
                <w:rFonts w:cs="宋体"/>
                <w:color w:val="000000"/>
                <w:sz w:val="20"/>
                <w:szCs w:val="20"/>
                <w:lang w:bidi="ar"/>
              </w:rPr>
              <w:t>箱数量</w:t>
            </w:r>
            <w:proofErr w:type="gramEnd"/>
          </w:p>
        </w:tc>
        <w:tc>
          <w:tcPr>
            <w:tcW w:w="665" w:type="dxa"/>
            <w:vAlign w:val="center"/>
          </w:tcPr>
          <w:p w:rsidR="00133F40" w:rsidRDefault="00000000">
            <w:pPr>
              <w:widowControl/>
              <w:jc w:val="right"/>
              <w:textAlignment w:val="center"/>
              <w:rPr>
                <w:rFonts w:cs="宋体"/>
                <w:color w:val="000000"/>
                <w:sz w:val="20"/>
                <w:szCs w:val="20"/>
                <w:lang w:bidi="ar"/>
              </w:rPr>
            </w:pPr>
            <w:proofErr w:type="gramStart"/>
            <w:r>
              <w:rPr>
                <w:rFonts w:cs="宋体"/>
                <w:color w:val="000000"/>
                <w:sz w:val="20"/>
                <w:szCs w:val="20"/>
                <w:lang w:bidi="ar"/>
              </w:rPr>
              <w:t>个</w:t>
            </w:r>
            <w:proofErr w:type="gramEnd"/>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111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验收合格率</w:t>
            </w:r>
          </w:p>
        </w:tc>
        <w:tc>
          <w:tcPr>
            <w:tcW w:w="665"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111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保障单位正常用电</w:t>
            </w:r>
          </w:p>
        </w:tc>
        <w:tc>
          <w:tcPr>
            <w:tcW w:w="665"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111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降低能耗</w:t>
            </w:r>
          </w:p>
        </w:tc>
        <w:tc>
          <w:tcPr>
            <w:tcW w:w="665"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降低</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111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133F40">
        <w:tc>
          <w:tcPr>
            <w:tcW w:w="1324" w:type="dxa"/>
            <w:vAlign w:val="center"/>
          </w:tcPr>
          <w:p w:rsidR="00133F40" w:rsidRDefault="00000000">
            <w:pPr>
              <w:widowControl/>
              <w:jc w:val="left"/>
              <w:textAlignment w:val="center"/>
              <w:rPr>
                <w:rFonts w:cs="宋体"/>
                <w:color w:val="000000"/>
                <w:sz w:val="20"/>
                <w:szCs w:val="20"/>
                <w:lang w:bidi="ar"/>
              </w:rPr>
            </w:pPr>
            <w:r>
              <w:rPr>
                <w:rFonts w:cs="宋体"/>
                <w:color w:val="000000"/>
                <w:sz w:val="20"/>
                <w:szCs w:val="20"/>
                <w:lang w:bidi="ar"/>
              </w:rPr>
              <w:t>服务对象满意度</w:t>
            </w:r>
          </w:p>
        </w:tc>
        <w:tc>
          <w:tcPr>
            <w:tcW w:w="665"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5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90</w:t>
            </w:r>
          </w:p>
        </w:tc>
        <w:tc>
          <w:tcPr>
            <w:tcW w:w="834"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90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80"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76"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77"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1113" w:type="dxa"/>
            <w:vAlign w:val="center"/>
          </w:tcPr>
          <w:p w:rsidR="00133F40"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bl>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（二）单位绩效评价情况</w:t>
      </w:r>
    </w:p>
    <w:p w:rsidR="00133F40" w:rsidRDefault="00000000">
      <w:pPr>
        <w:pStyle w:val="1"/>
        <w:widowControl w:val="0"/>
        <w:autoSpaceDE w:val="0"/>
        <w:spacing w:line="600" w:lineRule="exact"/>
        <w:ind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lastRenderedPageBreak/>
        <w:t>我单位未组织开展绩效评价。</w:t>
      </w:r>
    </w:p>
    <w:p w:rsidR="00133F40"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（三）财政绩效评价情况</w:t>
      </w:r>
    </w:p>
    <w:p w:rsidR="00133F40" w:rsidRDefault="00000000">
      <w:pPr>
        <w:pStyle w:val="1"/>
        <w:widowControl w:val="0"/>
        <w:autoSpaceDE w:val="0"/>
        <w:spacing w:line="600" w:lineRule="exact"/>
        <w:ind w:firstLine="640"/>
        <w:rPr>
          <w:rFonts w:ascii="Times New Roman" w:eastAsia="方正仿宋_GBK" w:hAnsi="Times New Roman"/>
          <w:bCs/>
          <w:sz w:val="32"/>
          <w:szCs w:val="32"/>
        </w:rPr>
      </w:pPr>
      <w:r>
        <w:rPr>
          <w:rFonts w:ascii="Times New Roman" w:eastAsia="方正仿宋_GBK" w:hAnsi="Times New Roman" w:cs="方正仿宋_GBK" w:hint="eastAsia"/>
          <w:sz w:val="32"/>
          <w:szCs w:val="32"/>
          <w:shd w:val="clear" w:color="auto" w:fill="FFFFFF"/>
        </w:rPr>
        <w:t>重庆高新区财政局未委托第三方对我单位开展绩效评价。</w:t>
      </w:r>
    </w:p>
    <w:p w:rsidR="00133F40" w:rsidRDefault="00000000">
      <w:pPr>
        <w:pStyle w:val="Char"/>
        <w:widowControl w:val="0"/>
        <w:autoSpaceDE w:val="0"/>
        <w:spacing w:before="0" w:beforeAutospacing="0" w:after="0" w:afterAutospacing="0" w:line="600" w:lineRule="exact"/>
        <w:ind w:firstLineChars="200" w:firstLine="640"/>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六、专业名词解释</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hint="eastAsia"/>
          <w:sz w:val="32"/>
          <w:szCs w:val="32"/>
          <w:shd w:val="clear" w:color="auto" w:fill="FFFFFF"/>
        </w:rPr>
        <w:lastRenderedPageBreak/>
        <w:t>政拨款结余弥补本年度收支缺口的资金。</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w:t>
      </w:r>
      <w:r>
        <w:rPr>
          <w:rFonts w:ascii="方正仿宋_GBK" w:eastAsia="方正仿宋_GBK" w:hAnsi="方正仿宋_GBK" w:cs="方正仿宋_GBK" w:hint="eastAsia"/>
          <w:sz w:val="32"/>
          <w:szCs w:val="32"/>
          <w:shd w:val="clear" w:color="auto" w:fill="FFFFFF"/>
        </w:rPr>
        <w:lastRenderedPageBreak/>
        <w:t>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133F40"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133F40" w:rsidRDefault="00000000">
      <w:pPr>
        <w:pStyle w:val="Char"/>
        <w:widowControl w:val="0"/>
        <w:autoSpaceDE w:val="0"/>
        <w:spacing w:before="0" w:beforeAutospacing="0" w:after="0" w:afterAutospacing="0" w:line="600" w:lineRule="exact"/>
        <w:ind w:firstLineChars="200" w:firstLine="640"/>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lastRenderedPageBreak/>
        <w:t>七、决算公开联系方式及信息反馈渠道</w:t>
      </w:r>
    </w:p>
    <w:p w:rsidR="00133F40"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Times New Roman" w:eastAsia="方正仿宋_GBK" w:hAnsi="Times New Roman"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65707445</w:t>
      </w:r>
      <w:r>
        <w:rPr>
          <w:rFonts w:ascii="Times New Roman" w:eastAsia="方正仿宋_GBK" w:hAnsi="Times New Roman" w:cs="方正仿宋_GBK" w:hint="eastAsia"/>
          <w:sz w:val="32"/>
          <w:szCs w:val="32"/>
          <w:shd w:val="clear" w:color="auto" w:fill="FFFFFF"/>
        </w:rPr>
        <w:t>。</w:t>
      </w:r>
    </w:p>
    <w:p w:rsidR="00133F40" w:rsidRDefault="00133F4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p>
    <w:p w:rsidR="00133F40" w:rsidRDefault="00133F40">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sectPr w:rsidR="00133F40">
          <w:footerReference w:type="default" r:id="rId7"/>
          <w:pgSz w:w="11915" w:h="16840"/>
          <w:pgMar w:top="2098" w:right="1531" w:bottom="1984" w:left="1531" w:header="851" w:footer="992" w:gutter="0"/>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33F40">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133F4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33F4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rPr>
                <w:rFonts w:ascii="Arial" w:hAnsi="Arial" w:cs="Arial" w:hint="default"/>
                <w:color w:val="000000"/>
                <w:sz w:val="22"/>
                <w:szCs w:val="22"/>
              </w:rPr>
            </w:pPr>
            <w:r>
              <w:rPr>
                <w:rFonts w:cs="宋体"/>
                <w:sz w:val="20"/>
                <w:szCs w:val="20"/>
              </w:rPr>
              <w:t>部门：</w:t>
            </w:r>
            <w:r>
              <w:rPr>
                <w:sz w:val="20"/>
              </w:rPr>
              <w:t>重庆市九龙坡区白市驿镇人民政府（本级）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6,991.55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3,975.22</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97.80</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778.95</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669.50</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703.02</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251.14</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347.68</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133.50</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7,125.05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7,125.05</w:t>
            </w: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3F4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7,125.05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33F40"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7,125.05</w:t>
            </w:r>
            <w:r>
              <w:rPr>
                <w:rFonts w:ascii="Times New Roman" w:hAnsi="Times New Roman"/>
                <w:color w:val="000000"/>
                <w:sz w:val="20"/>
              </w:rPr>
              <w:t xml:space="preserve"> </w:t>
            </w:r>
          </w:p>
        </w:tc>
      </w:tr>
    </w:tbl>
    <w:p w:rsidR="00133F40" w:rsidRDefault="00133F40">
      <w:pPr>
        <w:rPr>
          <w:rFonts w:cs="宋体"/>
          <w:sz w:val="21"/>
          <w:szCs w:val="21"/>
        </w:rPr>
      </w:pPr>
    </w:p>
    <w:p w:rsidR="00133F40"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133F40">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133F40">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20"/>
                <w:szCs w:val="20"/>
              </w:rPr>
            </w:pPr>
            <w:r>
              <w:rPr>
                <w:rFonts w:cs="宋体"/>
                <w:sz w:val="20"/>
                <w:szCs w:val="20"/>
              </w:rPr>
              <w:t>部门：</w:t>
            </w:r>
            <w:r>
              <w:rPr>
                <w:sz w:val="20"/>
              </w:rPr>
              <w:t>重庆市九龙坡区白市驿镇人民政府（本级）</w:t>
            </w:r>
          </w:p>
        </w:tc>
        <w:tc>
          <w:tcPr>
            <w:tcW w:w="461"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33F40">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其他收入</w:t>
            </w:r>
          </w:p>
        </w:tc>
      </w:tr>
      <w:tr w:rsidR="00133F40">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7,125.05</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7,125.05</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3,975.22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3,975.22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其他人大事务支出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政协事务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其他政协事务支出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3,712.55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3,712.55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统计管理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财政事务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其他财政事务支出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群众团体事务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2012999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其他群众团体事务支出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lastRenderedPageBreak/>
              <w:t>2013202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20306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国防动员</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2030607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民兵</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司法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基层司法业务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其他司法支出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2060199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其他科学技术管理事务支出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778.95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778.95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民政管理事务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基层政权建设和社区治理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死亡抚恤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老年福利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最低生活保障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2082501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其他城市生活救助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2082804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拥军优属</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669.50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669.50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计划生育事务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2100717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计划生育服务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优抚对象医疗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优抚对象医疗补助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污染防治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水体</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其他城乡社区管理事务支出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其他农业农村支出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巩固脱贫攻坚成果衔接乡村振兴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lastRenderedPageBreak/>
              <w:t>2130505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生产发展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农村综合改革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对村级公益事业建设的补助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交通运输支出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铁路运输</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2140206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铁路安全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2200199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其他自然资源事务支出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347.68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347.68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棚户区改造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保障性住房租金补贴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保障性租赁住房</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2240199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2296002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用于社会福利的彩票公益金支出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2296003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用于体育事业的彩票公益金支出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2296099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用于其他社会公益事业的彩票公益金支出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3F40"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p>
    <w:p w:rsidR="00133F40" w:rsidRDefault="00133F40">
      <w:pPr>
        <w:ind w:left="600" w:hangingChars="300" w:hanging="600"/>
        <w:rPr>
          <w:rFonts w:cs="宋体"/>
          <w:sz w:val="20"/>
          <w:szCs w:val="20"/>
        </w:rPr>
      </w:pP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133F40">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133F40">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重庆市九龙坡区白市驿镇人民政府（本级） </w:t>
            </w:r>
          </w:p>
        </w:tc>
        <w:tc>
          <w:tcPr>
            <w:tcW w:w="56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33F40">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133F40">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3F40" w:rsidRDefault="00133F40">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7,125.05</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2,111.88</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5,013.17</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3,975.22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1,577.66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2,397.56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其他人大事务支出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政协事务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其他政协事务支出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3,712.55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1,577.66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2,134.90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统计管理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财政事务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其他财政事务支出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群众团体事务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2012999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其他群众团体事务支出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2013202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20306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国防动员</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2030607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民兵</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基层司法业务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其他司法支出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2060199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其他科学技术管理事务支出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778.95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338.43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440.52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民政管理事务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基层政权建设和社区治理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52.84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死亡抚恤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20810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老年福利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最低生活保障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2082501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其他城市生活救助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2082804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拥军优属</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669.50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597.44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计划生育事务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2100717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计划生育服务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优抚对象医疗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优抚对象医疗补助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污染防治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水体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其他农业农村支出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巩固脱贫攻坚成果衔接乡村振兴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生产发展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农村综合改革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对村级公益事业建设的补助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交通运输支出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铁路运输</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2140206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铁路安全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2200199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其他自然资源事务支出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347.68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棚户区改造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保障性住房租金补贴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保障性租赁住房</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2240199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2296002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用于社会福利的彩票公益金支出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lastRenderedPageBreak/>
              <w:t>2296003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用于体育事业的彩票公益金支出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2296099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用于其他社会公益事业的彩票公益金支出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3F40"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3F40" w:rsidRDefault="00000000">
      <w:pPr>
        <w:rPr>
          <w:rFonts w:cs="宋体"/>
          <w:sz w:val="21"/>
          <w:szCs w:val="21"/>
        </w:rPr>
      </w:pPr>
      <w:r>
        <w:rPr>
          <w:rFonts w:cs="宋体"/>
          <w:sz w:val="21"/>
          <w:szCs w:val="21"/>
        </w:rPr>
        <w:br w:type="page"/>
      </w:r>
    </w:p>
    <w:p w:rsidR="00133F40" w:rsidRDefault="00133F40">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33F40">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133F40">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重庆市九龙坡区白市驿镇人民政府（本级）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33F40">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133F40">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133F40">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6,991.55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3,975.22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3,975.22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97.80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778.95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778.95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703.02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703.02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347.68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347.68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83.67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7,125.05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7,125.05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6,991.55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200" w:lineRule="exact"/>
              <w:rPr>
                <w:rFonts w:ascii="Times New Roman" w:hAnsi="Times New Roman" w:hint="default"/>
                <w:color w:val="000000"/>
                <w:sz w:val="18"/>
                <w:szCs w:val="18"/>
              </w:rPr>
            </w:pP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200" w:lineRule="exact"/>
              <w:jc w:val="right"/>
              <w:rPr>
                <w:rFonts w:ascii="Times New Roman" w:hAnsi="Times New Roman" w:hint="default"/>
                <w:color w:val="000000"/>
                <w:sz w:val="18"/>
                <w:szCs w:val="18"/>
              </w:rPr>
            </w:pPr>
          </w:p>
        </w:tc>
      </w:tr>
      <w:tr w:rsidR="00133F4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7,125.05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7,125.05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6,991.55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33F40"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133F40">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133F40">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33F40">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本年支出</w:t>
            </w:r>
          </w:p>
        </w:tc>
      </w:tr>
      <w:tr w:rsidR="00133F40">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项目支出</w:t>
            </w:r>
          </w:p>
        </w:tc>
      </w:tr>
      <w:tr w:rsidR="00133F40">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6,991.55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2,111.88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4,879.68</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3,975.22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1,577.66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2,397.56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其他人大事务支出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其他政协事务支出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3,712.55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1,577.66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2,134.90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统计管理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财政事务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其他财政事务支出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20129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群众团体事务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2012999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其他群众团体事务支出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20306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国防动员</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2030607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民兵</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基层司法业务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其他司法支出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科学技术管理事务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2060199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其他科学技术管理事务支出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778.95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338.43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440.52</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9.74</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285.27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94.45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47.23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143.59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52.84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52.84</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老年福利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16.90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16.90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2082501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其他城市生活救助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11.63</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lastRenderedPageBreak/>
              <w:t>2082804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拥军优属</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669.50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597.44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计划生育事务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2100717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计划生育服务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21.88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水体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703.02</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25.67</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25.67</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251.14</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129.00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其他农业农村支出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生产发展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21307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农村综合改革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2130701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对村级公益事业建设的补助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交通运输支出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21402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铁路运输</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2140206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铁路安全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其他自然资源事务支出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347.68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lastRenderedPageBreak/>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棚户区改造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保障性住房租金补贴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2210110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保障性租赁住房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123.73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123.73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r>
      <w:tr w:rsidR="00133F4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2240199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textAlignment w:val="center"/>
              <w:rPr>
                <w:rFonts w:cs="宋体"/>
                <w:color w:val="000000"/>
                <w:sz w:val="20"/>
                <w:szCs w:val="20"/>
              </w:rPr>
            </w:pPr>
            <w:r>
              <w:rPr>
                <w:rFonts w:cs="宋体"/>
                <w:color w:val="000000"/>
                <w:sz w:val="20"/>
                <w:szCs w:val="20"/>
              </w:rPr>
              <w:t>其他应急管理支出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r>
    </w:tbl>
    <w:p w:rsidR="00133F40"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3F40"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33F40">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133F40">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重庆市九龙坡区白市驿镇人民政府（本级）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33F40">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3F40" w:rsidRDefault="00133F40">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133F40">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133F40">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spacing w:line="192" w:lineRule="exact"/>
              <w:jc w:val="center"/>
              <w:rPr>
                <w:rFonts w:cs="宋体"/>
                <w:b/>
                <w:color w:val="000000"/>
                <w:sz w:val="18"/>
                <w:szCs w:val="18"/>
              </w:rPr>
            </w:pP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1,605.17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16.24</w:t>
            </w: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217.38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16.24</w:t>
            </w: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781.96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123.73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196.75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jc w:val="right"/>
              <w:rPr>
                <w:rFonts w:ascii="Times New Roman" w:hAnsi="Times New Roman" w:hint="default"/>
                <w:color w:val="000000"/>
                <w:sz w:val="18"/>
                <w:szCs w:val="18"/>
              </w:rPr>
            </w:pPr>
          </w:p>
        </w:tc>
      </w:tr>
      <w:tr w:rsidR="00133F4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jc w:val="right"/>
              <w:rPr>
                <w:rFonts w:ascii="Times New Roman" w:hAnsi="Times New Roman" w:hint="default"/>
                <w:color w:val="000000"/>
                <w:sz w:val="18"/>
                <w:szCs w:val="18"/>
              </w:rPr>
            </w:pPr>
          </w:p>
        </w:tc>
      </w:tr>
      <w:tr w:rsidR="00133F40">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133F40">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spacing w:line="192" w:lineRule="exact"/>
              <w:jc w:val="right"/>
              <w:rPr>
                <w:rFonts w:ascii="Times New Roman" w:hAnsi="Times New Roman" w:hint="default"/>
                <w:color w:val="000000"/>
                <w:sz w:val="18"/>
                <w:szCs w:val="18"/>
              </w:rPr>
            </w:pPr>
          </w:p>
        </w:tc>
      </w:tr>
      <w:tr w:rsidR="00133F40">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1,801.92</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309.96</w:t>
            </w:r>
            <w:r>
              <w:rPr>
                <w:rFonts w:ascii="Times New Roman" w:hAnsi="Times New Roman"/>
                <w:color w:val="000000"/>
                <w:sz w:val="18"/>
              </w:rPr>
              <w:t xml:space="preserve"> </w:t>
            </w:r>
          </w:p>
        </w:tc>
      </w:tr>
    </w:tbl>
    <w:p w:rsidR="00133F40"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73"/>
        <w:gridCol w:w="3630"/>
        <w:gridCol w:w="1686"/>
        <w:gridCol w:w="1686"/>
        <w:gridCol w:w="1686"/>
        <w:gridCol w:w="1686"/>
        <w:gridCol w:w="1750"/>
        <w:gridCol w:w="1825"/>
      </w:tblGrid>
      <w:tr w:rsidR="00133F40">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133F40">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33F40">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年末结转和结余</w:t>
            </w:r>
          </w:p>
        </w:tc>
      </w:tr>
      <w:tr w:rsidR="00133F40">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133.50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3F40">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133.50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3F40">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2296002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2296003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0.27</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3F40">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2296099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jc w:val="both"/>
              <w:textAlignment w:val="center"/>
              <w:rPr>
                <w:rFonts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3F40"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3F40"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133F40">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133F40">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33F40">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3F40" w:rsidRDefault="00133F40">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133F40">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3F40" w:rsidRDefault="00000000">
            <w:pPr>
              <w:jc w:val="center"/>
              <w:textAlignment w:val="bottom"/>
              <w:rPr>
                <w:rFonts w:cs="宋体"/>
                <w:b/>
                <w:color w:val="000000"/>
                <w:sz w:val="20"/>
                <w:szCs w:val="20"/>
              </w:rPr>
            </w:pPr>
            <w:r>
              <w:rPr>
                <w:rFonts w:cs="宋体"/>
                <w:b/>
                <w:color w:val="000000"/>
                <w:sz w:val="20"/>
                <w:szCs w:val="20"/>
              </w:rPr>
              <w:t>本年支出</w:t>
            </w:r>
          </w:p>
        </w:tc>
      </w:tr>
      <w:tr w:rsidR="00133F40">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项目支出</w:t>
            </w:r>
          </w:p>
        </w:tc>
      </w:tr>
      <w:tr w:rsidR="00133F40">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3F40" w:rsidRDefault="00133F40">
            <w:pPr>
              <w:jc w:val="center"/>
              <w:rPr>
                <w:rFonts w:cs="宋体"/>
                <w:b/>
                <w:color w:val="000000"/>
                <w:sz w:val="20"/>
                <w:szCs w:val="20"/>
              </w:rPr>
            </w:pPr>
          </w:p>
        </w:tc>
      </w:tr>
      <w:tr w:rsidR="00133F40">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3F40"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3F40">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133F4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3F40"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33F40"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133F40"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133F40">
        <w:trPr>
          <w:trHeight w:val="343"/>
        </w:trPr>
        <w:tc>
          <w:tcPr>
            <w:tcW w:w="5000" w:type="pct"/>
            <w:gridSpan w:val="5"/>
            <w:shd w:val="clear" w:color="auto" w:fill="auto"/>
            <w:noWrap/>
            <w:tcMar>
              <w:top w:w="15" w:type="dxa"/>
              <w:left w:w="15" w:type="dxa"/>
              <w:right w:w="15" w:type="dxa"/>
            </w:tcMar>
            <w:vAlign w:val="bottom"/>
          </w:tcPr>
          <w:p w:rsidR="00133F40"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133F40">
        <w:trPr>
          <w:trHeight w:val="244"/>
        </w:trPr>
        <w:tc>
          <w:tcPr>
            <w:tcW w:w="1124" w:type="pct"/>
            <w:shd w:val="clear" w:color="auto" w:fill="auto"/>
            <w:noWrap/>
            <w:tcMar>
              <w:top w:w="15" w:type="dxa"/>
              <w:left w:w="15" w:type="dxa"/>
              <w:right w:w="15" w:type="dxa"/>
            </w:tcMar>
            <w:vAlign w:val="bottom"/>
          </w:tcPr>
          <w:p w:rsidR="00133F40" w:rsidRDefault="00133F40">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133F40" w:rsidRDefault="00133F40">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133F40" w:rsidRDefault="00133F40">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133F40" w:rsidRDefault="00133F40">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33F40">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33F40"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重庆市九龙坡区白市驿镇人民政府（本级）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33F40" w:rsidRDefault="00133F40">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33F40" w:rsidRDefault="00133F40">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33F40"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133F4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133F4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309.96</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309.96</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18.32</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58.49</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r>
      <w:tr w:rsidR="00133F4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r>
      <w:tr w:rsidR="00133F40">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22.17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133F40">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133F40">
            <w:pPr>
              <w:spacing w:line="280" w:lineRule="exact"/>
              <w:jc w:val="right"/>
              <w:rPr>
                <w:rFonts w:cs="宋体"/>
                <w:color w:val="000000"/>
                <w:kern w:val="2"/>
                <w:sz w:val="16"/>
                <w:szCs w:val="16"/>
              </w:rPr>
            </w:pPr>
          </w:p>
        </w:tc>
      </w:tr>
      <w:tr w:rsidR="00133F4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17.20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133F40">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133F40">
            <w:pPr>
              <w:spacing w:line="280" w:lineRule="exact"/>
              <w:jc w:val="right"/>
              <w:rPr>
                <w:rFonts w:cs="宋体"/>
                <w:color w:val="000000"/>
                <w:kern w:val="2"/>
                <w:sz w:val="16"/>
                <w:szCs w:val="16"/>
              </w:rPr>
            </w:pPr>
          </w:p>
        </w:tc>
      </w:tr>
      <w:tr w:rsidR="00133F4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3F40" w:rsidRDefault="00133F40">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3F40" w:rsidRDefault="00133F40">
            <w:pPr>
              <w:spacing w:line="280" w:lineRule="exact"/>
              <w:jc w:val="right"/>
              <w:rPr>
                <w:rFonts w:cs="宋体"/>
                <w:color w:val="000000"/>
                <w:sz w:val="16"/>
                <w:szCs w:val="16"/>
              </w:rPr>
            </w:pPr>
          </w:p>
        </w:tc>
      </w:tr>
    </w:tbl>
    <w:p w:rsidR="00133F40"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p>
    <w:sectPr w:rsidR="00133F40">
      <w:headerReference w:type="default" r:id="rId8"/>
      <w:footerReference w:type="default" r:id="rId9"/>
      <w:pgSz w:w="16783" w:h="11850"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895" w:rsidRDefault="00AC3895">
      <w:r>
        <w:separator/>
      </w:r>
    </w:p>
  </w:endnote>
  <w:endnote w:type="continuationSeparator" w:id="0">
    <w:p w:rsidR="00AC3895" w:rsidRDefault="00AC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40" w:rsidRDefault="00000000">
    <w:pPr>
      <w:pStyle w:val="a6"/>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33F40" w:rsidRDefault="00000000">
                          <w:pPr>
                            <w:pStyle w:val="a6"/>
                            <w:ind w:leftChars="200" w:left="480" w:rightChars="200" w:right="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133F40" w:rsidRDefault="00000000">
                    <w:pPr>
                      <w:pStyle w:val="a6"/>
                      <w:ind w:leftChars="200" w:left="480" w:rightChars="200" w:right="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40"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33F40" w:rsidRDefault="00000000">
                          <w:pPr>
                            <w:pStyle w:val="a6"/>
                            <w:ind w:leftChars="200" w:left="480" w:rightChars="200" w:right="480"/>
                          </w:pPr>
                          <w:r>
                            <w:t xml:space="preserve">— </w:t>
                          </w:r>
                          <w:r>
                            <w:fldChar w:fldCharType="begin"/>
                          </w:r>
                          <w:r>
                            <w:instrText xml:space="preserve"> PAGE  \* MERGEFORMAT </w:instrText>
                          </w:r>
                          <w:r>
                            <w:fldChar w:fldCharType="separate"/>
                          </w:r>
                          <w:r>
                            <w:t>17</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133F40" w:rsidRDefault="00000000">
                    <w:pPr>
                      <w:pStyle w:val="a6"/>
                      <w:ind w:leftChars="200" w:left="480" w:rightChars="200" w:right="480"/>
                    </w:pPr>
                    <w:r>
                      <w:t xml:space="preserve">— </w:t>
                    </w:r>
                    <w:r>
                      <w:fldChar w:fldCharType="begin"/>
                    </w:r>
                    <w:r>
                      <w:instrText xml:space="preserve"> PAGE  \* MERGEFORMAT </w:instrText>
                    </w:r>
                    <w:r>
                      <w:fldChar w:fldCharType="separate"/>
                    </w:r>
                    <w:r>
                      <w:t>17</w:t>
                    </w:r>
                    <w:r>
                      <w:fldChar w:fldCharType="end"/>
                    </w:r>
                    <w:r>
                      <w:t xml:space="preserve"> </w:t>
                    </w:r>
                    <w:r>
                      <w:t>—</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33F40" w:rsidRDefault="00000000">
                          <w:pPr>
                            <w:pStyle w:val="a6"/>
                            <w:jc w:val="both"/>
                            <w:rPr>
                              <w:rFonts w:cs="宋体"/>
                            </w:rPr>
                          </w:pP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133F40" w:rsidRDefault="00000000">
                    <w:pPr>
                      <w:pStyle w:val="a6"/>
                      <w:jc w:val="both"/>
                      <w:rPr>
                        <w:rFonts w:cs="宋体"/>
                      </w:rPr>
                    </w:pP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895" w:rsidRDefault="00AC3895">
      <w:r>
        <w:separator/>
      </w:r>
    </w:p>
  </w:footnote>
  <w:footnote w:type="continuationSeparator" w:id="0">
    <w:p w:rsidR="00AC3895" w:rsidRDefault="00AC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F40" w:rsidRDefault="00133F40">
    <w:pPr>
      <w:pStyle w:val="a7"/>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C01CC"/>
    <w:rsid w:val="000D7702"/>
    <w:rsid w:val="000F6721"/>
    <w:rsid w:val="00133F40"/>
    <w:rsid w:val="001632EC"/>
    <w:rsid w:val="00261065"/>
    <w:rsid w:val="002D0E5A"/>
    <w:rsid w:val="002D71F4"/>
    <w:rsid w:val="002E5443"/>
    <w:rsid w:val="0032196C"/>
    <w:rsid w:val="0034151A"/>
    <w:rsid w:val="004852DA"/>
    <w:rsid w:val="004C12FF"/>
    <w:rsid w:val="004D0390"/>
    <w:rsid w:val="005261B1"/>
    <w:rsid w:val="00550ABE"/>
    <w:rsid w:val="005B023C"/>
    <w:rsid w:val="00600322"/>
    <w:rsid w:val="006137D7"/>
    <w:rsid w:val="00634FA8"/>
    <w:rsid w:val="0063613A"/>
    <w:rsid w:val="0068170B"/>
    <w:rsid w:val="006D5ED7"/>
    <w:rsid w:val="006E2034"/>
    <w:rsid w:val="00731FA0"/>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3895"/>
    <w:rsid w:val="00AC5566"/>
    <w:rsid w:val="00B03CCD"/>
    <w:rsid w:val="00B104B0"/>
    <w:rsid w:val="00B22CF1"/>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222D6C"/>
    <w:rsid w:val="059A6486"/>
    <w:rsid w:val="05BC6D49"/>
    <w:rsid w:val="06194FF1"/>
    <w:rsid w:val="06A2550B"/>
    <w:rsid w:val="06F80EE2"/>
    <w:rsid w:val="07001CCA"/>
    <w:rsid w:val="075678DB"/>
    <w:rsid w:val="079D7CC7"/>
    <w:rsid w:val="08051BCA"/>
    <w:rsid w:val="08421668"/>
    <w:rsid w:val="086C12F4"/>
    <w:rsid w:val="08BA052C"/>
    <w:rsid w:val="08DB07BA"/>
    <w:rsid w:val="0969353F"/>
    <w:rsid w:val="098305D0"/>
    <w:rsid w:val="098A0877"/>
    <w:rsid w:val="0A5C4B69"/>
    <w:rsid w:val="0A66706E"/>
    <w:rsid w:val="0A86124A"/>
    <w:rsid w:val="0AB54CC0"/>
    <w:rsid w:val="0B6450CC"/>
    <w:rsid w:val="0B9335CE"/>
    <w:rsid w:val="0C7927C4"/>
    <w:rsid w:val="0C9B098C"/>
    <w:rsid w:val="0D2E3F0A"/>
    <w:rsid w:val="0D673E11"/>
    <w:rsid w:val="0DDA54E4"/>
    <w:rsid w:val="0E084ABF"/>
    <w:rsid w:val="0E3A5F83"/>
    <w:rsid w:val="0E74421A"/>
    <w:rsid w:val="0EA46639"/>
    <w:rsid w:val="0EA56A78"/>
    <w:rsid w:val="0EC6180C"/>
    <w:rsid w:val="0F497FB6"/>
    <w:rsid w:val="0F836721"/>
    <w:rsid w:val="0FA25D96"/>
    <w:rsid w:val="107B59E5"/>
    <w:rsid w:val="10EC0126"/>
    <w:rsid w:val="10F70B9A"/>
    <w:rsid w:val="111445C7"/>
    <w:rsid w:val="114278C6"/>
    <w:rsid w:val="1158083A"/>
    <w:rsid w:val="11643A4B"/>
    <w:rsid w:val="11DA096F"/>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A33B9D"/>
    <w:rsid w:val="19B906A4"/>
    <w:rsid w:val="19FB026E"/>
    <w:rsid w:val="1B4C2051"/>
    <w:rsid w:val="1B6F15B6"/>
    <w:rsid w:val="1BAA2EDC"/>
    <w:rsid w:val="1C112315"/>
    <w:rsid w:val="1C4E1A66"/>
    <w:rsid w:val="1C5C0973"/>
    <w:rsid w:val="1CA55E64"/>
    <w:rsid w:val="1D014A01"/>
    <w:rsid w:val="1D022362"/>
    <w:rsid w:val="1D172B0F"/>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1DB3799"/>
    <w:rsid w:val="22403BD3"/>
    <w:rsid w:val="233A7914"/>
    <w:rsid w:val="23DA37D9"/>
    <w:rsid w:val="23F5732E"/>
    <w:rsid w:val="24B92327"/>
    <w:rsid w:val="24C14514"/>
    <w:rsid w:val="2533755C"/>
    <w:rsid w:val="25791755"/>
    <w:rsid w:val="26396DF4"/>
    <w:rsid w:val="26CF7355"/>
    <w:rsid w:val="26F92E80"/>
    <w:rsid w:val="27167136"/>
    <w:rsid w:val="27A7649B"/>
    <w:rsid w:val="27B23302"/>
    <w:rsid w:val="27F22438"/>
    <w:rsid w:val="284124C2"/>
    <w:rsid w:val="29310A5F"/>
    <w:rsid w:val="29C37A35"/>
    <w:rsid w:val="2A076083"/>
    <w:rsid w:val="2A73162E"/>
    <w:rsid w:val="2A751F0B"/>
    <w:rsid w:val="2B167953"/>
    <w:rsid w:val="2B200583"/>
    <w:rsid w:val="2B220436"/>
    <w:rsid w:val="2B32023C"/>
    <w:rsid w:val="2B8209DE"/>
    <w:rsid w:val="2C6762A3"/>
    <w:rsid w:val="2C6F1683"/>
    <w:rsid w:val="2C9319F8"/>
    <w:rsid w:val="2E104987"/>
    <w:rsid w:val="2EBF7B3E"/>
    <w:rsid w:val="2EDE1934"/>
    <w:rsid w:val="2FCA4B37"/>
    <w:rsid w:val="2FE029D7"/>
    <w:rsid w:val="2FF06E00"/>
    <w:rsid w:val="302B732E"/>
    <w:rsid w:val="30562E26"/>
    <w:rsid w:val="30586FEC"/>
    <w:rsid w:val="30EC7046"/>
    <w:rsid w:val="30F54B88"/>
    <w:rsid w:val="315F0B22"/>
    <w:rsid w:val="31795AF3"/>
    <w:rsid w:val="319D022C"/>
    <w:rsid w:val="31C90022"/>
    <w:rsid w:val="31D84415"/>
    <w:rsid w:val="32285F6F"/>
    <w:rsid w:val="32387FAE"/>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754F91"/>
    <w:rsid w:val="38BE4696"/>
    <w:rsid w:val="3939115E"/>
    <w:rsid w:val="39B82A39"/>
    <w:rsid w:val="39C42CA8"/>
    <w:rsid w:val="39DC4FD6"/>
    <w:rsid w:val="39F03D7A"/>
    <w:rsid w:val="39F33306"/>
    <w:rsid w:val="3A2C1C67"/>
    <w:rsid w:val="3A804B9A"/>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C01287"/>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1019"/>
    <w:rsid w:val="488F422B"/>
    <w:rsid w:val="48E36915"/>
    <w:rsid w:val="495C4A24"/>
    <w:rsid w:val="497135DF"/>
    <w:rsid w:val="4A1605D9"/>
    <w:rsid w:val="4A263DF2"/>
    <w:rsid w:val="4A6F6675"/>
    <w:rsid w:val="4ABF0746"/>
    <w:rsid w:val="4B0502DF"/>
    <w:rsid w:val="4B135857"/>
    <w:rsid w:val="4B7951CB"/>
    <w:rsid w:val="4B7C315C"/>
    <w:rsid w:val="4BB032A1"/>
    <w:rsid w:val="4C943CA9"/>
    <w:rsid w:val="4CCF773C"/>
    <w:rsid w:val="4D955C81"/>
    <w:rsid w:val="4DAC4ACA"/>
    <w:rsid w:val="4DBE01D2"/>
    <w:rsid w:val="4EC92552"/>
    <w:rsid w:val="4EFC6D10"/>
    <w:rsid w:val="4F0C6BA3"/>
    <w:rsid w:val="4F10477D"/>
    <w:rsid w:val="4F186D58"/>
    <w:rsid w:val="4FB91416"/>
    <w:rsid w:val="4FCB7957"/>
    <w:rsid w:val="4FEA65B7"/>
    <w:rsid w:val="5042146E"/>
    <w:rsid w:val="50F06B6E"/>
    <w:rsid w:val="52234D33"/>
    <w:rsid w:val="52261ABA"/>
    <w:rsid w:val="522F6E0C"/>
    <w:rsid w:val="52357BE4"/>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8A361E0"/>
    <w:rsid w:val="59843C6A"/>
    <w:rsid w:val="5A3B59D6"/>
    <w:rsid w:val="5AD134D8"/>
    <w:rsid w:val="5B6503B1"/>
    <w:rsid w:val="5C0F7EC4"/>
    <w:rsid w:val="5C263CE4"/>
    <w:rsid w:val="5C5D2777"/>
    <w:rsid w:val="5CF66BF3"/>
    <w:rsid w:val="5D290C69"/>
    <w:rsid w:val="5F2D4A41"/>
    <w:rsid w:val="5F4321F6"/>
    <w:rsid w:val="5F966594"/>
    <w:rsid w:val="60C74F6C"/>
    <w:rsid w:val="60EC4529"/>
    <w:rsid w:val="61025A59"/>
    <w:rsid w:val="613D5BBC"/>
    <w:rsid w:val="61536C39"/>
    <w:rsid w:val="61E64F4A"/>
    <w:rsid w:val="623E0993"/>
    <w:rsid w:val="62944DD7"/>
    <w:rsid w:val="6319381F"/>
    <w:rsid w:val="63236436"/>
    <w:rsid w:val="63C25DC5"/>
    <w:rsid w:val="63C62057"/>
    <w:rsid w:val="64571EF5"/>
    <w:rsid w:val="645D1188"/>
    <w:rsid w:val="649E63E9"/>
    <w:rsid w:val="64CB0157"/>
    <w:rsid w:val="64F41F3F"/>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03B1D"/>
    <w:rsid w:val="6B474EF5"/>
    <w:rsid w:val="6BBF53FD"/>
    <w:rsid w:val="6C560CAE"/>
    <w:rsid w:val="6C576495"/>
    <w:rsid w:val="6D903FF5"/>
    <w:rsid w:val="6DA955B8"/>
    <w:rsid w:val="6DE346AB"/>
    <w:rsid w:val="6DE36C58"/>
    <w:rsid w:val="6DE5391A"/>
    <w:rsid w:val="6E307920"/>
    <w:rsid w:val="6EFD1324"/>
    <w:rsid w:val="6F5A53AC"/>
    <w:rsid w:val="6FAC003D"/>
    <w:rsid w:val="6FE55E12"/>
    <w:rsid w:val="6FFB2E76"/>
    <w:rsid w:val="708F6F7F"/>
    <w:rsid w:val="70D94BD3"/>
    <w:rsid w:val="71C34D91"/>
    <w:rsid w:val="723B2171"/>
    <w:rsid w:val="72772829"/>
    <w:rsid w:val="72B40A04"/>
    <w:rsid w:val="72DB435C"/>
    <w:rsid w:val="72E2613A"/>
    <w:rsid w:val="72E949A0"/>
    <w:rsid w:val="72F771F4"/>
    <w:rsid w:val="734150D5"/>
    <w:rsid w:val="736650B0"/>
    <w:rsid w:val="73934AD2"/>
    <w:rsid w:val="7452697D"/>
    <w:rsid w:val="750837F0"/>
    <w:rsid w:val="754758CF"/>
    <w:rsid w:val="761275E6"/>
    <w:rsid w:val="764F62AB"/>
    <w:rsid w:val="765C45EC"/>
    <w:rsid w:val="768A7619"/>
    <w:rsid w:val="76AA36E6"/>
    <w:rsid w:val="772E1EBA"/>
    <w:rsid w:val="77303AE2"/>
    <w:rsid w:val="77EB79F7"/>
    <w:rsid w:val="785044F2"/>
    <w:rsid w:val="7856439E"/>
    <w:rsid w:val="796D60A4"/>
    <w:rsid w:val="79874947"/>
    <w:rsid w:val="79A031D5"/>
    <w:rsid w:val="7A1525F7"/>
    <w:rsid w:val="7B24540B"/>
    <w:rsid w:val="7B420052"/>
    <w:rsid w:val="7B861484"/>
    <w:rsid w:val="7B903FB1"/>
    <w:rsid w:val="7BD06A28"/>
    <w:rsid w:val="7C310D20"/>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1D467"/>
  <w15:docId w15:val="{F76447D4-F839-4CFA-A258-CC14A49B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4416</Words>
  <Characters>25176</Characters>
  <Application>Microsoft Office Word</Application>
  <DocSecurity>0</DocSecurity>
  <Lines>209</Lines>
  <Paragraphs>59</Paragraphs>
  <ScaleCrop>false</ScaleCrop>
  <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8</cp:revision>
  <cp:lastPrinted>2025-10-15T08:43:00Z</cp:lastPrinted>
  <dcterms:created xsi:type="dcterms:W3CDTF">2025-06-26T07:40:00Z</dcterms:created>
  <dcterms:modified xsi:type="dcterms:W3CDTF">2025-10-20T03:29:00Z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B9320962078D40EC9427BC05DA00F941</vt:lpwstr>
  </property>
  <property fmtid="{D5CDD505-2E9C-101B-9397-08002B2CF9AE}" pid="4" name="KSOTemplateDocerSaveRecord">
    <vt:lpwstr>eyJoZGlkIjoiODQxNWY2ZTU2YTgxMDZjODc1Y2VkY2NmZDVkNDFjMTcifQ==</vt:lpwstr>
  </property>
</Properties>
</file>