
<file path=[Content_Types].xml><?xml version="1.0" encoding="utf-8"?>
<Types xmlns="http://schemas.openxmlformats.org/package/2006/content-types">
  <Default Extension="xml" ContentType="application/xml"/>
  <Default Extension="wmf" ContentType="image/x-wmf"/>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5" Type="http://schemas.openxmlformats.org/officeDocument/2006/relationships/officeDocument" Target="word/document.xml"/><Relationship Id="rId1" Type="http://schemas.openxmlformats.org/package/2006/relationships/metadata/thumbnail" Target="docProps/thumbnail.wmf"/><Relationship Id="rId3" Type="http://schemas.openxmlformats.org/package/2006/relationships/metadata/core-properties" Target="docProps/core.xml"/><Relationship Id="rId2" Type="http://schemas.openxmlformats.org/officeDocument/2006/relationships/extended-properties" Target="docProps/app.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4"/>
        <w:widowControl/>
        <w:spacing w:beforeAutospacing="0" w:afterAutospacing="0" w:line="600" w:lineRule="exact"/>
        <w:jc w:val="center"/>
        <w:rPr>
          <w:rFonts w:hint="eastAsia" w:ascii="方正小标宋_GBK" w:hAnsi="方正小标宋_GBK" w:eastAsia="方正小标宋_GBK" w:cs="方正小标宋_GBK"/>
          <w:sz w:val="44"/>
          <w:szCs w:val="44"/>
        </w:rPr>
      </w:pPr>
      <w:bookmarkStart w:id="0" w:name="_Hlk195182547"/>
      <w:r>
        <w:rPr>
          <w:rFonts w:hint="eastAsia" w:ascii="方正小标宋_GBK" w:hAnsi="方正小标宋_GBK" w:eastAsia="方正小标宋_GBK" w:cs="方正小标宋_GBK"/>
          <w:sz w:val="44"/>
          <w:szCs w:val="44"/>
        </w:rPr>
        <w:t>巴福镇产业发展服务中心</w:t>
      </w:r>
    </w:p>
    <w:bookmarkEnd w:id="0"/>
    <w:p>
      <w:pPr>
        <w:pStyle w:val="4"/>
        <w:widowControl/>
        <w:spacing w:beforeAutospacing="0" w:afterAutospacing="0" w:line="600" w:lineRule="exact"/>
        <w:jc w:val="center"/>
        <w:rPr>
          <w:rFonts w:hint="eastAsia" w:ascii="方正小标宋_GBK" w:hAnsi="方正小标宋_GBK" w:eastAsia="方正小标宋_GBK" w:cs="方正小标宋_GBK"/>
          <w:sz w:val="44"/>
          <w:szCs w:val="44"/>
        </w:rPr>
      </w:pPr>
      <w:r>
        <w:rPr>
          <w:rFonts w:hint="eastAsia" w:ascii="方正小标宋_GBK" w:hAnsi="方正小标宋_GBK" w:eastAsia="方正小标宋_GBK" w:cs="方正小标宋_GBK"/>
          <w:sz w:val="44"/>
          <w:szCs w:val="44"/>
        </w:rPr>
        <w:t>2025年部门预算情况说明</w:t>
      </w:r>
    </w:p>
    <w:p>
      <w:pPr>
        <w:pStyle w:val="4"/>
        <w:widowControl/>
        <w:spacing w:beforeAutospacing="0" w:afterAutospacing="0" w:line="600" w:lineRule="exact"/>
        <w:jc w:val="center"/>
        <w:rPr>
          <w:rFonts w:hint="eastAsia" w:ascii="方正小标宋_GBK" w:hAnsi="方正小标宋_GBK" w:eastAsia="方正小标宋_GBK" w:cs="方正小标宋_GBK"/>
          <w:sz w:val="44"/>
          <w:szCs w:val="44"/>
        </w:rPr>
      </w:pPr>
    </w:p>
    <w:p>
      <w:pPr>
        <w:pStyle w:val="4"/>
        <w:widowControl/>
        <w:shd w:val="clear" w:color="auto" w:fill="FFFFFF"/>
        <w:spacing w:beforeAutospacing="0" w:afterAutospacing="0" w:line="600" w:lineRule="exact"/>
        <w:ind w:firstLine="420"/>
        <w:jc w:val="both"/>
        <w:rPr>
          <w:rFonts w:hint="eastAsia" w:ascii="方正黑体_GBK" w:hAnsi="方正黑体_GBK" w:eastAsia="方正黑体_GBK" w:cs="方正黑体_GBK"/>
          <w:sz w:val="32"/>
          <w:szCs w:val="32"/>
        </w:rPr>
      </w:pPr>
      <w:r>
        <w:rPr>
          <w:rFonts w:hint="eastAsia" w:ascii="方正黑体_GBK" w:hAnsi="方正黑体_GBK" w:eastAsia="方正黑体_GBK" w:cs="方正黑体_GBK"/>
          <w:sz w:val="32"/>
          <w:szCs w:val="32"/>
          <w:shd w:val="clear" w:color="auto" w:fill="FFFFFF"/>
        </w:rPr>
        <w:t>一、单位基本情况</w:t>
      </w:r>
    </w:p>
    <w:p>
      <w:pPr>
        <w:pStyle w:val="4"/>
        <w:widowControl/>
        <w:spacing w:beforeAutospacing="0" w:afterAutospacing="0" w:line="600" w:lineRule="exact"/>
        <w:ind w:firstLine="420"/>
        <w:jc w:val="both"/>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（一）职能职责</w:t>
      </w:r>
    </w:p>
    <w:p>
      <w:pPr>
        <w:pStyle w:val="4"/>
        <w:widowControl/>
        <w:spacing w:beforeAutospacing="0" w:afterAutospacing="0" w:line="600" w:lineRule="exact"/>
        <w:ind w:firstLine="420"/>
        <w:jc w:val="both"/>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负责产业规划，产业的招引、培育、落地、技术支持等产业发展全链条服务性工作，协助推进重大项目建设等工作。</w:t>
      </w:r>
    </w:p>
    <w:p>
      <w:pPr>
        <w:pStyle w:val="4"/>
        <w:widowControl/>
        <w:shd w:val="clear" w:color="auto" w:fill="FFFFFF"/>
        <w:spacing w:beforeAutospacing="0" w:afterAutospacing="0" w:line="600" w:lineRule="exact"/>
        <w:ind w:firstLine="420"/>
        <w:jc w:val="both"/>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shd w:val="clear" w:color="auto" w:fill="FFFFFF"/>
        </w:rPr>
        <w:t>（二）单位构成</w:t>
      </w:r>
    </w:p>
    <w:p>
      <w:pPr>
        <w:pStyle w:val="4"/>
        <w:widowControl/>
        <w:spacing w:beforeAutospacing="0" w:afterAutospacing="0" w:line="600" w:lineRule="exact"/>
        <w:ind w:firstLine="420"/>
        <w:jc w:val="both"/>
        <w:rPr>
          <w:rFonts w:hint="eastAsia" w:ascii="方正仿宋_GBK" w:hAnsi="方正仿宋_GBK" w:eastAsia="方正仿宋_GBK" w:cs="方正仿宋_GBK"/>
          <w:sz w:val="32"/>
          <w:szCs w:val="32"/>
        </w:rPr>
      </w:pPr>
      <w:bookmarkStart w:id="1" w:name="OLE_LINK2"/>
      <w:r>
        <w:rPr>
          <w:rFonts w:hint="eastAsia" w:ascii="方正仿宋_GBK" w:hAnsi="方正仿宋_GBK" w:eastAsia="方正仿宋_GBK" w:cs="方正仿宋_GBK"/>
          <w:sz w:val="32"/>
          <w:szCs w:val="32"/>
        </w:rPr>
        <w:t>巴福镇产业发展服务中心</w:t>
      </w:r>
      <w:bookmarkEnd w:id="1"/>
      <w:r>
        <w:rPr>
          <w:rFonts w:hint="eastAsia" w:ascii="方正仿宋_GBK" w:hAnsi="方正仿宋_GBK" w:eastAsia="方正仿宋_GBK" w:cs="方正仿宋_GBK"/>
          <w:sz w:val="32"/>
          <w:szCs w:val="32"/>
        </w:rPr>
        <w:t>为巴福镇下属公益一类事业单位。</w:t>
      </w:r>
    </w:p>
    <w:p>
      <w:pPr>
        <w:pStyle w:val="4"/>
        <w:widowControl/>
        <w:shd w:val="clear" w:color="auto" w:fill="FFFFFF"/>
        <w:spacing w:beforeAutospacing="0" w:afterAutospacing="0" w:line="600" w:lineRule="exact"/>
        <w:ind w:firstLine="420"/>
        <w:jc w:val="both"/>
        <w:rPr>
          <w:rFonts w:hint="eastAsia" w:ascii="方正黑体_GBK" w:hAnsi="方正黑体_GBK" w:eastAsia="方正黑体_GBK" w:cs="方正黑体_GBK"/>
          <w:sz w:val="32"/>
          <w:szCs w:val="32"/>
        </w:rPr>
      </w:pPr>
      <w:r>
        <w:rPr>
          <w:rFonts w:hint="eastAsia" w:ascii="方正黑体_GBK" w:hAnsi="方正黑体_GBK" w:eastAsia="方正黑体_GBK" w:cs="方正黑体_GBK"/>
          <w:sz w:val="32"/>
          <w:szCs w:val="32"/>
          <w:shd w:val="clear" w:color="auto" w:fill="FFFFFF"/>
        </w:rPr>
        <w:t>二、部门收支总体情况</w:t>
      </w:r>
    </w:p>
    <w:p>
      <w:pPr>
        <w:pStyle w:val="4"/>
        <w:widowControl/>
        <w:shd w:val="clear" w:color="auto" w:fill="FFFFFF"/>
        <w:spacing w:beforeAutospacing="0" w:afterAutospacing="0" w:line="600" w:lineRule="exact"/>
        <w:ind w:firstLine="420"/>
        <w:jc w:val="both"/>
        <w:rPr>
          <w:rFonts w:hint="eastAsia" w:ascii="方正仿宋_GBK" w:hAnsi="方正仿宋_GBK" w:eastAsia="方正仿宋_GBK" w:cs="方正仿宋_GBK"/>
          <w:sz w:val="32"/>
          <w:szCs w:val="32"/>
          <w:shd w:val="clear" w:color="auto" w:fill="FFFFFF"/>
        </w:rPr>
      </w:pPr>
      <w:r>
        <w:rPr>
          <w:rFonts w:hint="eastAsia" w:ascii="方正仿宋_GBK" w:hAnsi="方正仿宋_GBK" w:eastAsia="方正仿宋_GBK" w:cs="方正仿宋_GBK"/>
          <w:sz w:val="32"/>
          <w:szCs w:val="32"/>
          <w:shd w:val="clear" w:color="auto" w:fill="FFFFFF"/>
        </w:rPr>
        <w:t>（一）收入预算：2025年年初预算数</w:t>
      </w:r>
      <w:r>
        <w:rPr>
          <w:rFonts w:ascii="方正仿宋_GBK" w:hAnsi="方正仿宋_GBK" w:eastAsia="方正仿宋_GBK" w:cs="方正仿宋_GBK"/>
          <w:sz w:val="32"/>
          <w:szCs w:val="32"/>
          <w:shd w:val="clear" w:color="auto" w:fill="FFFFFF"/>
        </w:rPr>
        <w:t>125.13</w:t>
      </w:r>
      <w:r>
        <w:rPr>
          <w:rFonts w:hint="eastAsia" w:ascii="方正仿宋_GBK" w:hAnsi="方正仿宋_GBK" w:eastAsia="方正仿宋_GBK" w:cs="方正仿宋_GBK"/>
          <w:sz w:val="32"/>
          <w:szCs w:val="32"/>
          <w:shd w:val="clear" w:color="auto" w:fill="FFFFFF"/>
        </w:rPr>
        <w:t>万元，其中：一般公共预算拨款</w:t>
      </w:r>
      <w:r>
        <w:rPr>
          <w:rFonts w:ascii="方正仿宋_GBK" w:hAnsi="方正仿宋_GBK" w:eastAsia="方正仿宋_GBK" w:cs="方正仿宋_GBK"/>
          <w:sz w:val="32"/>
          <w:szCs w:val="32"/>
          <w:shd w:val="clear" w:color="auto" w:fill="FFFFFF"/>
        </w:rPr>
        <w:t>125.13</w:t>
      </w:r>
      <w:r>
        <w:rPr>
          <w:rFonts w:hint="eastAsia" w:ascii="方正仿宋_GBK" w:hAnsi="方正仿宋_GBK" w:eastAsia="方正仿宋_GBK" w:cs="方正仿宋_GBK"/>
          <w:sz w:val="32"/>
          <w:szCs w:val="32"/>
          <w:shd w:val="clear" w:color="auto" w:fill="FFFFFF"/>
        </w:rPr>
        <w:t>万元。2024年机构改革后本单位为新设单位，无上年同期数。</w:t>
      </w:r>
    </w:p>
    <w:p>
      <w:pPr>
        <w:pStyle w:val="4"/>
        <w:widowControl/>
        <w:shd w:val="clear" w:color="auto" w:fill="FFFFFF"/>
        <w:spacing w:beforeAutospacing="0" w:afterAutospacing="0" w:line="600" w:lineRule="exact"/>
        <w:ind w:firstLine="420"/>
        <w:jc w:val="both"/>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shd w:val="clear" w:color="auto" w:fill="FFFFFF"/>
        </w:rPr>
        <w:t>（二）支出预算：2025年年初预算数</w:t>
      </w:r>
      <w:bookmarkStart w:id="2" w:name="OLE_LINK1"/>
      <w:r>
        <w:rPr>
          <w:rFonts w:ascii="方正仿宋_GBK" w:hAnsi="方正仿宋_GBK" w:eastAsia="方正仿宋_GBK" w:cs="方正仿宋_GBK"/>
          <w:sz w:val="32"/>
          <w:szCs w:val="32"/>
          <w:shd w:val="clear" w:color="auto" w:fill="FFFFFF"/>
        </w:rPr>
        <w:t>125.13</w:t>
      </w:r>
      <w:bookmarkEnd w:id="2"/>
      <w:r>
        <w:rPr>
          <w:rFonts w:hint="eastAsia" w:ascii="方正仿宋_GBK" w:hAnsi="方正仿宋_GBK" w:eastAsia="方正仿宋_GBK" w:cs="方正仿宋_GBK"/>
          <w:sz w:val="32"/>
          <w:szCs w:val="32"/>
          <w:shd w:val="clear" w:color="auto" w:fill="FFFFFF"/>
        </w:rPr>
        <w:t>万元，其中：一般公共服务支出预算</w:t>
      </w:r>
      <w:r>
        <w:rPr>
          <w:rFonts w:ascii="方正仿宋_GBK" w:hAnsi="方正仿宋_GBK" w:eastAsia="方正仿宋_GBK" w:cs="方正仿宋_GBK"/>
          <w:sz w:val="32"/>
          <w:szCs w:val="32"/>
          <w:shd w:val="clear" w:color="auto" w:fill="FFFFFF"/>
        </w:rPr>
        <w:t>94.15</w:t>
      </w:r>
      <w:r>
        <w:rPr>
          <w:rFonts w:hint="eastAsia" w:ascii="方正仿宋_GBK" w:hAnsi="方正仿宋_GBK" w:eastAsia="方正仿宋_GBK" w:cs="方正仿宋_GBK"/>
          <w:sz w:val="32"/>
          <w:szCs w:val="32"/>
          <w:shd w:val="clear" w:color="auto" w:fill="FFFFFF"/>
        </w:rPr>
        <w:t>万元，社会保障和就业支出预算</w:t>
      </w:r>
      <w:r>
        <w:rPr>
          <w:rFonts w:ascii="方正仿宋_GBK" w:hAnsi="方正仿宋_GBK" w:eastAsia="方正仿宋_GBK" w:cs="方正仿宋_GBK"/>
          <w:sz w:val="32"/>
          <w:szCs w:val="32"/>
          <w:shd w:val="clear" w:color="auto" w:fill="FFFFFF"/>
        </w:rPr>
        <w:t>22.65</w:t>
      </w:r>
      <w:r>
        <w:rPr>
          <w:rFonts w:hint="eastAsia" w:ascii="方正仿宋_GBK" w:hAnsi="方正仿宋_GBK" w:eastAsia="方正仿宋_GBK" w:cs="方正仿宋_GBK"/>
          <w:sz w:val="32"/>
          <w:szCs w:val="32"/>
          <w:shd w:val="clear" w:color="auto" w:fill="FFFFFF"/>
        </w:rPr>
        <w:t>万元，卫生健康支出预算</w:t>
      </w:r>
      <w:r>
        <w:rPr>
          <w:rFonts w:ascii="方正仿宋_GBK" w:hAnsi="方正仿宋_GBK" w:eastAsia="方正仿宋_GBK" w:cs="方正仿宋_GBK"/>
          <w:sz w:val="32"/>
          <w:szCs w:val="32"/>
          <w:shd w:val="clear" w:color="auto" w:fill="FFFFFF"/>
        </w:rPr>
        <w:t>4.46</w:t>
      </w:r>
      <w:r>
        <w:rPr>
          <w:rFonts w:hint="eastAsia" w:ascii="方正仿宋_GBK" w:hAnsi="方正仿宋_GBK" w:eastAsia="方正仿宋_GBK" w:cs="方正仿宋_GBK"/>
          <w:sz w:val="32"/>
          <w:szCs w:val="32"/>
          <w:shd w:val="clear" w:color="auto" w:fill="FFFFFF"/>
        </w:rPr>
        <w:t>万元，住房保障支出预算</w:t>
      </w:r>
      <w:r>
        <w:rPr>
          <w:rFonts w:ascii="方正仿宋_GBK" w:hAnsi="方正仿宋_GBK" w:eastAsia="方正仿宋_GBK" w:cs="方正仿宋_GBK"/>
          <w:sz w:val="32"/>
          <w:szCs w:val="32"/>
          <w:shd w:val="clear" w:color="auto" w:fill="FFFFFF"/>
        </w:rPr>
        <w:t>3.86</w:t>
      </w:r>
      <w:r>
        <w:rPr>
          <w:rFonts w:hint="eastAsia" w:ascii="方正仿宋_GBK" w:hAnsi="方正仿宋_GBK" w:eastAsia="方正仿宋_GBK" w:cs="方正仿宋_GBK"/>
          <w:sz w:val="32"/>
          <w:szCs w:val="32"/>
          <w:shd w:val="clear" w:color="auto" w:fill="FFFFFF"/>
        </w:rPr>
        <w:t>万元。2024年机构改革后本单位为新设单位，无上年同期数。</w:t>
      </w:r>
    </w:p>
    <w:p>
      <w:pPr>
        <w:pStyle w:val="4"/>
        <w:widowControl/>
        <w:shd w:val="clear" w:color="auto" w:fill="FFFFFF"/>
        <w:spacing w:beforeAutospacing="0" w:afterAutospacing="0" w:line="600" w:lineRule="exact"/>
        <w:ind w:firstLine="420"/>
        <w:jc w:val="both"/>
        <w:rPr>
          <w:rFonts w:hint="eastAsia" w:ascii="方正黑体_GBK" w:hAnsi="方正黑体_GBK" w:eastAsia="方正黑体_GBK" w:cs="方正黑体_GBK"/>
          <w:sz w:val="32"/>
          <w:szCs w:val="32"/>
        </w:rPr>
      </w:pPr>
      <w:r>
        <w:rPr>
          <w:rFonts w:hint="eastAsia" w:ascii="方正黑体_GBK" w:hAnsi="方正黑体_GBK" w:eastAsia="方正黑体_GBK" w:cs="方正黑体_GBK"/>
          <w:sz w:val="32"/>
          <w:szCs w:val="32"/>
          <w:shd w:val="clear" w:color="auto" w:fill="FFFFFF"/>
        </w:rPr>
        <w:t>三、部门预算情况说明</w:t>
      </w:r>
    </w:p>
    <w:p>
      <w:pPr>
        <w:pStyle w:val="4"/>
        <w:widowControl/>
        <w:shd w:val="clear" w:color="auto" w:fill="FFFFFF"/>
        <w:snapToGrid w:val="0"/>
        <w:spacing w:beforeAutospacing="0" w:afterAutospacing="0" w:line="600" w:lineRule="exact"/>
        <w:ind w:firstLine="420"/>
        <w:jc w:val="both"/>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shd w:val="clear" w:color="auto" w:fill="FFFFFF"/>
        </w:rPr>
        <w:t>2025年一般公共预算财政拨款收入</w:t>
      </w:r>
      <w:r>
        <w:rPr>
          <w:rFonts w:ascii="方正仿宋_GBK" w:hAnsi="方正仿宋_GBK" w:eastAsia="方正仿宋_GBK" w:cs="方正仿宋_GBK"/>
          <w:sz w:val="32"/>
          <w:szCs w:val="32"/>
          <w:shd w:val="clear" w:color="auto" w:fill="FFFFFF"/>
        </w:rPr>
        <w:t>125.13</w:t>
      </w:r>
      <w:r>
        <w:rPr>
          <w:rFonts w:hint="eastAsia" w:ascii="方正仿宋_GBK" w:hAnsi="方正仿宋_GBK" w:eastAsia="方正仿宋_GBK" w:cs="方正仿宋_GBK"/>
          <w:sz w:val="32"/>
          <w:szCs w:val="32"/>
          <w:shd w:val="clear" w:color="auto" w:fill="FFFFFF"/>
        </w:rPr>
        <w:t>万元，一般公共预算财政拨款支出</w:t>
      </w:r>
      <w:r>
        <w:rPr>
          <w:rFonts w:ascii="方正仿宋_GBK" w:hAnsi="方正仿宋_GBK" w:eastAsia="方正仿宋_GBK" w:cs="方正仿宋_GBK"/>
          <w:sz w:val="32"/>
          <w:szCs w:val="32"/>
          <w:shd w:val="clear" w:color="auto" w:fill="FFFFFF"/>
        </w:rPr>
        <w:t>125.13</w:t>
      </w:r>
      <w:r>
        <w:rPr>
          <w:rFonts w:hint="eastAsia" w:ascii="方正仿宋_GBK" w:hAnsi="方正仿宋_GBK" w:eastAsia="方正仿宋_GBK" w:cs="方正仿宋_GBK"/>
          <w:sz w:val="32"/>
          <w:szCs w:val="32"/>
          <w:shd w:val="clear" w:color="auto" w:fill="FFFFFF"/>
        </w:rPr>
        <w:t>万元，2024年机构改革后本单位为新设单位，无上年同期数，其中：基本支出</w:t>
      </w:r>
      <w:r>
        <w:rPr>
          <w:rFonts w:ascii="方正仿宋_GBK" w:hAnsi="方正仿宋_GBK" w:eastAsia="方正仿宋_GBK" w:cs="方正仿宋_GBK"/>
          <w:sz w:val="32"/>
          <w:szCs w:val="32"/>
          <w:shd w:val="clear" w:color="auto" w:fill="FFFFFF"/>
        </w:rPr>
        <w:t>125.13</w:t>
      </w:r>
      <w:r>
        <w:rPr>
          <w:rFonts w:hint="eastAsia" w:ascii="方正仿宋_GBK" w:hAnsi="方正仿宋_GBK" w:eastAsia="方正仿宋_GBK" w:cs="方正仿宋_GBK"/>
          <w:sz w:val="32"/>
          <w:szCs w:val="32"/>
          <w:shd w:val="clear" w:color="auto" w:fill="FFFFFF"/>
        </w:rPr>
        <w:t>万元，2024年机构改革后本单位为新设单位，无上年同期数，主要用于保障在职人员工资福利及社会保险缴费，退休人员补助等，保障部门正常运转的各项商品服务支出。</w:t>
      </w:r>
    </w:p>
    <w:p>
      <w:pPr>
        <w:pStyle w:val="4"/>
        <w:shd w:val="clear" w:color="auto" w:fill="FFFFFF"/>
        <w:snapToGrid w:val="0"/>
        <w:spacing w:beforeAutospacing="0" w:afterAutospacing="0" w:line="600" w:lineRule="exact"/>
        <w:ind w:firstLine="420"/>
        <w:jc w:val="both"/>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巴福镇产业发展服务中心</w:t>
      </w:r>
      <w:r>
        <w:rPr>
          <w:rFonts w:hint="eastAsia" w:ascii="方正仿宋_GBK" w:hAnsi="方正仿宋_GBK" w:eastAsia="方正仿宋_GBK" w:cs="方正仿宋_GBK"/>
          <w:sz w:val="32"/>
          <w:szCs w:val="32"/>
          <w:shd w:val="clear" w:color="auto" w:fill="FFFFFF"/>
        </w:rPr>
        <w:t>2025年无使用政府性基金预算拨款安排的支出。</w:t>
      </w:r>
    </w:p>
    <w:p>
      <w:pPr>
        <w:pStyle w:val="4"/>
        <w:widowControl/>
        <w:shd w:val="clear" w:color="auto" w:fill="FFFFFF"/>
        <w:spacing w:beforeAutospacing="0" w:afterAutospacing="0" w:line="600" w:lineRule="exact"/>
        <w:ind w:firstLine="420"/>
        <w:jc w:val="both"/>
        <w:rPr>
          <w:rFonts w:hint="eastAsia" w:ascii="方正黑体_GBK" w:hAnsi="方正黑体_GBK" w:eastAsia="方正黑体_GBK" w:cs="方正黑体_GBK"/>
          <w:sz w:val="32"/>
          <w:szCs w:val="32"/>
        </w:rPr>
      </w:pPr>
      <w:r>
        <w:rPr>
          <w:rFonts w:hint="eastAsia" w:ascii="方正黑体_GBK" w:hAnsi="方正黑体_GBK" w:eastAsia="方正黑体_GBK" w:cs="方正黑体_GBK"/>
          <w:sz w:val="32"/>
          <w:szCs w:val="32"/>
          <w:shd w:val="clear" w:color="auto" w:fill="FFFFFF"/>
        </w:rPr>
        <w:t>四、“三公”经费情况说明</w:t>
      </w:r>
    </w:p>
    <w:p>
      <w:pPr>
        <w:pStyle w:val="4"/>
        <w:widowControl/>
        <w:shd w:val="clear" w:color="auto" w:fill="FFFFFF"/>
        <w:spacing w:beforeAutospacing="0" w:afterAutospacing="0" w:line="600" w:lineRule="exact"/>
        <w:ind w:firstLine="420"/>
        <w:jc w:val="both"/>
        <w:rPr>
          <w:rFonts w:ascii="方正仿宋_GBK" w:hAnsi="方正仿宋_GBK" w:eastAsia="方正仿宋_GBK" w:cs="方正仿宋_GBK"/>
          <w:color w:val="000000" w:themeColor="text1"/>
          <w:sz w:val="32"/>
          <w:szCs w:val="32"/>
        </w:rPr>
      </w:pPr>
      <w:r>
        <w:rPr>
          <w:rFonts w:hint="eastAsia" w:ascii="方正仿宋_GBK" w:hAnsi="方正仿宋_GBK" w:eastAsia="方正仿宋_GBK" w:cs="方正仿宋_GBK"/>
          <w:color w:val="000000" w:themeColor="text1"/>
          <w:sz w:val="32"/>
          <w:szCs w:val="32"/>
          <w:shd w:val="clear" w:color="auto" w:fill="FFFFFF"/>
        </w:rPr>
        <w:t>202</w:t>
      </w:r>
      <w:r>
        <w:rPr>
          <w:rFonts w:hint="eastAsia" w:ascii="方正仿宋_GBK" w:hAnsi="方正仿宋_GBK" w:eastAsia="方正仿宋_GBK" w:cs="方正仿宋_GBK"/>
          <w:color w:val="000000" w:themeColor="text1"/>
          <w:sz w:val="32"/>
          <w:szCs w:val="32"/>
          <w:shd w:val="clear" w:color="auto" w:fill="FFFFFF"/>
          <w:lang w:val="en-US" w:eastAsia="zh-CN"/>
        </w:rPr>
        <w:t>5</w:t>
      </w:r>
      <w:r>
        <w:rPr>
          <w:rFonts w:hint="eastAsia" w:ascii="方正仿宋_GBK" w:hAnsi="方正仿宋_GBK" w:eastAsia="方正仿宋_GBK" w:cs="方正仿宋_GBK"/>
          <w:color w:val="000000" w:themeColor="text1"/>
          <w:sz w:val="32"/>
          <w:szCs w:val="32"/>
          <w:shd w:val="clear" w:color="auto" w:fill="FFFFFF"/>
        </w:rPr>
        <w:t>年“三公”经费预算</w:t>
      </w:r>
      <w:r>
        <w:rPr>
          <w:rFonts w:hint="eastAsia" w:ascii="方正仿宋_GBK" w:hAnsi="方正仿宋_GBK" w:eastAsia="方正仿宋_GBK" w:cs="方正仿宋_GBK"/>
          <w:color w:val="000000" w:themeColor="text1"/>
          <w:sz w:val="32"/>
          <w:szCs w:val="32"/>
          <w:shd w:val="clear" w:color="auto" w:fill="FFFFFF"/>
          <w:lang w:val="en-US" w:eastAsia="zh-CN"/>
        </w:rPr>
        <w:t>22.5</w:t>
      </w:r>
      <w:r>
        <w:rPr>
          <w:rFonts w:hint="eastAsia" w:ascii="方正仿宋_GBK" w:hAnsi="方正仿宋_GBK" w:eastAsia="方正仿宋_GBK" w:cs="方正仿宋_GBK"/>
          <w:color w:val="000000" w:themeColor="text1"/>
          <w:sz w:val="32"/>
          <w:szCs w:val="32"/>
          <w:shd w:val="clear" w:color="auto" w:fill="FFFFFF"/>
        </w:rPr>
        <w:t>万元，其中：公务用车购置费</w:t>
      </w:r>
      <w:r>
        <w:rPr>
          <w:rFonts w:hint="eastAsia" w:ascii="方正仿宋_GBK" w:hAnsi="方正仿宋_GBK" w:eastAsia="方正仿宋_GBK" w:cs="方正仿宋_GBK"/>
          <w:color w:val="000000" w:themeColor="text1"/>
          <w:sz w:val="32"/>
          <w:szCs w:val="32"/>
          <w:shd w:val="clear" w:color="auto" w:fill="FFFFFF"/>
          <w:lang w:val="en-US" w:eastAsia="zh-CN"/>
        </w:rPr>
        <w:t>18万元，</w:t>
      </w:r>
      <w:r>
        <w:rPr>
          <w:rFonts w:hint="eastAsia" w:ascii="方正仿宋_GBK" w:hAnsi="方正仿宋_GBK" w:eastAsia="方正仿宋_GBK" w:cs="方正仿宋_GBK"/>
          <w:color w:val="000000" w:themeColor="text1"/>
          <w:sz w:val="32"/>
          <w:szCs w:val="32"/>
          <w:shd w:val="clear" w:color="auto" w:fill="FFFFFF"/>
        </w:rPr>
        <w:t>公务用车运行费</w:t>
      </w:r>
      <w:r>
        <w:rPr>
          <w:rFonts w:hint="eastAsia" w:ascii="方正仿宋_GBK" w:hAnsi="方正仿宋_GBK" w:eastAsia="方正仿宋_GBK" w:cs="方正仿宋_GBK"/>
          <w:color w:val="000000" w:themeColor="text1"/>
          <w:sz w:val="32"/>
          <w:szCs w:val="32"/>
          <w:shd w:val="clear" w:color="auto" w:fill="FFFFFF"/>
          <w:lang w:val="en-US" w:eastAsia="zh-CN"/>
        </w:rPr>
        <w:t>4.5</w:t>
      </w:r>
      <w:r>
        <w:rPr>
          <w:rFonts w:hint="eastAsia" w:ascii="方正仿宋_GBK" w:hAnsi="方正仿宋_GBK" w:eastAsia="方正仿宋_GBK" w:cs="方正仿宋_GBK"/>
          <w:color w:val="000000" w:themeColor="text1"/>
          <w:sz w:val="32"/>
          <w:szCs w:val="32"/>
          <w:shd w:val="clear" w:color="auto" w:fill="FFFFFF"/>
        </w:rPr>
        <w:t>万元。</w:t>
      </w:r>
    </w:p>
    <w:p>
      <w:pPr>
        <w:pStyle w:val="4"/>
        <w:widowControl/>
        <w:shd w:val="clear" w:color="auto" w:fill="FFFFFF"/>
        <w:spacing w:beforeAutospacing="0" w:afterAutospacing="0" w:line="600" w:lineRule="exact"/>
        <w:ind w:firstLine="420"/>
        <w:jc w:val="both"/>
        <w:rPr>
          <w:rFonts w:hint="eastAsia" w:ascii="方正黑体_GBK" w:hAnsi="方正黑体_GBK" w:eastAsia="方正黑体_GBK" w:cs="方正黑体_GBK"/>
          <w:sz w:val="32"/>
          <w:szCs w:val="32"/>
        </w:rPr>
      </w:pPr>
      <w:r>
        <w:rPr>
          <w:rFonts w:hint="eastAsia" w:ascii="方正黑体_GBK" w:hAnsi="方正黑体_GBK" w:eastAsia="方正黑体_GBK" w:cs="方正黑体_GBK"/>
          <w:sz w:val="32"/>
          <w:szCs w:val="32"/>
          <w:shd w:val="clear" w:color="auto" w:fill="FFFFFF"/>
        </w:rPr>
        <w:t>五、其他重要事项的情况说明</w:t>
      </w:r>
    </w:p>
    <w:p>
      <w:pPr>
        <w:pStyle w:val="4"/>
        <w:widowControl/>
        <w:shd w:val="clear" w:color="auto" w:fill="FFFFFF"/>
        <w:spacing w:beforeAutospacing="0" w:afterAutospacing="0" w:line="600" w:lineRule="exact"/>
        <w:ind w:firstLine="420"/>
        <w:jc w:val="both"/>
        <w:rPr>
          <w:rFonts w:hint="eastAsia" w:ascii="方正仿宋_GBK" w:hAnsi="方正仿宋_GBK" w:eastAsia="方正仿宋_GBK" w:cs="方正仿宋_GBK"/>
          <w:sz w:val="32"/>
          <w:szCs w:val="32"/>
          <w:shd w:val="clear" w:color="auto" w:fill="FFFFFF"/>
        </w:rPr>
      </w:pPr>
      <w:r>
        <w:rPr>
          <w:rFonts w:hint="eastAsia" w:ascii="方正仿宋_GBK" w:hAnsi="方正仿宋_GBK" w:eastAsia="方正仿宋_GBK" w:cs="方正仿宋_GBK"/>
          <w:sz w:val="32"/>
          <w:szCs w:val="32"/>
          <w:shd w:val="clear" w:color="auto" w:fill="FFFFFF"/>
        </w:rPr>
        <w:t>1、我单位不在机关运行经费统计范围之内。</w:t>
      </w:r>
    </w:p>
    <w:p>
      <w:pPr>
        <w:pStyle w:val="4"/>
        <w:widowControl/>
        <w:shd w:val="clear" w:color="auto" w:fill="FFFFFF"/>
        <w:spacing w:beforeAutospacing="0" w:afterAutospacing="0" w:line="600" w:lineRule="exact"/>
        <w:ind w:firstLine="420"/>
        <w:jc w:val="both"/>
        <w:rPr>
          <w:rFonts w:hint="eastAsia" w:ascii="方正仿宋_GBK" w:hAnsi="方正仿宋_GBK" w:eastAsia="方正仿宋_GBK" w:cs="方正仿宋_GBK"/>
          <w:sz w:val="32"/>
          <w:szCs w:val="32"/>
          <w:shd w:val="clear" w:color="auto" w:fill="FFFFFF"/>
        </w:rPr>
      </w:pPr>
      <w:r>
        <w:rPr>
          <w:rFonts w:hint="eastAsia" w:ascii="方正仿宋_GBK" w:hAnsi="方正仿宋_GBK" w:eastAsia="方正仿宋_GBK" w:cs="方正仿宋_GBK"/>
          <w:sz w:val="32"/>
          <w:szCs w:val="32"/>
          <w:shd w:val="clear" w:color="auto" w:fill="FFFFFF"/>
        </w:rPr>
        <w:t>2、政府采购情况。2025年无政府采购情况。</w:t>
      </w:r>
    </w:p>
    <w:p>
      <w:pPr>
        <w:pStyle w:val="4"/>
        <w:widowControl/>
        <w:shd w:val="clear" w:color="auto" w:fill="FFFFFF"/>
        <w:spacing w:beforeAutospacing="0" w:afterAutospacing="0" w:line="600" w:lineRule="exact"/>
        <w:ind w:firstLine="420"/>
        <w:jc w:val="both"/>
        <w:rPr>
          <w:rFonts w:hint="eastAsia" w:ascii="方正仿宋_GBK" w:hAnsi="方正仿宋_GBK" w:eastAsia="方正仿宋_GBK" w:cs="方正仿宋_GBK"/>
          <w:sz w:val="32"/>
          <w:szCs w:val="32"/>
          <w:shd w:val="clear" w:color="auto" w:fill="FFFFFF"/>
        </w:rPr>
      </w:pPr>
      <w:r>
        <w:rPr>
          <w:rFonts w:hint="eastAsia" w:ascii="方正仿宋_GBK" w:hAnsi="方正仿宋_GBK" w:eastAsia="方正仿宋_GBK" w:cs="方正仿宋_GBK"/>
          <w:sz w:val="32"/>
          <w:szCs w:val="32"/>
          <w:shd w:val="clear" w:color="auto" w:fill="FFFFFF"/>
        </w:rPr>
        <w:t>3、绩效目标设置情况。2025年无项目支出，不涉及绩效目标管理。</w:t>
      </w:r>
    </w:p>
    <w:p>
      <w:pPr>
        <w:pStyle w:val="4"/>
        <w:widowControl/>
        <w:shd w:val="clear" w:color="auto" w:fill="FFFFFF"/>
        <w:spacing w:beforeAutospacing="0" w:afterAutospacing="0" w:line="600" w:lineRule="exact"/>
        <w:ind w:firstLine="420"/>
        <w:jc w:val="both"/>
        <w:rPr>
          <w:rFonts w:hint="eastAsia" w:ascii="方正仿宋_GBK" w:hAnsi="方正仿宋_GBK" w:eastAsia="方正仿宋_GBK" w:cs="方正仿宋_GBK"/>
          <w:sz w:val="32"/>
          <w:szCs w:val="32"/>
          <w:shd w:val="clear" w:color="auto" w:fill="FFFFFF"/>
        </w:rPr>
      </w:pPr>
      <w:r>
        <w:rPr>
          <w:rFonts w:hint="eastAsia" w:ascii="方正仿宋_GBK" w:hAnsi="方正仿宋_GBK" w:eastAsia="方正仿宋_GBK" w:cs="方正仿宋_GBK"/>
          <w:sz w:val="32"/>
          <w:szCs w:val="32"/>
          <w:shd w:val="clear" w:color="auto" w:fill="FFFFFF"/>
        </w:rPr>
        <w:t>4、国有资产占有使用情况。</w:t>
      </w:r>
      <w:r>
        <w:rPr>
          <w:rFonts w:hint="eastAsia" w:ascii="方正仿宋_GBK" w:hAnsi="方正仿宋_GBK" w:eastAsia="方正仿宋_GBK" w:cs="方正仿宋_GBK"/>
          <w:color w:val="000000" w:themeColor="text1"/>
          <w:sz w:val="32"/>
          <w:szCs w:val="32"/>
          <w:shd w:val="clear" w:color="auto" w:fill="FFFFFF"/>
        </w:rPr>
        <w:t>截至202</w:t>
      </w:r>
      <w:r>
        <w:rPr>
          <w:rFonts w:hint="eastAsia" w:ascii="方正仿宋_GBK" w:hAnsi="方正仿宋_GBK" w:eastAsia="方正仿宋_GBK" w:cs="方正仿宋_GBK"/>
          <w:color w:val="000000" w:themeColor="text1"/>
          <w:sz w:val="32"/>
          <w:szCs w:val="32"/>
          <w:shd w:val="clear" w:color="auto" w:fill="FFFFFF"/>
          <w:lang w:val="en-US" w:eastAsia="zh-CN"/>
        </w:rPr>
        <w:t>4</w:t>
      </w:r>
      <w:r>
        <w:rPr>
          <w:rFonts w:hint="eastAsia" w:ascii="方正仿宋_GBK" w:hAnsi="方正仿宋_GBK" w:eastAsia="方正仿宋_GBK" w:cs="方正仿宋_GBK"/>
          <w:color w:val="000000" w:themeColor="text1"/>
          <w:sz w:val="32"/>
          <w:szCs w:val="32"/>
          <w:shd w:val="clear" w:color="auto" w:fill="FFFFFF"/>
        </w:rPr>
        <w:t>年12月，巴福镇</w:t>
      </w:r>
      <w:r>
        <w:rPr>
          <w:rFonts w:hint="eastAsia" w:ascii="方正仿宋_GBK" w:hAnsi="方正仿宋_GBK" w:eastAsia="方正仿宋_GBK" w:cs="方正仿宋_GBK"/>
          <w:color w:val="000000" w:themeColor="text1"/>
          <w:sz w:val="32"/>
          <w:szCs w:val="32"/>
          <w:shd w:val="clear" w:color="auto" w:fill="FFFFFF"/>
          <w:lang w:eastAsia="zh-CN"/>
        </w:rPr>
        <w:t>产业发展服务</w:t>
      </w:r>
      <w:r>
        <w:rPr>
          <w:rFonts w:hint="eastAsia" w:ascii="方正仿宋_GBK" w:hAnsi="方正仿宋_GBK" w:eastAsia="方正仿宋_GBK" w:cs="方正仿宋_GBK"/>
          <w:color w:val="000000" w:themeColor="text1"/>
          <w:sz w:val="32"/>
          <w:szCs w:val="32"/>
          <w:shd w:val="clear" w:color="auto" w:fill="FFFFFF"/>
        </w:rPr>
        <w:t>中心公务用车保有量1辆。</w:t>
      </w:r>
      <w:bookmarkStart w:id="3" w:name="_GoBack"/>
      <w:bookmarkEnd w:id="3"/>
    </w:p>
    <w:p>
      <w:pPr>
        <w:pStyle w:val="4"/>
        <w:widowControl/>
        <w:shd w:val="clear" w:color="auto" w:fill="FFFFFF"/>
        <w:spacing w:beforeAutospacing="0" w:afterAutospacing="0" w:line="600" w:lineRule="exact"/>
        <w:ind w:firstLine="420"/>
        <w:jc w:val="both"/>
        <w:rPr>
          <w:rFonts w:hint="eastAsia" w:ascii="方正黑体_GBK" w:hAnsi="方正黑体_GBK" w:eastAsia="方正黑体_GBK" w:cs="方正黑体_GBK"/>
          <w:sz w:val="32"/>
          <w:szCs w:val="32"/>
        </w:rPr>
      </w:pPr>
      <w:r>
        <w:rPr>
          <w:rFonts w:hint="eastAsia" w:ascii="方正黑体_GBK" w:hAnsi="方正黑体_GBK" w:eastAsia="方正黑体_GBK" w:cs="方正黑体_GBK"/>
          <w:sz w:val="32"/>
          <w:szCs w:val="32"/>
          <w:shd w:val="clear" w:color="auto" w:fill="FFFFFF"/>
        </w:rPr>
        <w:t>六、专业性名词解释</w:t>
      </w:r>
    </w:p>
    <w:p>
      <w:pPr>
        <w:pStyle w:val="4"/>
        <w:widowControl/>
        <w:shd w:val="clear" w:color="auto" w:fill="FFFFFF"/>
        <w:spacing w:beforeAutospacing="0" w:afterAutospacing="0" w:line="600" w:lineRule="exact"/>
        <w:ind w:firstLine="420"/>
        <w:jc w:val="both"/>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shd w:val="clear" w:color="auto" w:fill="FFFFFF"/>
        </w:rPr>
        <w:t>（一）财政拨款收入：指本年度从本级财政部门取得的财政拨款，包括一般公共预算财政拨款和政府性基金预算财政拨款。</w:t>
      </w:r>
    </w:p>
    <w:p>
      <w:pPr>
        <w:pStyle w:val="4"/>
        <w:widowControl/>
        <w:shd w:val="clear" w:color="auto" w:fill="FFFFFF"/>
        <w:spacing w:beforeAutospacing="0" w:afterAutospacing="0" w:line="600" w:lineRule="exact"/>
        <w:ind w:firstLine="420"/>
        <w:jc w:val="both"/>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shd w:val="clear" w:color="auto" w:fill="FFFFFF"/>
        </w:rPr>
        <w:t>（二）其他收入：指单位取得的除“财政拨款收入”、“事业收入”、“经营收入”等以外的收入。</w:t>
      </w:r>
    </w:p>
    <w:p>
      <w:pPr>
        <w:pStyle w:val="4"/>
        <w:widowControl/>
        <w:shd w:val="clear" w:color="auto" w:fill="FFFFFF"/>
        <w:spacing w:beforeAutospacing="0" w:afterAutospacing="0" w:line="600" w:lineRule="exact"/>
        <w:ind w:firstLine="420"/>
        <w:jc w:val="both"/>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shd w:val="clear" w:color="auto" w:fill="FFFFFF"/>
        </w:rPr>
        <w:t>（三）基本支出：指为保障机构正常运转、完成日常工作任务而发生的人员经费和公用经费。</w:t>
      </w:r>
    </w:p>
    <w:p>
      <w:pPr>
        <w:pStyle w:val="4"/>
        <w:widowControl/>
        <w:shd w:val="clear" w:color="auto" w:fill="FFFFFF"/>
        <w:spacing w:beforeAutospacing="0" w:afterAutospacing="0" w:line="600" w:lineRule="exact"/>
        <w:ind w:firstLine="420"/>
        <w:jc w:val="both"/>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shd w:val="clear" w:color="auto" w:fill="FFFFFF"/>
        </w:rPr>
        <w:t>（四）项目支出：指在基本支出之外为完成特定行政任务和事业发展目标所发生的支出。</w:t>
      </w:r>
    </w:p>
    <w:p>
      <w:pPr>
        <w:pStyle w:val="4"/>
        <w:widowControl/>
        <w:shd w:val="clear" w:color="auto" w:fill="FFFFFF"/>
        <w:spacing w:beforeAutospacing="0" w:afterAutospacing="0" w:line="600" w:lineRule="exact"/>
        <w:ind w:firstLine="420"/>
        <w:jc w:val="both"/>
        <w:rPr>
          <w:rFonts w:hint="eastAsia" w:ascii="方正仿宋_GBK" w:hAnsi="方正仿宋_GBK" w:eastAsia="方正仿宋_GBK" w:cs="方正仿宋_GBK"/>
          <w:sz w:val="32"/>
          <w:szCs w:val="32"/>
          <w:shd w:val="clear" w:color="auto" w:fill="FFFFFF"/>
        </w:rPr>
      </w:pPr>
      <w:r>
        <w:rPr>
          <w:rFonts w:hint="eastAsia" w:ascii="方正仿宋_GBK" w:hAnsi="方正仿宋_GBK" w:eastAsia="方正仿宋_GBK" w:cs="方正仿宋_GBK"/>
          <w:sz w:val="32"/>
          <w:szCs w:val="32"/>
          <w:shd w:val="clear" w:color="auto" w:fill="FFFFFF"/>
        </w:rPr>
        <w:t>（五）“三公”经费：指用一般公共预算财政拨款安排的因公出国（境）费、公务用车购置及运行维护费、公务接待费。其中，因公出国（境）费反映单位公务出国（境）的国际旅费、国外城市间交通费、住宿费、伙食费、培训费、公杂费等支出；公务用车购置费反映单位公务用车购置支出（含车辆购置税）；公务用车运行维护费反映单位按规定保留的公务用车燃料费、维修费、过路过桥费、保险费、安全奖励费用等支出；公务接待费反映单位按规定开支的各类公务接待（含外宾接待）支出。</w:t>
      </w:r>
    </w:p>
    <w:p>
      <w:pPr>
        <w:pStyle w:val="4"/>
        <w:widowControl/>
        <w:shd w:val="clear" w:color="auto" w:fill="FFFFFF"/>
        <w:spacing w:beforeAutospacing="0" w:afterAutospacing="0" w:line="600" w:lineRule="exact"/>
        <w:ind w:firstLine="420"/>
        <w:jc w:val="both"/>
        <w:rPr>
          <w:rFonts w:hint="eastAsia" w:ascii="方正仿宋_GBK" w:hAnsi="方正仿宋_GBK" w:eastAsia="方正仿宋_GBK" w:cs="方正仿宋_GBK"/>
          <w:sz w:val="32"/>
          <w:szCs w:val="32"/>
        </w:rPr>
      </w:pPr>
    </w:p>
    <w:p>
      <w:pPr>
        <w:pStyle w:val="4"/>
        <w:widowControl/>
        <w:shd w:val="clear" w:color="auto" w:fill="FFFFFF"/>
        <w:spacing w:beforeAutospacing="0" w:afterAutospacing="0" w:line="600" w:lineRule="exact"/>
        <w:ind w:firstLine="420"/>
        <w:jc w:val="both"/>
        <w:rPr>
          <w:rFonts w:hint="eastAsia" w:ascii="方正仿宋_GBK" w:hAnsi="方正仿宋_GBK" w:eastAsia="方正仿宋_GBK" w:cs="方正仿宋_GBK"/>
          <w:sz w:val="32"/>
          <w:szCs w:val="32"/>
        </w:rPr>
      </w:pPr>
      <w:r>
        <w:rPr>
          <w:rStyle w:val="7"/>
          <w:rFonts w:hint="eastAsia" w:ascii="方正仿宋_GBK" w:hAnsi="方正仿宋_GBK" w:eastAsia="方正仿宋_GBK" w:cs="方正仿宋_GBK"/>
          <w:b w:val="0"/>
          <w:sz w:val="32"/>
          <w:szCs w:val="32"/>
          <w:shd w:val="clear" w:color="auto" w:fill="FFFFFF"/>
        </w:rPr>
        <w:t>（部门预算公开联系人：</w:t>
      </w:r>
      <w:r>
        <w:rPr>
          <w:rStyle w:val="7"/>
          <w:rFonts w:hint="eastAsia" w:ascii="方正仿宋_GBK" w:hAnsi="方正仿宋_GBK" w:eastAsia="方正仿宋_GBK" w:cs="方正仿宋_GBK"/>
          <w:b w:val="0"/>
          <w:bCs/>
          <w:sz w:val="32"/>
          <w:szCs w:val="32"/>
          <w:shd w:val="clear" w:color="auto" w:fill="FFFFFF"/>
        </w:rPr>
        <w:t>谭春红，电话：023-65761316</w:t>
      </w:r>
      <w:r>
        <w:rPr>
          <w:rStyle w:val="7"/>
          <w:rFonts w:hint="eastAsia" w:ascii="方正仿宋_GBK" w:hAnsi="方正仿宋_GBK" w:eastAsia="方正仿宋_GBK" w:cs="方正仿宋_GBK"/>
          <w:b w:val="0"/>
          <w:sz w:val="32"/>
          <w:szCs w:val="32"/>
          <w:shd w:val="clear" w:color="auto" w:fill="FFFFFF"/>
        </w:rPr>
        <w:t>）</w:t>
      </w:r>
    </w:p>
    <w:p>
      <w:pPr>
        <w:pStyle w:val="4"/>
        <w:widowControl/>
        <w:spacing w:beforeAutospacing="0" w:afterAutospacing="0" w:line="600" w:lineRule="exact"/>
        <w:rPr>
          <w:rFonts w:hint="eastAsia" w:ascii="方正仿宋_GBK" w:hAnsi="方正仿宋_GBK" w:eastAsia="方正仿宋_GBK" w:cs="方正仿宋_GBK"/>
          <w:b/>
          <w:bCs/>
          <w:sz w:val="32"/>
          <w:szCs w:val="32"/>
        </w:rPr>
      </w:pPr>
    </w:p>
    <w:p>
      <w:pPr>
        <w:spacing w:line="600" w:lineRule="exact"/>
        <w:rPr>
          <w:rFonts w:hint="eastAsia" w:ascii="方正仿宋_GBK" w:hAnsi="方正仿宋_GBK" w:eastAsia="方正仿宋_GBK" w:cs="方正仿宋_GBK"/>
          <w:b/>
          <w:bCs/>
          <w:sz w:val="32"/>
          <w:szCs w:val="32"/>
        </w:rPr>
      </w:pPr>
    </w:p>
    <w:sectPr>
      <w:pgSz w:w="11906" w:h="16838"/>
      <w:pgMar w:top="2098" w:right="1531" w:bottom="1985" w:left="1531"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altName w:val="宋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小标宋_GBK">
    <w:panose1 w:val="03000509000000000000"/>
    <w:charset w:val="86"/>
    <w:family w:val="script"/>
    <w:pitch w:val="default"/>
    <w:sig w:usb0="00000001" w:usb1="080E0000" w:usb2="00000000" w:usb3="00000000" w:csb0="00040000" w:csb1="00000000"/>
  </w:font>
  <w:font w:name="方正黑体_GBK">
    <w:panose1 w:val="03000509000000000000"/>
    <w:charset w:val="86"/>
    <w:family w:val="script"/>
    <w:pitch w:val="default"/>
    <w:sig w:usb0="00000001" w:usb1="080E0000" w:usb2="00000000" w:usb3="00000000" w:csb0="00040000" w:csb1="00000000"/>
  </w:font>
  <w:font w:name="方正仿宋_GBK">
    <w:panose1 w:val="03000509000000000000"/>
    <w:charset w:val="86"/>
    <w:family w:val="script"/>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cumentProtection w:enforcement="0"/>
  <w:defaultTabStop w:val="420"/>
  <w:drawingGridHorizontalSpacing w:val="105"/>
  <w:drawingGridVerticalSpacing w:val="156"/>
  <w:displayHorizontalDrawingGridEvery w:val="2"/>
  <w:displayVerticalDrawingGridEvery w:val="2"/>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2"/>
  </w:compat>
  <w:docVars>
    <w:docVar w:name="commondata" w:val="eyJoZGlkIjoiNjhhMmVhZjFjZWNkNzFhMzU3NThmNWY1MGM3NTJhNjYifQ=="/>
  </w:docVars>
  <w:rsids>
    <w:rsidRoot w:val="008B1C1E"/>
    <w:rsid w:val="000245CA"/>
    <w:rsid w:val="0012364A"/>
    <w:rsid w:val="00157C7C"/>
    <w:rsid w:val="001725E0"/>
    <w:rsid w:val="001D0D6F"/>
    <w:rsid w:val="001F5800"/>
    <w:rsid w:val="00232CE1"/>
    <w:rsid w:val="00244A38"/>
    <w:rsid w:val="00263E56"/>
    <w:rsid w:val="00276F15"/>
    <w:rsid w:val="00290D43"/>
    <w:rsid w:val="002C7A3E"/>
    <w:rsid w:val="002E2618"/>
    <w:rsid w:val="002F23B5"/>
    <w:rsid w:val="003338A9"/>
    <w:rsid w:val="00382AC1"/>
    <w:rsid w:val="003930AA"/>
    <w:rsid w:val="003D634B"/>
    <w:rsid w:val="00451BC7"/>
    <w:rsid w:val="004649AA"/>
    <w:rsid w:val="004653DC"/>
    <w:rsid w:val="004A4A3C"/>
    <w:rsid w:val="004A68FA"/>
    <w:rsid w:val="004D2E72"/>
    <w:rsid w:val="00517150"/>
    <w:rsid w:val="0058190B"/>
    <w:rsid w:val="005918A0"/>
    <w:rsid w:val="0064656C"/>
    <w:rsid w:val="006531BE"/>
    <w:rsid w:val="00666EF9"/>
    <w:rsid w:val="006937BF"/>
    <w:rsid w:val="006976CC"/>
    <w:rsid w:val="007034CD"/>
    <w:rsid w:val="007565F3"/>
    <w:rsid w:val="0076626D"/>
    <w:rsid w:val="00777278"/>
    <w:rsid w:val="007D0881"/>
    <w:rsid w:val="007F1764"/>
    <w:rsid w:val="00831AC6"/>
    <w:rsid w:val="00835188"/>
    <w:rsid w:val="00856CE2"/>
    <w:rsid w:val="008B1C1E"/>
    <w:rsid w:val="008B29CB"/>
    <w:rsid w:val="0090307F"/>
    <w:rsid w:val="00914176"/>
    <w:rsid w:val="0091596F"/>
    <w:rsid w:val="00917137"/>
    <w:rsid w:val="0093645A"/>
    <w:rsid w:val="00942AE6"/>
    <w:rsid w:val="0096607D"/>
    <w:rsid w:val="009A1C63"/>
    <w:rsid w:val="009D7F6C"/>
    <w:rsid w:val="009E59CE"/>
    <w:rsid w:val="009F31D3"/>
    <w:rsid w:val="00A12C47"/>
    <w:rsid w:val="00A42D13"/>
    <w:rsid w:val="00A92660"/>
    <w:rsid w:val="00AB0929"/>
    <w:rsid w:val="00B74387"/>
    <w:rsid w:val="00BB7212"/>
    <w:rsid w:val="00BD0C1A"/>
    <w:rsid w:val="00BE193C"/>
    <w:rsid w:val="00C43EF1"/>
    <w:rsid w:val="00C545CD"/>
    <w:rsid w:val="00CA7AED"/>
    <w:rsid w:val="00CB7B93"/>
    <w:rsid w:val="00CC3D4B"/>
    <w:rsid w:val="00CC4E69"/>
    <w:rsid w:val="00CE3E43"/>
    <w:rsid w:val="00D27A52"/>
    <w:rsid w:val="00D97EA2"/>
    <w:rsid w:val="00DC3463"/>
    <w:rsid w:val="00DF7A26"/>
    <w:rsid w:val="00E0642E"/>
    <w:rsid w:val="00E14CFF"/>
    <w:rsid w:val="00E23F79"/>
    <w:rsid w:val="00EA532C"/>
    <w:rsid w:val="00EF508E"/>
    <w:rsid w:val="00FB0CA6"/>
    <w:rsid w:val="03CD0975"/>
    <w:rsid w:val="05915FD2"/>
    <w:rsid w:val="0CF1621C"/>
    <w:rsid w:val="0E4707EF"/>
    <w:rsid w:val="10956016"/>
    <w:rsid w:val="13CE3F37"/>
    <w:rsid w:val="1B0775A6"/>
    <w:rsid w:val="1B1844D7"/>
    <w:rsid w:val="20B9370B"/>
    <w:rsid w:val="2AEC7E5E"/>
    <w:rsid w:val="2C4F7C29"/>
    <w:rsid w:val="2CE06CBB"/>
    <w:rsid w:val="3D413D38"/>
    <w:rsid w:val="41AB32CC"/>
    <w:rsid w:val="442F57A0"/>
    <w:rsid w:val="4520094F"/>
    <w:rsid w:val="45FA7EA2"/>
    <w:rsid w:val="46226CB5"/>
    <w:rsid w:val="46A1330E"/>
    <w:rsid w:val="49A903BF"/>
    <w:rsid w:val="53E76682"/>
    <w:rsid w:val="55722D3B"/>
    <w:rsid w:val="58924D63"/>
    <w:rsid w:val="5A350DF3"/>
    <w:rsid w:val="61EB2FD2"/>
    <w:rsid w:val="66F32C73"/>
    <w:rsid w:val="72D945A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iPriority="1" w:semiHidden="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6">
    <w:name w:val="Default Paragraph Font"/>
    <w:unhideWhenUsed/>
    <w:uiPriority w:val="1"/>
  </w:style>
  <w:style w:type="table" w:default="1" w:styleId="5">
    <w:name w:val="Normal Table"/>
    <w:semiHidden/>
    <w:unhideWhenUsed/>
    <w:qFormat/>
    <w:uiPriority w:val="99"/>
    <w:tblPr>
      <w:tblLayout w:type="fixed"/>
      <w:tblCellMar>
        <w:top w:w="0" w:type="dxa"/>
        <w:left w:w="108" w:type="dxa"/>
        <w:bottom w:w="0" w:type="dxa"/>
        <w:right w:w="108" w:type="dxa"/>
      </w:tblCellMar>
    </w:tblPr>
  </w:style>
  <w:style w:type="paragraph" w:styleId="2">
    <w:name w:val="footer"/>
    <w:basedOn w:val="1"/>
    <w:link w:val="9"/>
    <w:qFormat/>
    <w:uiPriority w:val="0"/>
    <w:pPr>
      <w:tabs>
        <w:tab w:val="center" w:pos="4153"/>
        <w:tab w:val="right" w:pos="8306"/>
      </w:tabs>
      <w:snapToGrid w:val="0"/>
      <w:jc w:val="left"/>
    </w:pPr>
    <w:rPr>
      <w:sz w:val="18"/>
      <w:szCs w:val="18"/>
    </w:rPr>
  </w:style>
  <w:style w:type="paragraph" w:styleId="3">
    <w:name w:val="header"/>
    <w:basedOn w:val="1"/>
    <w:link w:val="8"/>
    <w:qFormat/>
    <w:uiPriority w:val="0"/>
    <w:pPr>
      <w:pBdr>
        <w:bottom w:val="single" w:color="auto" w:sz="6" w:space="1"/>
      </w:pBdr>
      <w:tabs>
        <w:tab w:val="center" w:pos="4153"/>
        <w:tab w:val="right" w:pos="8306"/>
      </w:tabs>
      <w:snapToGrid w:val="0"/>
      <w:jc w:val="center"/>
    </w:pPr>
    <w:rPr>
      <w:sz w:val="18"/>
      <w:szCs w:val="18"/>
    </w:rPr>
  </w:style>
  <w:style w:type="paragraph" w:styleId="4">
    <w:name w:val="Normal (Web)"/>
    <w:basedOn w:val="1"/>
    <w:qFormat/>
    <w:uiPriority w:val="0"/>
    <w:pPr>
      <w:spacing w:beforeAutospacing="1" w:afterAutospacing="1"/>
      <w:jc w:val="left"/>
    </w:pPr>
    <w:rPr>
      <w:rFonts w:cs="Times New Roman"/>
      <w:kern w:val="0"/>
      <w:sz w:val="24"/>
    </w:rPr>
  </w:style>
  <w:style w:type="character" w:styleId="7">
    <w:name w:val="Strong"/>
    <w:basedOn w:val="6"/>
    <w:qFormat/>
    <w:uiPriority w:val="0"/>
    <w:rPr>
      <w:b/>
    </w:rPr>
  </w:style>
  <w:style w:type="character" w:customStyle="1" w:styleId="8">
    <w:name w:val="页眉 字符"/>
    <w:basedOn w:val="6"/>
    <w:link w:val="3"/>
    <w:qFormat/>
    <w:uiPriority w:val="0"/>
    <w:rPr>
      <w:rFonts w:asciiTheme="minorHAnsi" w:hAnsiTheme="minorHAnsi" w:eastAsiaTheme="minorEastAsia" w:cstheme="minorBidi"/>
      <w:kern w:val="2"/>
      <w:sz w:val="18"/>
      <w:szCs w:val="18"/>
    </w:rPr>
  </w:style>
  <w:style w:type="character" w:customStyle="1" w:styleId="9">
    <w:name w:val="页脚 字符"/>
    <w:basedOn w:val="6"/>
    <w:link w:val="2"/>
    <w:uiPriority w:val="0"/>
    <w:rPr>
      <w:rFonts w:asciiTheme="minorHAnsi" w:hAnsiTheme="minorHAnsi" w:eastAsiaTheme="minorEastAsia" w:cstheme="minorBidi"/>
      <w:kern w:val="2"/>
      <w:sz w:val="18"/>
      <w:szCs w:val="18"/>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Microsoft</Company>
  <Pages>3</Pages>
  <Words>170</Words>
  <Characters>975</Characters>
  <Lines>8</Lines>
  <Paragraphs>2</Paragraphs>
  <TotalTime>8</TotalTime>
  <ScaleCrop>false</ScaleCrop>
  <LinksUpToDate>false</LinksUpToDate>
  <CharactersWithSpaces>1143</CharactersWithSpaces>
  <Application>WPS Office_11.1.0.9021_F1E327BC-269C-435d-A152-05C5408002CA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2022-01-14T04:06:00Z</dcterms:created>
  <dc:creator>Administrator</dc:creator>
  <cp:lastModifiedBy>Administrator</cp:lastModifiedBy>
  <cp:lastPrinted>2022-03-11T09:11:00Z</cp:lastPrinted>
  <dcterms:modified xsi:type="dcterms:W3CDTF">2025-04-15T03:36:46Z</dcterms:modified>
  <cp:revision>117</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2052-11.1.0.9021</vt:lpwstr>
  </property>
  <property fmtid="{D5CDD505-2E9C-101B-9397-08002B2CF9AE}" pid="3" name="ICV">
    <vt:lpwstr>1CB7153353814014A53D2DAB12B55E2D</vt:lpwstr>
  </property>
</Properties>
</file>