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ascii="方正小标宋_GBK" w:eastAsia="方正小标宋_GBK"/>
          <w:sz w:val="44"/>
          <w:szCs w:val="44"/>
        </w:rPr>
      </w:pPr>
      <w:r>
        <w:rPr>
          <w:rFonts w:hint="eastAsia" w:ascii="方正小标宋_GBK" w:eastAsia="方正小标宋_GBK"/>
          <w:sz w:val="44"/>
          <w:szCs w:val="44"/>
        </w:rPr>
        <w:t>巴福镇人民政府(本级)</w:t>
      </w:r>
    </w:p>
    <w:p>
      <w:pPr>
        <w:pStyle w:val="4"/>
        <w:widowControl/>
        <w:spacing w:beforeAutospacing="0" w:afterAutospacing="0" w:line="600" w:lineRule="exact"/>
        <w:jc w:val="center"/>
        <w:rPr>
          <w:rFonts w:ascii="方正小标宋_GBK" w:eastAsia="方正小标宋_GBK"/>
          <w:sz w:val="44"/>
          <w:szCs w:val="44"/>
        </w:rPr>
      </w:pPr>
      <w:r>
        <w:rPr>
          <w:rFonts w:hint="eastAsia" w:ascii="方正小标宋_GBK" w:eastAsia="方正小标宋_GBK"/>
          <w:sz w:val="44"/>
          <w:szCs w:val="44"/>
        </w:rPr>
        <w:t>2025年部门预算情况说明</w:t>
      </w:r>
    </w:p>
    <w:p>
      <w:pPr>
        <w:pStyle w:val="4"/>
        <w:widowControl/>
        <w:spacing w:beforeAutospacing="0" w:afterAutospacing="0" w:line="600" w:lineRule="exact"/>
        <w:jc w:val="center"/>
        <w:rPr>
          <w:rFonts w:ascii="方正小标宋_GBK" w:eastAsia="方正小标宋_GBK"/>
          <w:sz w:val="44"/>
          <w:szCs w:val="44"/>
        </w:rPr>
      </w:pPr>
    </w:p>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一、单位基本情况</w:t>
      </w:r>
    </w:p>
    <w:p>
      <w:pPr>
        <w:pStyle w:val="4"/>
        <w:widowControl/>
        <w:snapToGrid w:val="0"/>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（一）职能职责</w:t>
      </w:r>
    </w:p>
    <w:p>
      <w:pPr>
        <w:pStyle w:val="4"/>
        <w:widowControl/>
        <w:shd w:val="clear" w:color="auto" w:fill="FFFFFF"/>
        <w:snapToGrid w:val="0"/>
        <w:spacing w:beforeAutospacing="0" w:afterAutospacing="0"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1、贯彻执行党和国家的路线、方针、政策、法律、法规；执行上级党组织的决议、决定，执行镇人民代表大会的各项决议。</w:t>
      </w:r>
    </w:p>
    <w:p>
      <w:pPr>
        <w:pStyle w:val="4"/>
        <w:widowControl/>
        <w:shd w:val="clear" w:color="auto" w:fill="FFFFFF"/>
        <w:snapToGrid w:val="0"/>
        <w:spacing w:beforeAutospacing="0" w:afterAutospacing="0"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2、制定并实施镇经济和社会发展规划、年度计划和预算；抓好本辖区内经济和社会发展的各项工作，并向本级人民代表大会报告工作。</w:t>
      </w:r>
    </w:p>
    <w:p>
      <w:pPr>
        <w:pStyle w:val="4"/>
        <w:widowControl/>
        <w:shd w:val="clear" w:color="auto" w:fill="FFFFFF"/>
        <w:snapToGrid w:val="0"/>
        <w:spacing w:beforeAutospacing="0" w:afterAutospacing="0"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3、管理本辖区内的经济、教育、科学、文化、体育、规划建设、生态环境、财政、民政、信访、司法、卫生健康、社会治安、安全生产、综合治理、交通安全、社会保障等工作。</w:t>
      </w:r>
    </w:p>
    <w:p>
      <w:pPr>
        <w:pStyle w:val="4"/>
        <w:widowControl/>
        <w:shd w:val="clear" w:color="auto" w:fill="FFFFFF"/>
        <w:snapToGrid w:val="0"/>
        <w:spacing w:beforeAutospacing="0" w:afterAutospacing="0"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4、加强镇财政的监督和管理，按计划、预算管理镇财政收入和支出，执行国家财政、财税工作的法律、政策，保证国家财政收入的完成。</w:t>
      </w:r>
    </w:p>
    <w:p>
      <w:pPr>
        <w:pStyle w:val="4"/>
        <w:widowControl/>
        <w:shd w:val="clear" w:color="auto" w:fill="FFFFFF"/>
        <w:snapToGrid w:val="0"/>
        <w:spacing w:beforeAutospacing="0" w:afterAutospacing="0"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5、指导、支持村（社区）工作，帮助其进行组织、制度和业务建设，促进村（社区）民主自治。</w:t>
      </w:r>
    </w:p>
    <w:p>
      <w:pPr>
        <w:pStyle w:val="4"/>
        <w:widowControl/>
        <w:shd w:val="clear" w:color="auto" w:fill="FFFFFF"/>
        <w:snapToGrid w:val="0"/>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6、承办管委会交办的其他工作。</w:t>
      </w:r>
    </w:p>
    <w:p>
      <w:pPr>
        <w:pStyle w:val="4"/>
        <w:widowControl/>
        <w:shd w:val="clear" w:color="auto" w:fill="FFFFFF"/>
        <w:snapToGrid w:val="0"/>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（二）单位构成</w:t>
      </w:r>
    </w:p>
    <w:p>
      <w:pPr>
        <w:pStyle w:val="4"/>
        <w:widowControl/>
        <w:spacing w:beforeAutospacing="0" w:afterAutospacing="0" w:line="600" w:lineRule="exact"/>
        <w:ind w:firstLine="420"/>
        <w:jc w:val="both"/>
        <w:rPr>
          <w:rFonts w:hint="eastAsia" w:ascii="方正仿宋_GBK" w:hAnsi="方正仿宋_GBK" w:eastAsia="方正仿宋_GBK" w:cs="方正仿宋_GBK"/>
          <w:sz w:val="32"/>
          <w:szCs w:val="32"/>
        </w:rPr>
      </w:pPr>
      <w:bookmarkStart w:id="0" w:name="OLE_LINK5"/>
      <w:r>
        <w:rPr>
          <w:rFonts w:hint="eastAsia" w:ascii="方正仿宋_GBK" w:hAnsi="方正仿宋_GBK" w:eastAsia="方正仿宋_GBK" w:cs="方正仿宋_GBK"/>
          <w:sz w:val="32"/>
          <w:szCs w:val="32"/>
        </w:rPr>
        <w:t>巴福镇政府内设综合办事机构</w:t>
      </w:r>
      <w:bookmarkEnd w:id="0"/>
      <w:r>
        <w:rPr>
          <w:rFonts w:hint="eastAsia" w:ascii="方正仿宋_GBK" w:hAnsi="方正仿宋_GBK" w:eastAsia="方正仿宋_GBK" w:cs="方正仿宋_GBK"/>
          <w:sz w:val="32"/>
          <w:szCs w:val="32"/>
        </w:rPr>
        <w:t>5个，具体内设基层治理综合指挥室、党的建设办公室、经济发展办公室、民生服务办公室、平安法治办公室。</w:t>
      </w:r>
    </w:p>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二、部门收支总体情况</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（一）收入预算：2025年年初预算数</w:t>
      </w:r>
      <w:bookmarkStart w:id="1" w:name="OLE_LINK6"/>
      <w:r>
        <w:rPr>
          <w:rFonts w:hint="eastAsia" w:ascii="方正仿宋_GBK" w:hAnsi="方正仿宋_GBK" w:eastAsia="方正仿宋_GBK" w:cs="方正仿宋_GBK"/>
          <w:sz w:val="32"/>
          <w:szCs w:val="32"/>
          <w:shd w:val="clear" w:color="auto" w:fill="FFFFFF"/>
        </w:rPr>
        <w:t>3120.95</w:t>
      </w:r>
      <w:bookmarkEnd w:id="1"/>
      <w:r>
        <w:rPr>
          <w:rFonts w:hint="eastAsia" w:ascii="方正仿宋_GBK" w:hAnsi="方正仿宋_GBK" w:eastAsia="方正仿宋_GBK" w:cs="方正仿宋_GBK"/>
          <w:sz w:val="32"/>
          <w:szCs w:val="32"/>
          <w:shd w:val="clear" w:color="auto" w:fill="FFFFFF"/>
        </w:rPr>
        <w:t>万元，其中：一般公共预算拨款3120.95万元。</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（二）支出预算：2025年年初预算数</w:t>
      </w:r>
      <w:bookmarkStart w:id="2" w:name="OLE_LINK7"/>
      <w:r>
        <w:rPr>
          <w:rFonts w:hint="eastAsia" w:ascii="方正仿宋_GBK" w:hAnsi="方正仿宋_GBK" w:eastAsia="方正仿宋_GBK" w:cs="方正仿宋_GBK"/>
          <w:sz w:val="32"/>
          <w:szCs w:val="32"/>
          <w:shd w:val="clear" w:color="auto" w:fill="FFFFFF"/>
        </w:rPr>
        <w:t>3120.95</w:t>
      </w:r>
      <w:bookmarkEnd w:id="2"/>
      <w:r>
        <w:rPr>
          <w:rFonts w:hint="eastAsia" w:ascii="方正仿宋_GBK" w:hAnsi="方正仿宋_GBK" w:eastAsia="方正仿宋_GBK" w:cs="方正仿宋_GBK"/>
          <w:sz w:val="32"/>
          <w:szCs w:val="32"/>
          <w:shd w:val="clear" w:color="auto" w:fill="FFFFFF"/>
        </w:rPr>
        <w:t>万元，其中：一般公共服务支出预算</w:t>
      </w:r>
      <w:r>
        <w:rPr>
          <w:rFonts w:ascii="方正仿宋_GBK" w:hAnsi="方正仿宋_GBK" w:eastAsia="方正仿宋_GBK" w:cs="方正仿宋_GBK"/>
          <w:sz w:val="32"/>
          <w:szCs w:val="32"/>
          <w:shd w:val="clear" w:color="auto" w:fill="FFFFFF"/>
        </w:rPr>
        <w:t>1851.21</w:t>
      </w:r>
      <w:r>
        <w:rPr>
          <w:rFonts w:hint="eastAsia" w:ascii="方正仿宋_GBK" w:hAnsi="方正仿宋_GBK" w:eastAsia="方正仿宋_GBK" w:cs="方正仿宋_GBK"/>
          <w:sz w:val="32"/>
          <w:szCs w:val="32"/>
          <w:shd w:val="clear" w:color="auto" w:fill="FFFFFF"/>
        </w:rPr>
        <w:t>万元，国防支出预算</w:t>
      </w:r>
      <w:r>
        <w:rPr>
          <w:rFonts w:ascii="方正仿宋_GBK" w:hAnsi="方正仿宋_GBK" w:eastAsia="方正仿宋_GBK" w:cs="方正仿宋_GBK"/>
          <w:sz w:val="32"/>
          <w:szCs w:val="32"/>
          <w:shd w:val="clear" w:color="auto" w:fill="FFFFFF"/>
        </w:rPr>
        <w:t>18.46</w:t>
      </w:r>
      <w:r>
        <w:rPr>
          <w:rFonts w:hint="eastAsia" w:ascii="方正仿宋_GBK" w:hAnsi="方正仿宋_GBK" w:eastAsia="方正仿宋_GBK" w:cs="方正仿宋_GBK"/>
          <w:sz w:val="32"/>
          <w:szCs w:val="32"/>
          <w:shd w:val="clear" w:color="auto" w:fill="FFFFFF"/>
        </w:rPr>
        <w:t>万元，公共安全支出预算</w:t>
      </w:r>
      <w:r>
        <w:rPr>
          <w:rFonts w:ascii="方正仿宋_GBK" w:hAnsi="方正仿宋_GBK" w:eastAsia="方正仿宋_GBK" w:cs="方正仿宋_GBK"/>
          <w:sz w:val="32"/>
          <w:szCs w:val="32"/>
          <w:shd w:val="clear" w:color="auto" w:fill="FFFFFF"/>
        </w:rPr>
        <w:t>188</w:t>
      </w:r>
      <w:r>
        <w:rPr>
          <w:rFonts w:hint="eastAsia" w:ascii="方正仿宋_GBK" w:hAnsi="方正仿宋_GBK" w:eastAsia="方正仿宋_GBK" w:cs="方正仿宋_GBK"/>
          <w:sz w:val="32"/>
          <w:szCs w:val="32"/>
          <w:shd w:val="clear" w:color="auto" w:fill="FFFFFF"/>
        </w:rPr>
        <w:t>万元，文化旅游体育与传媒支出预算</w:t>
      </w:r>
      <w:r>
        <w:rPr>
          <w:rFonts w:ascii="方正仿宋_GBK" w:hAnsi="方正仿宋_GBK" w:eastAsia="方正仿宋_GBK" w:cs="方正仿宋_GBK"/>
          <w:sz w:val="32"/>
          <w:szCs w:val="32"/>
          <w:shd w:val="clear" w:color="auto" w:fill="FFFFFF"/>
        </w:rPr>
        <w:t>38.8</w:t>
      </w:r>
      <w:r>
        <w:rPr>
          <w:rFonts w:hint="eastAsia" w:ascii="方正仿宋_GBK" w:hAnsi="方正仿宋_GBK" w:eastAsia="方正仿宋_GBK" w:cs="方正仿宋_GBK"/>
          <w:sz w:val="32"/>
          <w:szCs w:val="32"/>
          <w:shd w:val="clear" w:color="auto" w:fill="FFFFFF"/>
        </w:rPr>
        <w:t>万元，社会保障和就业支出预算</w:t>
      </w:r>
      <w:r>
        <w:rPr>
          <w:rFonts w:ascii="方正仿宋_GBK" w:hAnsi="方正仿宋_GBK" w:eastAsia="方正仿宋_GBK" w:cs="方正仿宋_GBK"/>
          <w:sz w:val="32"/>
          <w:szCs w:val="32"/>
          <w:shd w:val="clear" w:color="auto" w:fill="FFFFFF"/>
        </w:rPr>
        <w:t>384.09</w:t>
      </w:r>
      <w:r>
        <w:rPr>
          <w:rFonts w:hint="eastAsia" w:ascii="方正仿宋_GBK" w:hAnsi="方正仿宋_GBK" w:eastAsia="方正仿宋_GBK" w:cs="方正仿宋_GBK"/>
          <w:sz w:val="32"/>
          <w:szCs w:val="32"/>
          <w:shd w:val="clear" w:color="auto" w:fill="FFFFFF"/>
        </w:rPr>
        <w:t>万元，卫生健康支出预算</w:t>
      </w:r>
      <w:r>
        <w:rPr>
          <w:rFonts w:ascii="方正仿宋_GBK" w:hAnsi="方正仿宋_GBK" w:eastAsia="方正仿宋_GBK" w:cs="方正仿宋_GBK"/>
          <w:sz w:val="32"/>
          <w:szCs w:val="32"/>
          <w:shd w:val="clear" w:color="auto" w:fill="FFFFFF"/>
        </w:rPr>
        <w:t>122.64</w:t>
      </w:r>
      <w:r>
        <w:rPr>
          <w:rFonts w:hint="eastAsia" w:ascii="方正仿宋_GBK" w:hAnsi="方正仿宋_GBK" w:eastAsia="方正仿宋_GBK" w:cs="方正仿宋_GBK"/>
          <w:sz w:val="32"/>
          <w:szCs w:val="32"/>
          <w:shd w:val="clear" w:color="auto" w:fill="FFFFFF"/>
        </w:rPr>
        <w:t>万元，节能环保支出预算</w:t>
      </w:r>
      <w:r>
        <w:rPr>
          <w:rFonts w:ascii="方正仿宋_GBK" w:hAnsi="方正仿宋_GBK" w:eastAsia="方正仿宋_GBK" w:cs="方正仿宋_GBK"/>
          <w:sz w:val="32"/>
          <w:szCs w:val="32"/>
          <w:shd w:val="clear" w:color="auto" w:fill="FFFFFF"/>
        </w:rPr>
        <w:t>131.48</w:t>
      </w:r>
      <w:r>
        <w:rPr>
          <w:rFonts w:hint="eastAsia" w:ascii="方正仿宋_GBK" w:hAnsi="方正仿宋_GBK" w:eastAsia="方正仿宋_GBK" w:cs="方正仿宋_GBK"/>
          <w:sz w:val="32"/>
          <w:szCs w:val="32"/>
          <w:shd w:val="clear" w:color="auto" w:fill="FFFFFF"/>
        </w:rPr>
        <w:t>万元，城乡社区支出预算</w:t>
      </w:r>
      <w:r>
        <w:rPr>
          <w:rFonts w:ascii="方正仿宋_GBK" w:hAnsi="方正仿宋_GBK" w:eastAsia="方正仿宋_GBK" w:cs="方正仿宋_GBK"/>
          <w:sz w:val="32"/>
          <w:szCs w:val="32"/>
          <w:shd w:val="clear" w:color="auto" w:fill="FFFFFF"/>
        </w:rPr>
        <w:t>196.03</w:t>
      </w:r>
      <w:r>
        <w:rPr>
          <w:rFonts w:hint="eastAsia" w:ascii="方正仿宋_GBK" w:hAnsi="方正仿宋_GBK" w:eastAsia="方正仿宋_GBK" w:cs="方正仿宋_GBK"/>
          <w:sz w:val="32"/>
          <w:szCs w:val="32"/>
          <w:shd w:val="clear" w:color="auto" w:fill="FFFFFF"/>
        </w:rPr>
        <w:t>万元，农林水支出预算</w:t>
      </w:r>
      <w:r>
        <w:rPr>
          <w:rFonts w:ascii="方正仿宋_GBK" w:hAnsi="方正仿宋_GBK" w:eastAsia="方正仿宋_GBK" w:cs="方正仿宋_GBK"/>
          <w:sz w:val="32"/>
          <w:szCs w:val="32"/>
          <w:shd w:val="clear" w:color="auto" w:fill="FFFFFF"/>
        </w:rPr>
        <w:t>109.27</w:t>
      </w:r>
      <w:r>
        <w:rPr>
          <w:rFonts w:hint="eastAsia" w:ascii="方正仿宋_GBK" w:hAnsi="方正仿宋_GBK" w:eastAsia="方正仿宋_GBK" w:cs="方正仿宋_GBK"/>
          <w:sz w:val="32"/>
          <w:szCs w:val="32"/>
          <w:shd w:val="clear" w:color="auto" w:fill="FFFFFF"/>
        </w:rPr>
        <w:t>万元，住房保障支出预算</w:t>
      </w:r>
      <w:r>
        <w:rPr>
          <w:rFonts w:ascii="方正仿宋_GBK" w:hAnsi="方正仿宋_GBK" w:eastAsia="方正仿宋_GBK" w:cs="方正仿宋_GBK"/>
          <w:sz w:val="32"/>
          <w:szCs w:val="32"/>
          <w:shd w:val="clear" w:color="auto" w:fill="FFFFFF"/>
        </w:rPr>
        <w:t>80.98</w:t>
      </w:r>
      <w:r>
        <w:rPr>
          <w:rFonts w:hint="eastAsia" w:ascii="方正仿宋_GBK" w:hAnsi="方正仿宋_GBK" w:eastAsia="方正仿宋_GBK" w:cs="方正仿宋_GBK"/>
          <w:sz w:val="32"/>
          <w:szCs w:val="32"/>
          <w:shd w:val="clear" w:color="auto" w:fill="FFFFFF"/>
        </w:rPr>
        <w:t>万元。</w:t>
      </w:r>
    </w:p>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三、部门预算情况说明</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2025年一般公共预算财政拨款收入3120.95万元，一般公共预算财政拨款支出3120.95万元，比2024年减少427.28万元。其中：基本支出</w:t>
      </w:r>
      <w:r>
        <w:rPr>
          <w:rFonts w:ascii="方正仿宋_GBK" w:hAnsi="方正仿宋_GBK" w:eastAsia="方正仿宋_GBK" w:cs="方正仿宋_GBK"/>
          <w:sz w:val="32"/>
          <w:szCs w:val="32"/>
          <w:shd w:val="clear" w:color="auto" w:fill="FFFFFF"/>
        </w:rPr>
        <w:t>872.58</w:t>
      </w:r>
      <w:r>
        <w:rPr>
          <w:rFonts w:hint="eastAsia" w:ascii="方正仿宋_GBK" w:hAnsi="方正仿宋_GBK" w:eastAsia="方正仿宋_GBK" w:cs="方正仿宋_GBK"/>
          <w:sz w:val="32"/>
          <w:szCs w:val="32"/>
          <w:shd w:val="clear" w:color="auto" w:fill="FFFFFF"/>
        </w:rPr>
        <w:t>万元，比2024年减少51.65万元，主要原因是</w:t>
      </w:r>
      <w:r>
        <w:rPr>
          <w:rFonts w:hint="eastAsia" w:ascii="方正仿宋_GBK" w:hAnsi="方正仿宋_GBK" w:eastAsia="方正仿宋_GBK" w:cs="方正仿宋_GBK"/>
          <w:sz w:val="32"/>
          <w:szCs w:val="32"/>
          <w:shd w:val="clear" w:color="auto" w:fill="FFFFFF"/>
          <w:lang w:eastAsia="zh-CN"/>
        </w:rPr>
        <w:t>人员经费和日常公用经费</w:t>
      </w:r>
      <w:r>
        <w:rPr>
          <w:rFonts w:hint="eastAsia" w:ascii="方正仿宋_GBK" w:hAnsi="方正仿宋_GBK" w:eastAsia="方正仿宋_GBK" w:cs="方正仿宋_GBK"/>
          <w:sz w:val="32"/>
          <w:szCs w:val="32"/>
          <w:shd w:val="clear" w:color="auto" w:fill="FFFFFF"/>
        </w:rPr>
        <w:t>减少，主要用于保障在职人员工资福利及社会保险缴费，退休人员补助等，保障部门正常运转的各项商品服务支出；项目支出</w:t>
      </w:r>
      <w:r>
        <w:rPr>
          <w:rFonts w:ascii="方正仿宋_GBK" w:hAnsi="方正仿宋_GBK" w:eastAsia="方正仿宋_GBK" w:cs="方正仿宋_GBK"/>
          <w:sz w:val="32"/>
          <w:szCs w:val="32"/>
          <w:shd w:val="clear" w:color="auto" w:fill="FFFFFF"/>
        </w:rPr>
        <w:t>2248.37</w:t>
      </w:r>
      <w:r>
        <w:rPr>
          <w:rFonts w:hint="eastAsia" w:ascii="方正仿宋_GBK" w:hAnsi="方正仿宋_GBK" w:eastAsia="方正仿宋_GBK" w:cs="方正仿宋_GBK"/>
          <w:sz w:val="32"/>
          <w:szCs w:val="32"/>
          <w:shd w:val="clear" w:color="auto" w:fill="FFFFFF"/>
        </w:rPr>
        <w:t>万元，比2024年减少375.64万元，主要原因是预算项目减少。</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巴福镇人民政府（本级）2025年无使用政府性基金预算拨款安排的支出。</w:t>
      </w:r>
    </w:p>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四、“三公”经费情况说明</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2025年“三公”经费预算</w:t>
      </w:r>
      <w:r>
        <w:rPr>
          <w:rFonts w:ascii="方正仿宋_GBK" w:hAnsi="方正仿宋_GBK" w:eastAsia="方正仿宋_GBK" w:cs="方正仿宋_GBK"/>
          <w:sz w:val="32"/>
          <w:szCs w:val="32"/>
          <w:shd w:val="clear" w:color="auto" w:fill="FFFFFF"/>
        </w:rPr>
        <w:t>18.2</w:t>
      </w:r>
      <w:r>
        <w:rPr>
          <w:rFonts w:hint="eastAsia" w:ascii="方正仿宋_GBK" w:hAnsi="方正仿宋_GBK" w:eastAsia="方正仿宋_GBK" w:cs="方正仿宋_GBK"/>
          <w:sz w:val="32"/>
          <w:szCs w:val="32"/>
          <w:shd w:val="clear" w:color="auto" w:fill="FFFFFF"/>
        </w:rPr>
        <w:t>万元，比2024年减少2万元，其中：因公出国（境）费用0万元；公务接待费0.2万元，与2024年一致；公务用车运行维护费18万元，比2024年减少2万元，主要原因</w:t>
      </w:r>
      <w:r>
        <w:rPr>
          <w:rFonts w:hint="eastAsia" w:ascii="方正仿宋_GBK" w:hAnsi="方正仿宋_GBK" w:eastAsia="方正仿宋_GBK" w:cs="方正仿宋_GBK"/>
          <w:sz w:val="32"/>
          <w:szCs w:val="32"/>
          <w:shd w:val="clear" w:color="auto" w:fill="FFFFFF"/>
          <w:lang w:eastAsia="zh-CN"/>
        </w:rPr>
        <w:t>压减公务用车运行维护费</w:t>
      </w:r>
      <w:r>
        <w:rPr>
          <w:rFonts w:hint="eastAsia" w:ascii="方正仿宋_GBK" w:hAnsi="方正仿宋_GBK" w:eastAsia="方正仿宋_GBK" w:cs="方正仿宋_GBK"/>
          <w:sz w:val="32"/>
          <w:szCs w:val="32"/>
          <w:shd w:val="clear" w:color="auto" w:fill="FFFFFF"/>
        </w:rPr>
        <w:t>；公务用车购置费0万元。</w:t>
      </w:r>
    </w:p>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五、其他重要事项的情况说明</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机关运行经费。2025年一般公共预算财政拨款运行经费181.23万元，比上年减少20.82万元，主要原因水费、电费、会议费、工会经费、其他商品和服务支出减少。主要用于：办公费、印刷费、邮电费、水电费、物管费、差旅费、会议费、培训费等。</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2、政府采购情况。2025年无政府采购情况。</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3、绩效目标设置情况。2025年项目支出实行了绩效目标管理，涉及一般公共预算财政拨款</w:t>
      </w:r>
      <w:r>
        <w:rPr>
          <w:rFonts w:ascii="方正仿宋_GBK" w:hAnsi="方正仿宋_GBK" w:eastAsia="方正仿宋_GBK" w:cs="方正仿宋_GBK"/>
          <w:sz w:val="32"/>
          <w:szCs w:val="32"/>
          <w:shd w:val="clear" w:color="auto" w:fill="FFFFFF"/>
        </w:rPr>
        <w:t>2248.37</w:t>
      </w:r>
      <w:r>
        <w:rPr>
          <w:rFonts w:hint="eastAsia" w:ascii="方正仿宋_GBK" w:hAnsi="方正仿宋_GBK" w:eastAsia="方正仿宋_GBK" w:cs="方正仿宋_GBK"/>
          <w:sz w:val="32"/>
          <w:szCs w:val="32"/>
          <w:shd w:val="clear" w:color="auto" w:fill="FFFFFF"/>
        </w:rPr>
        <w:t>万元。</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4、国有资产占有使用情况。截至202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年12月，</w:t>
      </w:r>
      <w:bookmarkStart w:id="3" w:name="_GoBack"/>
      <w:r>
        <w:rPr>
          <w:rFonts w:hint="eastAsia" w:ascii="方正仿宋_GBK" w:hAnsi="方正仿宋_GBK" w:eastAsia="方正仿宋_GBK" w:cs="方正仿宋_GBK"/>
          <w:sz w:val="32"/>
          <w:szCs w:val="32"/>
          <w:shd w:val="clear" w:color="auto" w:fill="FFFFFF"/>
        </w:rPr>
        <w:t>巴福镇公务用车保有量</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辆，其中一般公务用车</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辆、执勤执法用车1辆</w:t>
      </w:r>
      <w:r>
        <w:rPr>
          <w:rFonts w:hint="eastAsia" w:ascii="方正仿宋_GBK" w:hAnsi="方正仿宋_GBK" w:eastAsia="方正仿宋_GBK" w:cs="方正仿宋_GBK"/>
          <w:sz w:val="32"/>
          <w:szCs w:val="32"/>
          <w:shd w:val="clear" w:color="auto" w:fill="FFFFFF"/>
          <w:lang w:eastAsia="zh-CN"/>
        </w:rPr>
        <w:t>、特种专业技术用车</w:t>
      </w:r>
      <w:r>
        <w:rPr>
          <w:rFonts w:hint="eastAsia" w:ascii="方正仿宋_GBK" w:hAnsi="方正仿宋_GBK" w:eastAsia="方正仿宋_GBK" w:cs="方正仿宋_GBK"/>
          <w:sz w:val="32"/>
          <w:szCs w:val="32"/>
          <w:shd w:val="clear" w:color="auto" w:fill="FFFFFF"/>
          <w:lang w:val="en-US" w:eastAsia="zh-CN"/>
        </w:rPr>
        <w:t>1辆</w:t>
      </w:r>
      <w:r>
        <w:rPr>
          <w:rFonts w:hint="eastAsia" w:ascii="方正仿宋_GBK" w:hAnsi="方正仿宋_GBK" w:eastAsia="方正仿宋_GBK" w:cs="方正仿宋_GBK"/>
          <w:sz w:val="32"/>
          <w:szCs w:val="32"/>
          <w:shd w:val="clear" w:color="auto" w:fill="FFFFFF"/>
        </w:rPr>
        <w:t>。</w:t>
      </w:r>
    </w:p>
    <w:bookmarkEnd w:id="3"/>
    <w:p>
      <w:pPr>
        <w:pStyle w:val="4"/>
        <w:widowControl/>
        <w:shd w:val="clear" w:color="auto" w:fill="FFFFFF"/>
        <w:spacing w:beforeAutospacing="0" w:afterAutospacing="0" w:line="600" w:lineRule="exact"/>
        <w:ind w:firstLine="42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六、专业性名词解释</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（一）财政拨款收入：指本年度从本级财政部门取得的财政拨款，包括一般公共预算财政拨款和政府性基金预算财政拨款。</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（二）其他收入：指单位取得的除“财政拨款收入”、“事业收入”、“经营收入”等以外的收入。</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（三）基本支出：指为保障机构正常运转、完成日常工作任务而发生的人员经费和公用经费。</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（四）项目支出：指在基本支出之外为完成特定行政任务和事业发展目标所发生的支出。</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rPr>
      </w:pP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bCs/>
          <w:sz w:val="32"/>
          <w:szCs w:val="32"/>
        </w:rPr>
      </w:pPr>
      <w:r>
        <w:rPr>
          <w:rStyle w:val="7"/>
          <w:rFonts w:hint="eastAsia" w:ascii="方正仿宋_GBK" w:hAnsi="方正仿宋_GBK" w:eastAsia="方正仿宋_GBK" w:cs="方正仿宋_GBK"/>
          <w:b w:val="0"/>
          <w:bCs/>
          <w:sz w:val="32"/>
          <w:szCs w:val="32"/>
          <w:shd w:val="clear" w:color="auto" w:fill="FFFFFF"/>
        </w:rPr>
        <w:t>（部门预算公开联系人：谭春红，电话：023-65761316）</w:t>
      </w:r>
    </w:p>
    <w:p>
      <w:pPr>
        <w:pStyle w:val="4"/>
        <w:widowControl/>
        <w:spacing w:beforeAutospacing="0" w:afterAutospacing="0" w:line="600" w:lineRule="exact"/>
        <w:rPr>
          <w:rFonts w:hint="eastAsia" w:ascii="方正仿宋_GBK" w:hAnsi="方正仿宋_GBK" w:eastAsia="方正仿宋_GBK" w:cs="方正仿宋_GBK"/>
          <w:bCs/>
          <w:sz w:val="32"/>
          <w:szCs w:val="32"/>
        </w:rPr>
      </w:pPr>
    </w:p>
    <w:p>
      <w:pPr>
        <w:spacing w:line="600" w:lineRule="exact"/>
        <w:rPr>
          <w:rFonts w:hint="eastAsia" w:ascii="方正仿宋_GBK" w:hAnsi="方正仿宋_GBK" w:eastAsia="方正仿宋_GBK" w:cs="方正仿宋_GBK"/>
          <w:sz w:val="32"/>
          <w:szCs w:val="32"/>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hhMmVhZjFjZWNkNzFhMzU3NThmNWY1MGM3NTJhNjYifQ=="/>
  </w:docVars>
  <w:rsids>
    <w:rsidRoot w:val="008B1C1E"/>
    <w:rsid w:val="00045A88"/>
    <w:rsid w:val="00113A6C"/>
    <w:rsid w:val="0012364A"/>
    <w:rsid w:val="001725E0"/>
    <w:rsid w:val="0017289D"/>
    <w:rsid w:val="0018512D"/>
    <w:rsid w:val="00192251"/>
    <w:rsid w:val="00193A65"/>
    <w:rsid w:val="001E4FBE"/>
    <w:rsid w:val="00223AAE"/>
    <w:rsid w:val="00232CE1"/>
    <w:rsid w:val="00244A38"/>
    <w:rsid w:val="00263E56"/>
    <w:rsid w:val="002855D2"/>
    <w:rsid w:val="002C55E9"/>
    <w:rsid w:val="002D05C7"/>
    <w:rsid w:val="002E21AB"/>
    <w:rsid w:val="002F23B5"/>
    <w:rsid w:val="00332217"/>
    <w:rsid w:val="003338A9"/>
    <w:rsid w:val="00334A8C"/>
    <w:rsid w:val="00373213"/>
    <w:rsid w:val="00382AC1"/>
    <w:rsid w:val="003930AA"/>
    <w:rsid w:val="003E632B"/>
    <w:rsid w:val="00451247"/>
    <w:rsid w:val="00451BC7"/>
    <w:rsid w:val="00456AC5"/>
    <w:rsid w:val="004649AA"/>
    <w:rsid w:val="004653DC"/>
    <w:rsid w:val="004A4A3C"/>
    <w:rsid w:val="004C6D3E"/>
    <w:rsid w:val="004C7C50"/>
    <w:rsid w:val="004D2E72"/>
    <w:rsid w:val="004E2414"/>
    <w:rsid w:val="004F76D2"/>
    <w:rsid w:val="00517150"/>
    <w:rsid w:val="00527AE3"/>
    <w:rsid w:val="00554B02"/>
    <w:rsid w:val="0058190B"/>
    <w:rsid w:val="005918A0"/>
    <w:rsid w:val="005D0494"/>
    <w:rsid w:val="0064656C"/>
    <w:rsid w:val="00662106"/>
    <w:rsid w:val="00666EF9"/>
    <w:rsid w:val="00681027"/>
    <w:rsid w:val="006937BF"/>
    <w:rsid w:val="007565F3"/>
    <w:rsid w:val="00763F72"/>
    <w:rsid w:val="0076626D"/>
    <w:rsid w:val="007728DF"/>
    <w:rsid w:val="00777278"/>
    <w:rsid w:val="007E2B67"/>
    <w:rsid w:val="007F1764"/>
    <w:rsid w:val="00833B54"/>
    <w:rsid w:val="00835237"/>
    <w:rsid w:val="00856CE2"/>
    <w:rsid w:val="00883037"/>
    <w:rsid w:val="008B1C1E"/>
    <w:rsid w:val="008B29CB"/>
    <w:rsid w:val="00901E09"/>
    <w:rsid w:val="0090307F"/>
    <w:rsid w:val="0091596F"/>
    <w:rsid w:val="00917137"/>
    <w:rsid w:val="009B57F6"/>
    <w:rsid w:val="009D7F6C"/>
    <w:rsid w:val="009E59CE"/>
    <w:rsid w:val="00A12C47"/>
    <w:rsid w:val="00A42D13"/>
    <w:rsid w:val="00A8142F"/>
    <w:rsid w:val="00AF62EB"/>
    <w:rsid w:val="00B80EFF"/>
    <w:rsid w:val="00B972ED"/>
    <w:rsid w:val="00BB7212"/>
    <w:rsid w:val="00BE193C"/>
    <w:rsid w:val="00C43EF1"/>
    <w:rsid w:val="00C523EF"/>
    <w:rsid w:val="00C545CD"/>
    <w:rsid w:val="00C54B98"/>
    <w:rsid w:val="00CC3D4B"/>
    <w:rsid w:val="00CE74AB"/>
    <w:rsid w:val="00D759F3"/>
    <w:rsid w:val="00D761BA"/>
    <w:rsid w:val="00DC3463"/>
    <w:rsid w:val="00E0642E"/>
    <w:rsid w:val="00E14CFF"/>
    <w:rsid w:val="00E25337"/>
    <w:rsid w:val="00E37BA3"/>
    <w:rsid w:val="00E46B70"/>
    <w:rsid w:val="00E82A1C"/>
    <w:rsid w:val="00EF508E"/>
    <w:rsid w:val="00F6088F"/>
    <w:rsid w:val="00FB0CA6"/>
    <w:rsid w:val="00FF40E3"/>
    <w:rsid w:val="03217B69"/>
    <w:rsid w:val="05C0366A"/>
    <w:rsid w:val="0D164C5A"/>
    <w:rsid w:val="103A63E2"/>
    <w:rsid w:val="147E7142"/>
    <w:rsid w:val="19EE11A2"/>
    <w:rsid w:val="203910BC"/>
    <w:rsid w:val="20B9370B"/>
    <w:rsid w:val="21BC507D"/>
    <w:rsid w:val="24384ED2"/>
    <w:rsid w:val="25076AD1"/>
    <w:rsid w:val="281F201A"/>
    <w:rsid w:val="2E45744F"/>
    <w:rsid w:val="2F18556A"/>
    <w:rsid w:val="35EA550D"/>
    <w:rsid w:val="370D1DE2"/>
    <w:rsid w:val="40DE4C22"/>
    <w:rsid w:val="40E4303B"/>
    <w:rsid w:val="41D068D7"/>
    <w:rsid w:val="431E31A2"/>
    <w:rsid w:val="44F37952"/>
    <w:rsid w:val="48B92F96"/>
    <w:rsid w:val="48C00559"/>
    <w:rsid w:val="4A9D70A2"/>
    <w:rsid w:val="4E814CE5"/>
    <w:rsid w:val="5424132B"/>
    <w:rsid w:val="5A0C1B4F"/>
    <w:rsid w:val="5C9D3F54"/>
    <w:rsid w:val="5FAA7DA5"/>
    <w:rsid w:val="62922E0D"/>
    <w:rsid w:val="64C70274"/>
    <w:rsid w:val="65CD505A"/>
    <w:rsid w:val="65FC4A0F"/>
    <w:rsid w:val="68990557"/>
    <w:rsid w:val="712831B2"/>
    <w:rsid w:val="79226841"/>
    <w:rsid w:val="7EB4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269</Words>
  <Characters>1535</Characters>
  <Lines>12</Lines>
  <Paragraphs>3</Paragraphs>
  <TotalTime>1</TotalTime>
  <ScaleCrop>false</ScaleCrop>
  <LinksUpToDate>false</LinksUpToDate>
  <CharactersWithSpaces>1801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2022-01-14T04:06:00Z</dcterms:created>
  <dc:creator>Administrator</dc:creator>
  <cp:lastModifiedBy>Administrator</cp:lastModifiedBy>
  <cp:lastPrinted>2022-03-11T09:11:00Z</cp:lastPrinted>
  <dcterms:modified xsi:type="dcterms:W3CDTF">2025-04-16T01:49:03Z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1CB7153353814014A53D2DAB12B55E2D</vt:lpwstr>
  </property>
</Properties>
</file>