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462C6">
      <w:pPr>
        <w:widowControl/>
        <w:shd w:val="clear" w:color="auto" w:fill="FFFFFF"/>
        <w:spacing w:line="600" w:lineRule="exact"/>
        <w:jc w:val="center"/>
        <w:rPr>
          <w:rFonts w:hint="eastAsia" w:ascii="方正小标宋_GBK" w:hAnsi="宋体" w:eastAsia="方正小标宋_GBK" w:cs="宋体"/>
          <w:kern w:val="0"/>
          <w:sz w:val="44"/>
          <w:szCs w:val="44"/>
          <w:highlight w:val="none"/>
        </w:rPr>
      </w:pPr>
      <w:r>
        <w:rPr>
          <w:rFonts w:hint="eastAsia" w:ascii="方正小标宋_GBK" w:hAnsi="宋体" w:eastAsia="方正小标宋_GBK" w:cs="宋体"/>
          <w:kern w:val="0"/>
          <w:sz w:val="44"/>
          <w:szCs w:val="44"/>
          <w:highlight w:val="none"/>
        </w:rPr>
        <w:t>重庆高新</w:t>
      </w:r>
      <w:r>
        <w:rPr>
          <w:rFonts w:ascii="方正小标宋_GBK" w:hAnsi="宋体" w:eastAsia="方正小标宋_GBK" w:cs="宋体"/>
          <w:kern w:val="0"/>
          <w:sz w:val="44"/>
          <w:szCs w:val="44"/>
          <w:highlight w:val="none"/>
        </w:rPr>
        <w:t>区</w:t>
      </w:r>
      <w:r>
        <w:rPr>
          <w:rFonts w:hint="eastAsia" w:ascii="方正小标宋_GBK" w:hAnsi="宋体" w:eastAsia="方正小标宋_GBK" w:cs="宋体"/>
          <w:kern w:val="0"/>
          <w:sz w:val="44"/>
          <w:szCs w:val="44"/>
          <w:highlight w:val="none"/>
        </w:rPr>
        <w:t>生态环境局拟审批建设项目环评信息公告表</w:t>
      </w:r>
    </w:p>
    <w:p w14:paraId="091B3332">
      <w:pPr>
        <w:widowControl/>
        <w:shd w:val="clear" w:color="auto" w:fill="FFFFFF"/>
        <w:spacing w:line="600" w:lineRule="exact"/>
        <w:jc w:val="center"/>
        <w:rPr>
          <w:rFonts w:hint="eastAsia" w:ascii="方正小标宋_GBK" w:hAnsi="宋体" w:eastAsia="方正小标宋_GBK" w:cs="宋体"/>
          <w:kern w:val="0"/>
          <w:sz w:val="44"/>
          <w:szCs w:val="44"/>
          <w:highlight w:val="none"/>
        </w:rPr>
      </w:pPr>
      <w:r>
        <w:rPr>
          <w:rFonts w:hint="eastAsia" w:ascii="方正小标宋_GBK" w:hAnsi="宋体" w:eastAsia="方正小标宋_GBK" w:cs="宋体"/>
          <w:kern w:val="0"/>
          <w:sz w:val="44"/>
          <w:szCs w:val="44"/>
          <w:highlight w:val="none"/>
        </w:rPr>
        <w:t>（</w:t>
      </w:r>
      <w:r>
        <w:rPr>
          <w:rFonts w:hint="default" w:ascii="Times New Roman" w:hAnsi="Times New Roman" w:eastAsia="方正小标宋_GBK" w:cs="Times New Roman"/>
          <w:kern w:val="0"/>
          <w:sz w:val="44"/>
          <w:szCs w:val="44"/>
          <w:highlight w:val="none"/>
        </w:rPr>
        <w:t>202</w:t>
      </w:r>
      <w:r>
        <w:rPr>
          <w:rFonts w:hint="default" w:ascii="Times New Roman" w:hAnsi="Times New Roman" w:eastAsia="方正小标宋_GBK" w:cs="Times New Roman"/>
          <w:kern w:val="0"/>
          <w:sz w:val="44"/>
          <w:szCs w:val="44"/>
          <w:highlight w:val="none"/>
          <w:lang w:val="en-US" w:eastAsia="zh-CN"/>
        </w:rPr>
        <w:t>6</w:t>
      </w:r>
      <w:r>
        <w:rPr>
          <w:rFonts w:hint="default" w:ascii="Times New Roman" w:hAnsi="Times New Roman" w:eastAsia="方正小标宋_GBK" w:cs="Times New Roman"/>
          <w:kern w:val="0"/>
          <w:sz w:val="44"/>
          <w:szCs w:val="44"/>
          <w:highlight w:val="none"/>
        </w:rPr>
        <w:t>年第</w:t>
      </w:r>
      <w:r>
        <w:rPr>
          <w:rFonts w:hint="default" w:ascii="Times New Roman" w:hAnsi="Times New Roman" w:eastAsia="方正小标宋_GBK" w:cs="Times New Roman"/>
          <w:kern w:val="0"/>
          <w:sz w:val="44"/>
          <w:szCs w:val="44"/>
          <w:highlight w:val="none"/>
          <w:lang w:val="en-US" w:eastAsia="zh-CN"/>
        </w:rPr>
        <w:t>2</w:t>
      </w:r>
      <w:r>
        <w:rPr>
          <w:rFonts w:hint="eastAsia" w:eastAsia="方正小标宋_GBK" w:cs="Times New Roman"/>
          <w:kern w:val="0"/>
          <w:sz w:val="44"/>
          <w:szCs w:val="44"/>
          <w:highlight w:val="none"/>
          <w:lang w:val="en-US" w:eastAsia="zh-CN"/>
        </w:rPr>
        <w:t>5</w:t>
      </w:r>
      <w:r>
        <w:rPr>
          <w:rFonts w:hint="eastAsia" w:ascii="方正小标宋_GBK" w:hAnsi="宋体" w:eastAsia="方正小标宋_GBK" w:cs="宋体"/>
          <w:kern w:val="0"/>
          <w:sz w:val="44"/>
          <w:szCs w:val="44"/>
          <w:highlight w:val="none"/>
        </w:rPr>
        <w:t>号）</w:t>
      </w:r>
    </w:p>
    <w:p w14:paraId="5B47495C">
      <w:pPr>
        <w:widowControl/>
        <w:shd w:val="clear" w:color="auto" w:fill="FFFFFF"/>
        <w:spacing w:line="400" w:lineRule="exact"/>
        <w:ind w:firstLine="641"/>
        <w:rPr>
          <w:rFonts w:hint="default" w:ascii="Times New Roman" w:hAnsi="Times New Roman" w:eastAsia="方正仿宋_GBK" w:cs="Times New Roman"/>
          <w:kern w:val="0"/>
          <w:sz w:val="24"/>
          <w:szCs w:val="24"/>
          <w:highlight w:val="none"/>
          <w:lang w:eastAsia="zh-CN"/>
        </w:rPr>
      </w:pPr>
      <w:r>
        <w:rPr>
          <w:rFonts w:hint="default" w:ascii="Times New Roman" w:hAnsi="Times New Roman" w:eastAsia="方正仿宋_GBK" w:cs="Times New Roman"/>
          <w:kern w:val="0"/>
          <w:sz w:val="24"/>
          <w:szCs w:val="24"/>
          <w:highlight w:val="none"/>
        </w:rPr>
        <w:t>重庆高新区生态环境局拟审批以下建设项目环评文件，现公告有关环评信息，接受社会监督。公示期为2026年</w:t>
      </w:r>
      <w:r>
        <w:rPr>
          <w:rFonts w:hint="eastAsia" w:eastAsia="方正仿宋_GBK" w:cs="Times New Roman"/>
          <w:kern w:val="0"/>
          <w:sz w:val="24"/>
          <w:szCs w:val="24"/>
          <w:highlight w:val="none"/>
          <w:lang w:val="en-US" w:eastAsia="zh-CN"/>
        </w:rPr>
        <w:t>8</w:t>
      </w:r>
      <w:r>
        <w:rPr>
          <w:rFonts w:hint="default" w:ascii="Times New Roman" w:hAnsi="Times New Roman" w:eastAsia="方正仿宋_GBK" w:cs="Times New Roman"/>
          <w:kern w:val="0"/>
          <w:sz w:val="24"/>
          <w:szCs w:val="24"/>
          <w:highlight w:val="none"/>
        </w:rPr>
        <w:t>月</w:t>
      </w:r>
      <w:r>
        <w:rPr>
          <w:rFonts w:hint="eastAsia" w:eastAsia="方正仿宋_GBK" w:cs="Times New Roman"/>
          <w:kern w:val="0"/>
          <w:sz w:val="24"/>
          <w:szCs w:val="24"/>
          <w:highlight w:val="none"/>
          <w:lang w:val="en-US" w:eastAsia="zh-CN"/>
        </w:rPr>
        <w:t>18</w:t>
      </w:r>
      <w:r>
        <w:rPr>
          <w:rFonts w:hint="default" w:ascii="Times New Roman" w:hAnsi="Times New Roman" w:eastAsia="方正仿宋_GBK" w:cs="Times New Roman"/>
          <w:kern w:val="0"/>
          <w:sz w:val="24"/>
          <w:szCs w:val="24"/>
          <w:highlight w:val="none"/>
        </w:rPr>
        <w:t>日至2026年</w:t>
      </w:r>
      <w:r>
        <w:rPr>
          <w:rFonts w:hint="eastAsia" w:eastAsia="方正仿宋_GBK" w:cs="Times New Roman"/>
          <w:kern w:val="0"/>
          <w:sz w:val="24"/>
          <w:szCs w:val="24"/>
          <w:highlight w:val="none"/>
          <w:lang w:val="en-US" w:eastAsia="zh-CN"/>
        </w:rPr>
        <w:t>8</w:t>
      </w:r>
      <w:r>
        <w:rPr>
          <w:rFonts w:hint="default" w:ascii="Times New Roman" w:hAnsi="Times New Roman" w:eastAsia="方正仿宋_GBK" w:cs="Times New Roman"/>
          <w:kern w:val="0"/>
          <w:sz w:val="24"/>
          <w:szCs w:val="24"/>
          <w:highlight w:val="none"/>
        </w:rPr>
        <w:t>月</w:t>
      </w:r>
      <w:r>
        <w:rPr>
          <w:rFonts w:hint="eastAsia" w:eastAsia="方正仿宋_GBK" w:cs="Times New Roman"/>
          <w:kern w:val="0"/>
          <w:sz w:val="24"/>
          <w:szCs w:val="24"/>
          <w:highlight w:val="none"/>
          <w:lang w:val="en-US" w:eastAsia="zh-CN"/>
        </w:rPr>
        <w:t>24</w:t>
      </w:r>
      <w:r>
        <w:rPr>
          <w:rFonts w:hint="default" w:ascii="Times New Roman" w:hAnsi="Times New Roman" w:eastAsia="方正仿宋_GBK" w:cs="Times New Roman"/>
          <w:kern w:val="0"/>
          <w:sz w:val="24"/>
          <w:szCs w:val="24"/>
          <w:highlight w:val="none"/>
        </w:rPr>
        <w:t>日（5个工作日）。环评文件查询方式</w:t>
      </w:r>
      <w:r>
        <w:rPr>
          <w:rFonts w:hint="default" w:ascii="Times New Roman" w:hAnsi="Times New Roman" w:eastAsia="方正仿宋_GBK" w:cs="Times New Roman"/>
          <w:kern w:val="0"/>
          <w:sz w:val="24"/>
          <w:szCs w:val="24"/>
          <w:highlight w:val="none"/>
          <w:lang w:eastAsia="zh-CN"/>
        </w:rPr>
        <w:t>为</w:t>
      </w:r>
      <w:r>
        <w:rPr>
          <w:rFonts w:hint="default" w:ascii="Times New Roman" w:hAnsi="Times New Roman" w:eastAsia="方正仿宋_GBK" w:cs="Times New Roman"/>
          <w:kern w:val="0"/>
          <w:sz w:val="24"/>
          <w:szCs w:val="24"/>
          <w:highlight w:val="none"/>
        </w:rPr>
        <w:t>http://gxq.cq.gov.cn/。反馈意见受理方式</w:t>
      </w:r>
      <w:r>
        <w:rPr>
          <w:rFonts w:hint="default" w:ascii="Times New Roman" w:hAnsi="Times New Roman" w:eastAsia="方正仿宋_GBK" w:cs="Times New Roman"/>
          <w:kern w:val="0"/>
          <w:sz w:val="24"/>
          <w:szCs w:val="24"/>
          <w:highlight w:val="none"/>
          <w:lang w:eastAsia="zh-CN"/>
        </w:rPr>
        <w:t>如下：</w:t>
      </w:r>
    </w:p>
    <w:p w14:paraId="29B6FCF5">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80" w:firstLineChars="200"/>
        <w:jc w:val="both"/>
        <w:textAlignment w:val="baseline"/>
        <w:rPr>
          <w:rFonts w:hint="default" w:ascii="Times New Roman" w:hAnsi="Times New Roman" w:eastAsia="方正仿宋_GBK" w:cs="Times New Roman"/>
          <w:color w:val="353535"/>
          <w:highlight w:val="none"/>
        </w:rPr>
      </w:pPr>
      <w:r>
        <w:rPr>
          <w:rFonts w:hint="default" w:ascii="Times New Roman" w:hAnsi="Times New Roman" w:eastAsia="方正仿宋_GBK" w:cs="Times New Roman"/>
          <w:color w:val="353535"/>
          <w:highlight w:val="none"/>
        </w:rPr>
        <w:t>通讯地址：重庆高新区高新大道6号</w:t>
      </w:r>
      <w:r>
        <w:rPr>
          <w:rFonts w:hint="default" w:ascii="Times New Roman" w:hAnsi="Times New Roman" w:eastAsia="方正仿宋_GBK" w:cs="Times New Roman"/>
          <w:color w:val="353535"/>
          <w:highlight w:val="none"/>
          <w:lang w:val="en-US" w:eastAsia="zh-CN"/>
        </w:rPr>
        <w:t xml:space="preserve">                             </w:t>
      </w:r>
      <w:r>
        <w:rPr>
          <w:rFonts w:hint="default" w:ascii="Times New Roman" w:hAnsi="Times New Roman" w:eastAsia="方正仿宋_GBK" w:cs="Times New Roman"/>
          <w:color w:val="353535"/>
          <w:highlight w:val="none"/>
        </w:rPr>
        <w:t>邮</w:t>
      </w:r>
      <w:r>
        <w:rPr>
          <w:rFonts w:hint="default" w:ascii="Times New Roman" w:hAnsi="Times New Roman" w:eastAsia="方正仿宋_GBK" w:cs="Times New Roman"/>
          <w:color w:val="353535"/>
          <w:highlight w:val="none"/>
          <w:lang w:val="en-US" w:eastAsia="zh-CN"/>
        </w:rPr>
        <w:t xml:space="preserve">    </w:t>
      </w:r>
      <w:r>
        <w:rPr>
          <w:rFonts w:hint="default" w:ascii="Times New Roman" w:hAnsi="Times New Roman" w:eastAsia="方正仿宋_GBK" w:cs="Times New Roman"/>
          <w:color w:val="353535"/>
          <w:highlight w:val="none"/>
        </w:rPr>
        <w:t>编：400039</w:t>
      </w:r>
    </w:p>
    <w:p w14:paraId="34F54B49">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exact"/>
        <w:ind w:firstLine="480" w:firstLineChars="200"/>
        <w:jc w:val="both"/>
        <w:textAlignment w:val="baseline"/>
        <w:rPr>
          <w:rFonts w:hint="default" w:ascii="Times New Roman" w:hAnsi="Times New Roman" w:eastAsia="方正仿宋_GBK" w:cs="Times New Roman"/>
          <w:color w:val="353535"/>
        </w:rPr>
      </w:pPr>
      <w:r>
        <w:rPr>
          <w:rFonts w:hint="default" w:ascii="Times New Roman" w:hAnsi="Times New Roman" w:eastAsia="方正仿宋_GBK" w:cs="Times New Roman"/>
          <w:color w:val="353535"/>
          <w:highlight w:val="none"/>
        </w:rPr>
        <w:t>传</w:t>
      </w:r>
      <w:r>
        <w:rPr>
          <w:rFonts w:hint="default" w:ascii="Times New Roman" w:hAnsi="Times New Roman" w:eastAsia="方正仿宋_GBK" w:cs="Times New Roman"/>
          <w:color w:val="353535"/>
          <w:highlight w:val="none"/>
          <w:lang w:val="en-US" w:eastAsia="zh-CN"/>
        </w:rPr>
        <w:t xml:space="preserve">    </w:t>
      </w:r>
      <w:r>
        <w:rPr>
          <w:rFonts w:hint="default" w:ascii="Times New Roman" w:hAnsi="Times New Roman" w:eastAsia="方正仿宋_GBK" w:cs="Times New Roman"/>
          <w:color w:val="353535"/>
          <w:highlight w:val="none"/>
        </w:rPr>
        <w:t>真：68601388</w:t>
      </w:r>
      <w:r>
        <w:rPr>
          <w:rFonts w:hint="eastAsia" w:ascii="Times New Roman" w:hAnsi="Times New Roman" w:eastAsia="方正仿宋_GBK" w:cs="Times New Roman"/>
          <w:color w:val="353535"/>
          <w:highlight w:val="none"/>
          <w:lang w:val="en-US" w:eastAsia="zh-CN"/>
        </w:rPr>
        <w:t xml:space="preserve">                </w:t>
      </w:r>
      <w:r>
        <w:rPr>
          <w:rFonts w:hint="eastAsia" w:ascii="Times New Roman" w:hAnsi="Times New Roman" w:eastAsia="方正仿宋_GBK" w:cs="Times New Roman"/>
          <w:color w:val="353535"/>
          <w:lang w:val="en-US" w:eastAsia="zh-CN"/>
        </w:rPr>
        <w:t xml:space="preserve">                           </w:t>
      </w:r>
      <w:r>
        <w:rPr>
          <w:rFonts w:hint="default" w:ascii="Times New Roman" w:hAnsi="Times New Roman" w:eastAsia="方正仿宋_GBK" w:cs="Times New Roman"/>
          <w:color w:val="353535"/>
        </w:rPr>
        <w:t>电子邮箱：gxqsthj@163.com</w:t>
      </w:r>
    </w:p>
    <w:p w14:paraId="2D64CF87">
      <w:pPr>
        <w:widowControl/>
        <w:shd w:val="clear" w:color="auto" w:fill="FFFFFF"/>
        <w:spacing w:line="400" w:lineRule="exact"/>
        <w:ind w:firstLine="641"/>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 xml:space="preserve">申请人和利害关系人可自公示之日起5个工作日内以书面形式向我局提出听证申请。 </w:t>
      </w:r>
    </w:p>
    <w:tbl>
      <w:tblPr>
        <w:tblStyle w:val="16"/>
        <w:tblW w:w="13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626"/>
        <w:gridCol w:w="1116"/>
        <w:gridCol w:w="1116"/>
        <w:gridCol w:w="1116"/>
        <w:gridCol w:w="1119"/>
        <w:gridCol w:w="2609"/>
        <w:gridCol w:w="2973"/>
        <w:gridCol w:w="1843"/>
        <w:gridCol w:w="1345"/>
      </w:tblGrid>
      <w:tr w14:paraId="0BA6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26" w:type="dxa"/>
            <w:shd w:val="clear" w:color="auto" w:fill="FFFFFF"/>
            <w:noWrap w:val="0"/>
            <w:tcMar>
              <w:top w:w="0" w:type="dxa"/>
              <w:left w:w="108" w:type="dxa"/>
              <w:bottom w:w="0" w:type="dxa"/>
              <w:right w:w="108" w:type="dxa"/>
            </w:tcMar>
            <w:vAlign w:val="center"/>
          </w:tcPr>
          <w:p w14:paraId="7C919D2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序号</w:t>
            </w:r>
          </w:p>
        </w:tc>
        <w:tc>
          <w:tcPr>
            <w:tcW w:w="1116" w:type="dxa"/>
            <w:shd w:val="clear" w:color="auto" w:fill="FFFFFF"/>
            <w:noWrap w:val="0"/>
            <w:tcMar>
              <w:top w:w="0" w:type="dxa"/>
              <w:left w:w="108" w:type="dxa"/>
              <w:bottom w:w="0" w:type="dxa"/>
              <w:right w:w="108" w:type="dxa"/>
            </w:tcMar>
            <w:vAlign w:val="center"/>
          </w:tcPr>
          <w:p w14:paraId="6EBADD0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w:t>
            </w:r>
          </w:p>
          <w:p w14:paraId="640040B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名称</w:t>
            </w:r>
          </w:p>
        </w:tc>
        <w:tc>
          <w:tcPr>
            <w:tcW w:w="1116" w:type="dxa"/>
            <w:shd w:val="clear" w:color="auto" w:fill="FFFFFF"/>
            <w:noWrap w:val="0"/>
            <w:tcMar>
              <w:top w:w="0" w:type="dxa"/>
              <w:left w:w="108" w:type="dxa"/>
              <w:bottom w:w="0" w:type="dxa"/>
              <w:right w:w="108" w:type="dxa"/>
            </w:tcMar>
            <w:vAlign w:val="center"/>
          </w:tcPr>
          <w:p w14:paraId="786937B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建设</w:t>
            </w:r>
          </w:p>
          <w:p w14:paraId="3AC8E08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单位</w:t>
            </w:r>
          </w:p>
        </w:tc>
        <w:tc>
          <w:tcPr>
            <w:tcW w:w="1116" w:type="dxa"/>
            <w:shd w:val="clear" w:color="auto" w:fill="FFFFFF"/>
            <w:noWrap w:val="0"/>
            <w:tcMar>
              <w:top w:w="0" w:type="dxa"/>
              <w:left w:w="108" w:type="dxa"/>
              <w:bottom w:w="0" w:type="dxa"/>
              <w:right w:w="108" w:type="dxa"/>
            </w:tcMar>
            <w:vAlign w:val="center"/>
          </w:tcPr>
          <w:p w14:paraId="45916A6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建设</w:t>
            </w:r>
          </w:p>
          <w:p w14:paraId="445278C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地点</w:t>
            </w:r>
          </w:p>
        </w:tc>
        <w:tc>
          <w:tcPr>
            <w:tcW w:w="1119" w:type="dxa"/>
            <w:shd w:val="clear" w:color="auto" w:fill="FFFFFF"/>
            <w:noWrap w:val="0"/>
            <w:tcMar>
              <w:top w:w="0" w:type="dxa"/>
              <w:left w:w="108" w:type="dxa"/>
              <w:bottom w:w="0" w:type="dxa"/>
              <w:right w:w="108" w:type="dxa"/>
            </w:tcMar>
            <w:vAlign w:val="center"/>
          </w:tcPr>
          <w:p w14:paraId="5164932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环评</w:t>
            </w:r>
          </w:p>
          <w:p w14:paraId="31A71FB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机构</w:t>
            </w:r>
          </w:p>
        </w:tc>
        <w:tc>
          <w:tcPr>
            <w:tcW w:w="2609" w:type="dxa"/>
            <w:shd w:val="clear" w:color="auto" w:fill="FFFFFF"/>
            <w:noWrap w:val="0"/>
            <w:vAlign w:val="center"/>
          </w:tcPr>
          <w:p w14:paraId="5DDFB8E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项目概况</w:t>
            </w:r>
          </w:p>
        </w:tc>
        <w:tc>
          <w:tcPr>
            <w:tcW w:w="2973" w:type="dxa"/>
            <w:shd w:val="clear" w:color="auto" w:fill="FFFFFF"/>
            <w:noWrap w:val="0"/>
            <w:vAlign w:val="center"/>
          </w:tcPr>
          <w:p w14:paraId="31BAF85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主要环境影响和环境保护对策与措施</w:t>
            </w:r>
          </w:p>
        </w:tc>
        <w:tc>
          <w:tcPr>
            <w:tcW w:w="1843" w:type="dxa"/>
            <w:shd w:val="clear" w:color="auto" w:fill="FFFFFF"/>
            <w:noWrap w:val="0"/>
            <w:vAlign w:val="center"/>
          </w:tcPr>
          <w:p w14:paraId="148E15C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相关部门意见</w:t>
            </w:r>
          </w:p>
        </w:tc>
        <w:tc>
          <w:tcPr>
            <w:tcW w:w="1345" w:type="dxa"/>
            <w:shd w:val="clear" w:color="auto" w:fill="FFFFFF"/>
            <w:noWrap w:val="0"/>
            <w:vAlign w:val="center"/>
          </w:tcPr>
          <w:p w14:paraId="30CCBAC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建设单位开展的公众参与情况</w:t>
            </w:r>
          </w:p>
        </w:tc>
      </w:tr>
      <w:tr w14:paraId="411E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26" w:type="dxa"/>
            <w:shd w:val="clear" w:color="auto" w:fill="FFFFFF"/>
            <w:noWrap w:val="0"/>
            <w:tcMar>
              <w:top w:w="0" w:type="dxa"/>
              <w:left w:w="108" w:type="dxa"/>
              <w:bottom w:w="0" w:type="dxa"/>
              <w:right w:w="108" w:type="dxa"/>
            </w:tcMar>
            <w:vAlign w:val="center"/>
          </w:tcPr>
          <w:p w14:paraId="219C868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val="en-US" w:eastAsia="zh-CN"/>
              </w:rPr>
              <w:t>1</w:t>
            </w:r>
          </w:p>
        </w:tc>
        <w:tc>
          <w:tcPr>
            <w:tcW w:w="1116" w:type="dxa"/>
            <w:shd w:val="clear" w:color="auto" w:fill="FFFFFF"/>
            <w:noWrap w:val="0"/>
            <w:tcMar>
              <w:top w:w="0" w:type="dxa"/>
              <w:left w:w="108" w:type="dxa"/>
              <w:bottom w:w="0" w:type="dxa"/>
              <w:right w:w="108" w:type="dxa"/>
            </w:tcMar>
            <w:vAlign w:val="center"/>
          </w:tcPr>
          <w:p w14:paraId="0AB5F9C5">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lang w:eastAsia="zh-CN"/>
              </w:rPr>
              <w:t>西永综合保税区进口整车展示存储中心及周边配套工程</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lang w:eastAsia="zh-CN"/>
              </w:rPr>
              <w:t>广达生活区A线道路东延段工程</w:t>
            </w:r>
          </w:p>
        </w:tc>
        <w:tc>
          <w:tcPr>
            <w:tcW w:w="1116" w:type="dxa"/>
            <w:shd w:val="clear" w:color="auto" w:fill="FFFFFF"/>
            <w:noWrap w:val="0"/>
            <w:tcMar>
              <w:top w:w="0" w:type="dxa"/>
              <w:left w:w="108" w:type="dxa"/>
              <w:bottom w:w="0" w:type="dxa"/>
              <w:right w:w="108" w:type="dxa"/>
            </w:tcMar>
            <w:vAlign w:val="center"/>
          </w:tcPr>
          <w:p w14:paraId="56491524">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lang w:val="en-US" w:eastAsia="zh-CN"/>
              </w:rPr>
              <w:t>重庆西永微电子产业园区开发有限公司</w:t>
            </w:r>
          </w:p>
        </w:tc>
        <w:tc>
          <w:tcPr>
            <w:tcW w:w="1116" w:type="dxa"/>
            <w:shd w:val="clear" w:color="auto" w:fill="FFFFFF"/>
            <w:noWrap w:val="0"/>
            <w:tcMar>
              <w:top w:w="0" w:type="dxa"/>
              <w:left w:w="108" w:type="dxa"/>
              <w:bottom w:w="0" w:type="dxa"/>
              <w:right w:w="108" w:type="dxa"/>
            </w:tcMar>
            <w:vAlign w:val="center"/>
          </w:tcPr>
          <w:p w14:paraId="566103C6">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lang w:val="en-US" w:eastAsia="zh-CN"/>
              </w:rPr>
              <w:t>重庆高新区</w:t>
            </w:r>
            <w:r>
              <w:rPr>
                <w:rFonts w:hint="eastAsia" w:ascii="Times New Roman" w:hAnsi="Times New Roman" w:eastAsia="方正仿宋_GBK" w:cs="Times New Roman"/>
                <w:kern w:val="0"/>
                <w:sz w:val="24"/>
                <w:szCs w:val="24"/>
                <w:lang w:val="en-US" w:eastAsia="zh-CN"/>
              </w:rPr>
              <w:t>曾家</w:t>
            </w:r>
            <w:r>
              <w:rPr>
                <w:rFonts w:hint="default" w:ascii="Times New Roman" w:hAnsi="Times New Roman" w:eastAsia="方正仿宋_GBK" w:cs="Times New Roman"/>
                <w:kern w:val="0"/>
                <w:sz w:val="24"/>
                <w:szCs w:val="24"/>
                <w:lang w:val="en-US" w:eastAsia="zh-CN"/>
              </w:rPr>
              <w:t>镇</w:t>
            </w:r>
          </w:p>
        </w:tc>
        <w:tc>
          <w:tcPr>
            <w:tcW w:w="1119" w:type="dxa"/>
            <w:shd w:val="clear" w:color="auto" w:fill="FFFFFF"/>
            <w:noWrap w:val="0"/>
            <w:tcMar>
              <w:top w:w="0" w:type="dxa"/>
              <w:left w:w="108" w:type="dxa"/>
              <w:bottom w:w="0" w:type="dxa"/>
              <w:right w:w="108" w:type="dxa"/>
            </w:tcMar>
            <w:vAlign w:val="center"/>
          </w:tcPr>
          <w:p w14:paraId="520E0B4C">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lang w:val="en-US" w:eastAsia="zh-CN"/>
              </w:rPr>
              <w:t>重庆浩力环境工程股份有限公司</w:t>
            </w:r>
          </w:p>
        </w:tc>
        <w:tc>
          <w:tcPr>
            <w:tcW w:w="2609" w:type="dxa"/>
            <w:shd w:val="clear" w:color="auto" w:fill="FFFFFF"/>
            <w:noWrap w:val="0"/>
            <w:vAlign w:val="center"/>
          </w:tcPr>
          <w:p w14:paraId="53EF6316">
            <w:pPr>
              <w:keepNext w:val="0"/>
              <w:keepLines w:val="0"/>
              <w:pageBreakBefore w:val="0"/>
              <w:widowControl w:val="0"/>
              <w:kinsoku/>
              <w:wordWrap/>
              <w:overflowPunct w:val="0"/>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kern w:val="0"/>
                <w:sz w:val="24"/>
                <w:szCs w:val="24"/>
                <w:lang w:val="en-US" w:eastAsia="zh-CN"/>
              </w:rPr>
            </w:pPr>
            <w:r>
              <w:rPr>
                <w:rFonts w:hint="eastAsia" w:ascii="Times New Roman" w:hAnsi="Times New Roman" w:eastAsia="方正仿宋_GBK" w:cs="Times New Roman"/>
                <w:kern w:val="0"/>
                <w:sz w:val="24"/>
                <w:szCs w:val="24"/>
                <w:lang w:val="en-US" w:eastAsia="zh-CN"/>
              </w:rPr>
              <w:t>拟建道路全长836.606m，城市主干路，设计车速为50km/h，标准路幅宽度38m，双向六车道。道路呈东西走向，西接广达生活区一期A线道路，东至规划新森大道（西永综保区B区纵一路），建设内容包含道路工程、沿线综合管廊、岩土工程、交通工程、照明工程、景观工程等</w:t>
            </w:r>
            <w:r>
              <w:rPr>
                <w:rFonts w:hint="default" w:ascii="Times New Roman" w:hAnsi="Times New Roman" w:eastAsia="方正仿宋_GBK" w:cs="Times New Roman"/>
                <w:kern w:val="0"/>
                <w:sz w:val="24"/>
                <w:szCs w:val="24"/>
                <w:lang w:val="en-US" w:eastAsia="zh-CN"/>
              </w:rPr>
              <w:t>。</w:t>
            </w:r>
          </w:p>
          <w:p w14:paraId="369B0034">
            <w:pPr>
              <w:keepNext w:val="0"/>
              <w:keepLines w:val="0"/>
              <w:pageBreakBefore w:val="0"/>
              <w:widowControl w:val="0"/>
              <w:kinsoku/>
              <w:wordWrap/>
              <w:overflowPunct w:val="0"/>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lang w:val="en-US" w:eastAsia="zh-CN"/>
              </w:rPr>
              <w:t>项目总投资</w:t>
            </w:r>
            <w:r>
              <w:rPr>
                <w:rFonts w:hint="eastAsia" w:ascii="Times New Roman" w:hAnsi="Times New Roman" w:eastAsia="方正仿宋_GBK" w:cs="Times New Roman"/>
                <w:kern w:val="0"/>
                <w:sz w:val="24"/>
                <w:szCs w:val="24"/>
                <w:lang w:val="en-US" w:eastAsia="zh-CN"/>
              </w:rPr>
              <w:t>约36892.73</w:t>
            </w:r>
            <w:r>
              <w:rPr>
                <w:rFonts w:hint="default" w:ascii="Times New Roman" w:hAnsi="Times New Roman" w:eastAsia="方正仿宋_GBK" w:cs="Times New Roman"/>
                <w:kern w:val="0"/>
                <w:sz w:val="24"/>
                <w:szCs w:val="24"/>
                <w:lang w:val="en-US" w:eastAsia="zh-CN"/>
              </w:rPr>
              <w:t>万元，其中环保投资</w:t>
            </w:r>
            <w:r>
              <w:rPr>
                <w:rFonts w:hint="eastAsia" w:ascii="Times New Roman" w:hAnsi="Times New Roman" w:eastAsia="方正仿宋_GBK" w:cs="Times New Roman"/>
                <w:kern w:val="0"/>
                <w:sz w:val="24"/>
                <w:szCs w:val="24"/>
                <w:lang w:val="en-US" w:eastAsia="zh-CN"/>
              </w:rPr>
              <w:t>255</w:t>
            </w:r>
            <w:r>
              <w:rPr>
                <w:rFonts w:hint="default" w:ascii="Times New Roman" w:hAnsi="Times New Roman" w:eastAsia="方正仿宋_GBK" w:cs="Times New Roman"/>
                <w:kern w:val="0"/>
                <w:sz w:val="24"/>
                <w:szCs w:val="24"/>
                <w:lang w:val="en-US" w:eastAsia="zh-CN"/>
              </w:rPr>
              <w:t>万元，占总投资的</w:t>
            </w:r>
            <w:r>
              <w:rPr>
                <w:rFonts w:hint="eastAsia" w:ascii="Times New Roman" w:hAnsi="Times New Roman" w:eastAsia="方正仿宋_GBK" w:cs="Times New Roman"/>
                <w:kern w:val="0"/>
                <w:sz w:val="24"/>
                <w:szCs w:val="24"/>
                <w:lang w:val="en-US" w:eastAsia="zh-CN"/>
              </w:rPr>
              <w:t>0.69</w:t>
            </w:r>
            <w:r>
              <w:rPr>
                <w:rFonts w:hint="default" w:ascii="Times New Roman" w:hAnsi="Times New Roman" w:eastAsia="方正仿宋_GBK" w:cs="Times New Roman"/>
                <w:kern w:val="0"/>
                <w:sz w:val="24"/>
                <w:szCs w:val="24"/>
                <w:lang w:val="en-US" w:eastAsia="zh-CN"/>
              </w:rPr>
              <w:t>%。</w:t>
            </w:r>
          </w:p>
        </w:tc>
        <w:tc>
          <w:tcPr>
            <w:tcW w:w="2973" w:type="dxa"/>
            <w:shd w:val="clear" w:color="auto" w:fill="FFFFFF"/>
            <w:noWrap w:val="0"/>
            <w:vAlign w:val="center"/>
          </w:tcPr>
          <w:p w14:paraId="24E707EF">
            <w:pPr>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eastAsia="zh-CN"/>
              </w:rPr>
              <w:t>项目环境影响主要是施工期和运营期对大气、噪声、地表水、固废等影响</w:t>
            </w:r>
            <w:r>
              <w:rPr>
                <w:rFonts w:hint="default" w:ascii="Times New Roman" w:hAnsi="Times New Roman" w:eastAsia="方正仿宋_GBK" w:cs="Times New Roman"/>
                <w:kern w:val="0"/>
                <w:sz w:val="24"/>
                <w:szCs w:val="24"/>
                <w:lang w:val="en-US" w:eastAsia="zh-CN"/>
              </w:rPr>
              <w:t>。</w:t>
            </w:r>
          </w:p>
          <w:p w14:paraId="6070D179">
            <w:pPr>
              <w:keepNext w:val="0"/>
              <w:keepLines w:val="0"/>
              <w:pageBreakBefore w:val="0"/>
              <w:widowControl w:val="0"/>
              <w:numPr>
                <w:ilvl w:val="0"/>
                <w:numId w:val="0"/>
              </w:numPr>
              <w:kinsoku/>
              <w:wordWrap/>
              <w:overflowPunct w:val="0"/>
              <w:topLinePunct w:val="0"/>
              <w:autoSpaceDE/>
              <w:autoSpaceDN/>
              <w:bidi w:val="0"/>
              <w:adjustRightInd/>
              <w:snapToGrid/>
              <w:spacing w:line="360" w:lineRule="exact"/>
              <w:ind w:firstLine="480" w:firstLineChars="200"/>
              <w:jc w:val="both"/>
              <w:textAlignment w:val="auto"/>
              <w:rPr>
                <w:rFonts w:hint="eastAsia" w:eastAsia="方正仿宋_GBK"/>
                <w:color w:val="000000"/>
                <w:kern w:val="0"/>
                <w:sz w:val="24"/>
                <w:szCs w:val="24"/>
                <w:lang w:val="en-US" w:eastAsia="zh-CN" w:bidi="ar-SA"/>
              </w:rPr>
            </w:pPr>
            <w:r>
              <w:rPr>
                <w:rFonts w:hint="eastAsia" w:eastAsia="方正仿宋_GBK"/>
                <w:color w:val="000000"/>
                <w:kern w:val="0"/>
                <w:sz w:val="24"/>
                <w:szCs w:val="24"/>
                <w:lang w:val="en-US" w:eastAsia="zh-CN" w:bidi="ar-SA"/>
              </w:rPr>
              <w:t>（一）施工期：</w:t>
            </w:r>
          </w:p>
          <w:p w14:paraId="1DFA56E4">
            <w:pPr>
              <w:keepNext w:val="0"/>
              <w:keepLines w:val="0"/>
              <w:pageBreakBefore w:val="0"/>
              <w:widowControl w:val="0"/>
              <w:numPr>
                <w:ilvl w:val="0"/>
                <w:numId w:val="0"/>
              </w:numPr>
              <w:kinsoku/>
              <w:wordWrap/>
              <w:overflowPunct w:val="0"/>
              <w:topLinePunct w:val="0"/>
              <w:autoSpaceDE/>
              <w:autoSpaceDN/>
              <w:bidi w:val="0"/>
              <w:adjustRightInd/>
              <w:snapToGrid/>
              <w:spacing w:line="360" w:lineRule="exact"/>
              <w:ind w:firstLine="480" w:firstLineChars="200"/>
              <w:jc w:val="both"/>
              <w:textAlignment w:val="auto"/>
              <w:rPr>
                <w:rFonts w:hint="default" w:eastAsia="方正仿宋_GBK"/>
                <w:color w:val="000000"/>
                <w:kern w:val="0"/>
                <w:sz w:val="24"/>
                <w:szCs w:val="24"/>
                <w:lang w:val="en-US" w:eastAsia="zh-CN" w:bidi="ar-SA"/>
              </w:rPr>
            </w:pPr>
            <w:r>
              <w:rPr>
                <w:rFonts w:hint="eastAsia" w:eastAsia="方正仿宋_GBK"/>
                <w:color w:val="000000"/>
                <w:kern w:val="0"/>
                <w:sz w:val="24"/>
                <w:szCs w:val="24"/>
                <w:lang w:val="en-US" w:eastAsia="zh-CN" w:bidi="ar-SA"/>
              </w:rPr>
              <w:t>（1）生态：严格控制施工范围，裸露地面临时覆盖，设置护坡边坡和截排水沟等。合理调整施工期，涉水工程应选在枯水期，采用围堰工艺。严禁将废渣及施工废弃物排入水体。采取措施后对生态影响较小。</w:t>
            </w:r>
          </w:p>
          <w:p w14:paraId="7B5FC26B">
            <w:pPr>
              <w:keepNext w:val="0"/>
              <w:keepLines w:val="0"/>
              <w:pageBreakBefore w:val="0"/>
              <w:widowControl w:val="0"/>
              <w:numPr>
                <w:ilvl w:val="0"/>
                <w:numId w:val="0"/>
              </w:numPr>
              <w:kinsoku/>
              <w:wordWrap/>
              <w:overflowPunct w:val="0"/>
              <w:topLinePunct w:val="0"/>
              <w:autoSpaceDE/>
              <w:autoSpaceDN/>
              <w:bidi w:val="0"/>
              <w:adjustRightInd/>
              <w:snapToGrid/>
              <w:spacing w:line="360" w:lineRule="exact"/>
              <w:ind w:firstLine="480" w:firstLineChars="200"/>
              <w:jc w:val="both"/>
              <w:textAlignment w:val="auto"/>
              <w:rPr>
                <w:rFonts w:hint="eastAsia" w:eastAsia="方正仿宋_GBK"/>
                <w:color w:val="000000"/>
                <w:kern w:val="0"/>
                <w:sz w:val="24"/>
                <w:szCs w:val="24"/>
                <w:lang w:val="en-US" w:eastAsia="zh-CN" w:bidi="ar-SA"/>
              </w:rPr>
            </w:pPr>
            <w:r>
              <w:rPr>
                <w:rFonts w:hint="eastAsia" w:eastAsia="方正仿宋_GBK"/>
                <w:color w:val="000000"/>
                <w:kern w:val="0"/>
                <w:sz w:val="24"/>
                <w:szCs w:val="24"/>
                <w:lang w:val="en-US" w:eastAsia="zh-CN" w:bidi="ar-SA"/>
              </w:rPr>
              <w:t>（2）水环境：项目不新建生活营地。施工废水经隔油沉淀池、沉砂池处理后回用，对水环境影响小。</w:t>
            </w:r>
          </w:p>
          <w:p w14:paraId="39DAA02C">
            <w:pPr>
              <w:keepNext w:val="0"/>
              <w:keepLines w:val="0"/>
              <w:pageBreakBefore w:val="0"/>
              <w:widowControl w:val="0"/>
              <w:numPr>
                <w:ilvl w:val="0"/>
                <w:numId w:val="0"/>
              </w:numPr>
              <w:kinsoku/>
              <w:wordWrap/>
              <w:overflowPunct w:val="0"/>
              <w:topLinePunct w:val="0"/>
              <w:autoSpaceDE/>
              <w:autoSpaceDN/>
              <w:bidi w:val="0"/>
              <w:adjustRightInd/>
              <w:snapToGrid/>
              <w:spacing w:line="360" w:lineRule="exact"/>
              <w:ind w:firstLine="480" w:firstLineChars="200"/>
              <w:jc w:val="both"/>
              <w:textAlignment w:val="auto"/>
              <w:rPr>
                <w:rFonts w:hint="eastAsia" w:eastAsia="方正仿宋_GBK"/>
                <w:color w:val="000000"/>
                <w:kern w:val="0"/>
                <w:sz w:val="24"/>
                <w:szCs w:val="24"/>
                <w:lang w:val="en-US" w:eastAsia="zh-CN" w:bidi="ar-SA"/>
              </w:rPr>
            </w:pPr>
            <w:r>
              <w:rPr>
                <w:rFonts w:hint="eastAsia" w:eastAsia="方正仿宋_GBK"/>
                <w:color w:val="000000"/>
                <w:kern w:val="0"/>
                <w:sz w:val="24"/>
                <w:szCs w:val="24"/>
                <w:lang w:val="en-US" w:eastAsia="zh-CN" w:bidi="ar-SA"/>
              </w:rPr>
              <w:t>（3）噪声：施工期采取合理安排施工时间、优先采用低噪声设备、设置施工围挡等措施减小施工噪声影响。</w:t>
            </w:r>
          </w:p>
          <w:p w14:paraId="202F9049">
            <w:pPr>
              <w:keepNext w:val="0"/>
              <w:keepLines w:val="0"/>
              <w:pageBreakBefore w:val="0"/>
              <w:widowControl w:val="0"/>
              <w:numPr>
                <w:ilvl w:val="0"/>
                <w:numId w:val="0"/>
              </w:numPr>
              <w:kinsoku/>
              <w:wordWrap/>
              <w:overflowPunct w:val="0"/>
              <w:topLinePunct w:val="0"/>
              <w:autoSpaceDE/>
              <w:autoSpaceDN/>
              <w:bidi w:val="0"/>
              <w:adjustRightInd/>
              <w:snapToGrid/>
              <w:spacing w:line="360" w:lineRule="exact"/>
              <w:ind w:leftChars="0" w:firstLine="480" w:firstLineChars="200"/>
              <w:jc w:val="both"/>
              <w:textAlignment w:val="auto"/>
              <w:rPr>
                <w:rFonts w:hint="eastAsia" w:eastAsia="方正仿宋_GBK"/>
                <w:color w:val="000000"/>
                <w:kern w:val="0"/>
                <w:sz w:val="24"/>
                <w:szCs w:val="24"/>
                <w:lang w:val="en-US" w:eastAsia="zh-CN" w:bidi="ar-SA"/>
              </w:rPr>
            </w:pPr>
            <w:r>
              <w:rPr>
                <w:rFonts w:hint="eastAsia" w:eastAsia="方正仿宋_GBK"/>
                <w:color w:val="000000"/>
                <w:kern w:val="0"/>
                <w:sz w:val="24"/>
                <w:szCs w:val="24"/>
                <w:lang w:val="en-US" w:eastAsia="zh-CN" w:bidi="ar-SA"/>
              </w:rPr>
              <w:t>（4）大气环境：施工期采取洒水抑尘、设置围挡、车辆进出场地冲洗等措施降低施工扬尘的影响。</w:t>
            </w:r>
          </w:p>
          <w:p w14:paraId="3A2EDE2C">
            <w:pPr>
              <w:keepNext w:val="0"/>
              <w:keepLines w:val="0"/>
              <w:pageBreakBefore w:val="0"/>
              <w:widowControl w:val="0"/>
              <w:numPr>
                <w:ilvl w:val="0"/>
                <w:numId w:val="0"/>
              </w:numPr>
              <w:kinsoku/>
              <w:wordWrap/>
              <w:overflowPunct w:val="0"/>
              <w:topLinePunct w:val="0"/>
              <w:autoSpaceDE/>
              <w:autoSpaceDN/>
              <w:bidi w:val="0"/>
              <w:adjustRightInd/>
              <w:snapToGrid/>
              <w:spacing w:line="360" w:lineRule="exact"/>
              <w:ind w:left="0" w:leftChars="0" w:firstLine="480" w:firstLineChars="200"/>
              <w:jc w:val="both"/>
              <w:textAlignment w:val="auto"/>
              <w:rPr>
                <w:rFonts w:hint="eastAsia" w:eastAsia="方正仿宋_GBK"/>
                <w:color w:val="000000"/>
                <w:kern w:val="0"/>
                <w:sz w:val="24"/>
                <w:szCs w:val="24"/>
                <w:lang w:val="en-US" w:eastAsia="zh-CN" w:bidi="ar-SA"/>
              </w:rPr>
            </w:pPr>
            <w:r>
              <w:rPr>
                <w:rFonts w:hint="eastAsia" w:eastAsia="方正仿宋_GBK"/>
                <w:color w:val="000000"/>
                <w:kern w:val="0"/>
                <w:sz w:val="24"/>
                <w:szCs w:val="24"/>
                <w:lang w:val="en-US" w:eastAsia="zh-CN" w:bidi="ar-SA"/>
              </w:rPr>
              <w:t>（5）固体废物：施工弃方送至指定合法弃渣场处置，建筑垃圾送建筑垃圾填埋场处置，生活垃圾交环卫部门处置。</w:t>
            </w:r>
          </w:p>
          <w:p w14:paraId="76B98A61">
            <w:pPr>
              <w:keepNext w:val="0"/>
              <w:keepLines w:val="0"/>
              <w:pageBreakBefore w:val="0"/>
              <w:widowControl w:val="0"/>
              <w:numPr>
                <w:ilvl w:val="0"/>
                <w:numId w:val="0"/>
              </w:numPr>
              <w:kinsoku/>
              <w:wordWrap/>
              <w:overflowPunct w:val="0"/>
              <w:topLinePunct w:val="0"/>
              <w:autoSpaceDE/>
              <w:autoSpaceDN/>
              <w:bidi w:val="0"/>
              <w:adjustRightInd/>
              <w:snapToGrid/>
              <w:spacing w:line="360" w:lineRule="exact"/>
              <w:ind w:firstLine="480" w:firstLineChars="200"/>
              <w:jc w:val="both"/>
              <w:textAlignment w:val="auto"/>
              <w:rPr>
                <w:rFonts w:hint="eastAsia" w:eastAsia="方正仿宋_GBK"/>
                <w:color w:val="000000"/>
                <w:kern w:val="0"/>
                <w:sz w:val="24"/>
                <w:szCs w:val="24"/>
                <w:lang w:val="en-US" w:eastAsia="zh-CN" w:bidi="ar-SA"/>
              </w:rPr>
            </w:pPr>
            <w:r>
              <w:rPr>
                <w:rFonts w:hint="eastAsia" w:eastAsia="方正仿宋_GBK"/>
                <w:color w:val="000000"/>
                <w:kern w:val="0"/>
                <w:sz w:val="24"/>
                <w:szCs w:val="24"/>
                <w:lang w:val="en-US" w:eastAsia="zh-CN" w:bidi="ar-SA"/>
              </w:rPr>
              <w:t>（二）运营期：</w:t>
            </w:r>
          </w:p>
          <w:p w14:paraId="54880610">
            <w:pPr>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kern w:val="0"/>
                <w:sz w:val="24"/>
                <w:szCs w:val="24"/>
                <w:lang w:val="en-US" w:eastAsia="zh-CN" w:bidi="ar-SA"/>
              </w:rPr>
            </w:pPr>
            <w:r>
              <w:rPr>
                <w:rFonts w:hint="eastAsia" w:eastAsia="方正仿宋_GBK"/>
                <w:color w:val="000000"/>
                <w:kern w:val="0"/>
                <w:sz w:val="24"/>
                <w:szCs w:val="24"/>
                <w:lang w:val="en-US" w:eastAsia="zh-CN" w:bidi="ar-SA"/>
              </w:rPr>
              <w:t>加强道路沿线两侧绿化建设和路面维护，定期洒水降尘，加强交通管理和控制以降低道路噪声和扬尘影响。</w:t>
            </w:r>
          </w:p>
        </w:tc>
        <w:tc>
          <w:tcPr>
            <w:tcW w:w="1843" w:type="dxa"/>
            <w:shd w:val="clear" w:color="auto" w:fill="FFFFFF"/>
            <w:noWrap w:val="0"/>
            <w:vAlign w:val="center"/>
          </w:tcPr>
          <w:p w14:paraId="2BF74C30">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kern w:val="0"/>
                <w:sz w:val="24"/>
                <w:szCs w:val="24"/>
                <w:lang w:val="en-US" w:eastAsia="zh-CN" w:bidi="ar-SA"/>
              </w:rPr>
            </w:pPr>
            <w:r>
              <w:rPr>
                <w:rFonts w:hint="eastAsia" w:ascii="Times New Roman" w:hAnsi="Times New Roman" w:eastAsia="方正仿宋_GBK" w:cs="Times New Roman"/>
                <w:kern w:val="0"/>
                <w:sz w:val="24"/>
                <w:szCs w:val="24"/>
                <w:lang w:eastAsia="zh-CN"/>
              </w:rPr>
              <w:t>《重庆高新区改革发展局关于西永综合保税区进口整车展示存储中心及周边配套工程项目立项的批复》（渝高新改投</w:t>
            </w:r>
            <w:r>
              <w:rPr>
                <w:rFonts w:hint="eastAsia" w:ascii="方正仿宋_GBK" w:hAnsi="方正仿宋_GBK" w:eastAsia="方正仿宋_GBK" w:cs="方正仿宋_GBK"/>
                <w:kern w:val="0"/>
                <w:sz w:val="24"/>
                <w:szCs w:val="24"/>
                <w:lang w:eastAsia="zh-CN"/>
              </w:rPr>
              <w:t>〔</w:t>
            </w:r>
            <w:r>
              <w:rPr>
                <w:rFonts w:hint="eastAsia" w:ascii="Times New Roman" w:hAnsi="Times New Roman" w:eastAsia="方正仿宋_GBK" w:cs="Times New Roman"/>
                <w:kern w:val="0"/>
                <w:sz w:val="24"/>
                <w:szCs w:val="24"/>
                <w:lang w:val="en-US" w:eastAsia="zh-CN"/>
              </w:rPr>
              <w:t>2022</w:t>
            </w:r>
            <w:r>
              <w:rPr>
                <w:rFonts w:hint="eastAsia" w:ascii="方正仿宋_GBK" w:hAnsi="方正仿宋_GBK" w:eastAsia="方正仿宋_GBK" w:cs="方正仿宋_GBK"/>
                <w:kern w:val="0"/>
                <w:sz w:val="24"/>
                <w:szCs w:val="24"/>
                <w:lang w:eastAsia="zh-CN"/>
              </w:rPr>
              <w:t>〕</w:t>
            </w:r>
            <w:r>
              <w:rPr>
                <w:rFonts w:hint="eastAsia" w:ascii="Times New Roman" w:hAnsi="Times New Roman" w:eastAsia="方正仿宋_GBK" w:cs="Times New Roman"/>
                <w:kern w:val="0"/>
                <w:sz w:val="24"/>
                <w:szCs w:val="24"/>
                <w:lang w:val="en-US" w:eastAsia="zh-CN"/>
              </w:rPr>
              <w:t>21号</w:t>
            </w:r>
            <w:r>
              <w:rPr>
                <w:rFonts w:hint="eastAsia" w:ascii="Times New Roman" w:hAnsi="Times New Roman" w:eastAsia="方正仿宋_GBK" w:cs="Times New Roman"/>
                <w:kern w:val="0"/>
                <w:sz w:val="24"/>
                <w:szCs w:val="24"/>
                <w:lang w:eastAsia="zh-CN"/>
              </w:rPr>
              <w:t>）</w:t>
            </w:r>
          </w:p>
        </w:tc>
        <w:tc>
          <w:tcPr>
            <w:tcW w:w="1345" w:type="dxa"/>
            <w:shd w:val="clear" w:color="auto" w:fill="FFFFFF"/>
            <w:noWrap w:val="0"/>
            <w:vAlign w:val="center"/>
          </w:tcPr>
          <w:p w14:paraId="4152A32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_GBK" w:cs="Times New Roman"/>
                <w:kern w:val="0"/>
                <w:sz w:val="24"/>
                <w:szCs w:val="24"/>
                <w:lang w:val="en-US" w:eastAsia="zh-CN"/>
              </w:rPr>
            </w:pPr>
            <w:r>
              <w:rPr>
                <w:rFonts w:hint="eastAsia" w:ascii="Times New Roman" w:hAnsi="Times New Roman" w:eastAsia="方正仿宋_GBK" w:cs="Times New Roman"/>
                <w:kern w:val="0"/>
                <w:sz w:val="24"/>
                <w:szCs w:val="24"/>
                <w:lang w:val="en-US" w:eastAsia="zh-CN"/>
              </w:rPr>
              <w:t>/</w:t>
            </w:r>
          </w:p>
        </w:tc>
      </w:tr>
      <w:tr w14:paraId="4487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26" w:type="dxa"/>
            <w:shd w:val="clear" w:color="auto" w:fill="FFFFFF"/>
            <w:noWrap w:val="0"/>
            <w:tcMar>
              <w:top w:w="0" w:type="dxa"/>
              <w:left w:w="108" w:type="dxa"/>
              <w:bottom w:w="0" w:type="dxa"/>
              <w:right w:w="108" w:type="dxa"/>
            </w:tcMar>
            <w:vAlign w:val="center"/>
          </w:tcPr>
          <w:p w14:paraId="496D116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lang w:val="en-US" w:eastAsia="zh-CN"/>
              </w:rPr>
            </w:pPr>
            <w:r>
              <w:rPr>
                <w:rFonts w:hint="eastAsia" w:eastAsia="方正仿宋_GBK" w:cs="Times New Roman"/>
                <w:kern w:val="0"/>
                <w:sz w:val="24"/>
                <w:szCs w:val="24"/>
                <w:lang w:val="en-US" w:eastAsia="zh-CN"/>
              </w:rPr>
              <w:t>2</w:t>
            </w:r>
          </w:p>
        </w:tc>
        <w:tc>
          <w:tcPr>
            <w:tcW w:w="1116" w:type="dxa"/>
            <w:shd w:val="clear" w:color="auto" w:fill="FFFFFF"/>
            <w:noWrap w:val="0"/>
            <w:tcMar>
              <w:top w:w="0" w:type="dxa"/>
              <w:left w:w="108" w:type="dxa"/>
              <w:bottom w:w="0" w:type="dxa"/>
              <w:right w:w="108" w:type="dxa"/>
            </w:tcMar>
            <w:vAlign w:val="center"/>
          </w:tcPr>
          <w:p w14:paraId="1B931BC5">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0"/>
                <w:sz w:val="24"/>
                <w:szCs w:val="24"/>
                <w:lang w:val="en-US" w:eastAsia="zh-CN" w:bidi="ar-SA"/>
                <w14:textFill>
                  <w14:solidFill>
                    <w14:schemeClr w14:val="tx1"/>
                  </w14:solidFill>
                </w14:textFill>
              </w:rPr>
              <w:t>重庆日发汽车零部件有限公司布料贴合扩建项目</w:t>
            </w:r>
          </w:p>
        </w:tc>
        <w:tc>
          <w:tcPr>
            <w:tcW w:w="1116" w:type="dxa"/>
            <w:shd w:val="clear" w:color="auto" w:fill="FFFFFF"/>
            <w:noWrap w:val="0"/>
            <w:tcMar>
              <w:top w:w="0" w:type="dxa"/>
              <w:left w:w="108" w:type="dxa"/>
              <w:bottom w:w="0" w:type="dxa"/>
              <w:right w:w="108" w:type="dxa"/>
            </w:tcMar>
            <w:vAlign w:val="center"/>
          </w:tcPr>
          <w:p w14:paraId="1E8FA862">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0"/>
                <w:sz w:val="24"/>
                <w:szCs w:val="24"/>
                <w:lang w:val="en-US" w:eastAsia="zh-CN" w:bidi="ar-SA"/>
                <w14:textFill>
                  <w14:solidFill>
                    <w14:schemeClr w14:val="tx1"/>
                  </w14:solidFill>
                </w14:textFill>
              </w:rPr>
              <w:t>重庆日发汽车零部件有限公司</w:t>
            </w:r>
          </w:p>
        </w:tc>
        <w:tc>
          <w:tcPr>
            <w:tcW w:w="1116" w:type="dxa"/>
            <w:shd w:val="clear" w:color="auto" w:fill="FFFFFF"/>
            <w:noWrap w:val="0"/>
            <w:tcMar>
              <w:top w:w="0" w:type="dxa"/>
              <w:left w:w="108" w:type="dxa"/>
              <w:bottom w:w="0" w:type="dxa"/>
              <w:right w:w="108" w:type="dxa"/>
            </w:tcMar>
            <w:vAlign w:val="center"/>
          </w:tcPr>
          <w:p w14:paraId="6531BF4E">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t>重庆高新区曾家镇</w:t>
            </w:r>
          </w:p>
        </w:tc>
        <w:tc>
          <w:tcPr>
            <w:tcW w:w="1119" w:type="dxa"/>
            <w:shd w:val="clear" w:color="auto" w:fill="FFFFFF"/>
            <w:noWrap w:val="0"/>
            <w:tcMar>
              <w:top w:w="0" w:type="dxa"/>
              <w:left w:w="108" w:type="dxa"/>
              <w:bottom w:w="0" w:type="dxa"/>
              <w:right w:w="108" w:type="dxa"/>
            </w:tcMar>
            <w:vAlign w:val="center"/>
          </w:tcPr>
          <w:p w14:paraId="282FABE9">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t>重庆港力环保股份有限公司</w:t>
            </w:r>
          </w:p>
        </w:tc>
        <w:tc>
          <w:tcPr>
            <w:tcW w:w="2609" w:type="dxa"/>
            <w:shd w:val="clear" w:color="auto" w:fill="FFFFFF"/>
            <w:noWrap w:val="0"/>
            <w:vAlign w:val="center"/>
          </w:tcPr>
          <w:p w14:paraId="3AA895AA">
            <w:pPr>
              <w:keepNext w:val="0"/>
              <w:keepLines w:val="0"/>
              <w:pageBreakBefore w:val="0"/>
              <w:widowControl w:val="0"/>
              <w:kinsoku/>
              <w:wordWrap/>
              <w:overflowPunct w:val="0"/>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t>项目租赁重庆德创实业有限公司3#厂房，购置立式验布打卷机、立式除味机、双火排火焰复合机等设备，建设布料贴合生产线，年产汽车座椅套复合布料200万米。</w:t>
            </w:r>
          </w:p>
          <w:p w14:paraId="3FF28E29">
            <w:pPr>
              <w:keepNext w:val="0"/>
              <w:keepLines w:val="0"/>
              <w:pageBreakBefore w:val="0"/>
              <w:widowControl w:val="0"/>
              <w:kinsoku/>
              <w:wordWrap/>
              <w:overflowPunct w:val="0"/>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t>项目总投资约</w:t>
            </w:r>
            <w:r>
              <w:rPr>
                <w:rFonts w:hint="default" w:ascii="Times New Roman" w:hAnsi="Times New Roman" w:eastAsia="方正仿宋_GBK" w:cs="Times New Roman"/>
                <w:color w:val="000000" w:themeColor="text1"/>
                <w:sz w:val="24"/>
                <w14:textFill>
                  <w14:solidFill>
                    <w14:schemeClr w14:val="tx1"/>
                  </w14:solidFill>
                </w14:textFill>
              </w:rPr>
              <w:t>553</w:t>
            </w:r>
            <w:r>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t>万元，其中环保投资</w:t>
            </w:r>
            <w:r>
              <w:rPr>
                <w:rFonts w:hint="default" w:ascii="Times New Roman" w:hAnsi="Times New Roman" w:eastAsia="方正仿宋_GBK" w:cs="Times New Roman"/>
                <w:color w:val="000000" w:themeColor="text1"/>
                <w:sz w:val="24"/>
                <w14:textFill>
                  <w14:solidFill>
                    <w14:schemeClr w14:val="tx1"/>
                  </w14:solidFill>
                </w14:textFill>
              </w:rPr>
              <w:t>30</w:t>
            </w:r>
            <w:r>
              <w:rPr>
                <w:rFonts w:hint="default" w:ascii="Times New Roman" w:hAnsi="Times New Roman" w:eastAsia="方正仿宋_GBK" w:cs="Times New Roman"/>
                <w:color w:val="000000" w:themeColor="text1"/>
                <w:kern w:val="0"/>
                <w:sz w:val="24"/>
                <w:szCs w:val="24"/>
                <w:lang w:val="en-US" w:eastAsia="zh-CN"/>
                <w14:textFill>
                  <w14:solidFill>
                    <w14:schemeClr w14:val="tx1"/>
                  </w14:solidFill>
                </w14:textFill>
              </w:rPr>
              <w:t>万元，占总投资的5.42%。</w:t>
            </w:r>
          </w:p>
        </w:tc>
        <w:tc>
          <w:tcPr>
            <w:tcW w:w="2973" w:type="dxa"/>
            <w:shd w:val="clear" w:color="auto" w:fill="FFFFFF"/>
            <w:noWrap w:val="0"/>
            <w:vAlign w:val="center"/>
          </w:tcPr>
          <w:p w14:paraId="759DDF7C">
            <w:pPr>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i w:val="0"/>
                <w:iCs w:val="0"/>
                <w:caps w:val="0"/>
                <w:color w:val="000000" w:themeColor="text1"/>
                <w:spacing w:val="0"/>
                <w:sz w:val="24"/>
                <w:szCs w:val="24"/>
                <w:shd w:val="clear" w:color="auto" w:fill="FFFFFF"/>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24"/>
                <w:szCs w:val="24"/>
                <w:shd w:val="clear" w:color="auto" w:fill="FFFFFF"/>
                <w14:textFill>
                  <w14:solidFill>
                    <w14:schemeClr w14:val="tx1"/>
                  </w14:solidFill>
                </w14:textFill>
              </w:rPr>
              <w:t>项目运营期环境影响主要是大气、噪声、地表水、固废、地下水和土壤等影响。</w:t>
            </w:r>
          </w:p>
          <w:p w14:paraId="4A484C61">
            <w:pPr>
              <w:keepNext w:val="0"/>
              <w:keepLines w:val="0"/>
              <w:pageBreakBefore w:val="0"/>
              <w:widowControl/>
              <w:numPr>
                <w:ilvl w:val="0"/>
                <w:numId w:val="1"/>
              </w:numPr>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i w:val="0"/>
                <w:iCs w:val="0"/>
                <w:caps w:val="0"/>
                <w:color w:val="000000" w:themeColor="text1"/>
                <w:spacing w:val="0"/>
                <w:sz w:val="24"/>
                <w:szCs w:val="24"/>
                <w:shd w:val="clear" w:color="auto"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24"/>
                <w:szCs w:val="24"/>
                <w:shd w:val="clear" w:color="auto" w:fill="FFFFFF"/>
                <w:lang w:val="en-US" w:eastAsia="zh-CN"/>
                <w14:textFill>
                  <w14:solidFill>
                    <w14:schemeClr w14:val="tx1"/>
                  </w14:solidFill>
                </w14:textFill>
              </w:rPr>
              <w:t>大气环境：项目火焰贴合废气采用1套“换热+布袋除尘+两级活性炭吸附”装置处理后达标排放，除味废气采用1套“两级活性炭吸附”装置处理后达标排放，天然气燃烧废气达标排放</w:t>
            </w:r>
            <w:r>
              <w:rPr>
                <w:rFonts w:hint="default" w:ascii="Times New Roman" w:hAnsi="Times New Roman" w:eastAsia="方正仿宋_GBK" w:cs="Times New Roman"/>
                <w:i w:val="0"/>
                <w:iCs w:val="0"/>
                <w:caps w:val="0"/>
                <w:color w:val="000000" w:themeColor="text1"/>
                <w:spacing w:val="0"/>
                <w:sz w:val="24"/>
                <w:szCs w:val="24"/>
                <w:shd w:val="clear" w:color="auto" w:fill="FFFFFF"/>
                <w14:textFill>
                  <w14:solidFill>
                    <w14:schemeClr w14:val="tx1"/>
                  </w14:solidFill>
                </w14:textFill>
              </w:rPr>
              <w:t>，对大气环境影响较小。</w:t>
            </w:r>
          </w:p>
          <w:p w14:paraId="7251E433">
            <w:pPr>
              <w:keepNext w:val="0"/>
              <w:keepLines w:val="0"/>
              <w:pageBreakBefore w:val="0"/>
              <w:widowControl/>
              <w:numPr>
                <w:ilvl w:val="0"/>
                <w:numId w:val="1"/>
              </w:numPr>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i w:val="0"/>
                <w:iCs w:val="0"/>
                <w:caps w:val="0"/>
                <w:color w:val="000000" w:themeColor="text1"/>
                <w:spacing w:val="0"/>
                <w:sz w:val="24"/>
                <w:szCs w:val="24"/>
                <w:shd w:val="clear" w:color="auto"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24"/>
                <w:szCs w:val="24"/>
                <w:shd w:val="clear" w:color="auto" w:fill="FFFFFF"/>
                <w:lang w:val="en-US" w:eastAsia="zh-CN"/>
                <w14:textFill>
                  <w14:solidFill>
                    <w14:schemeClr w14:val="tx1"/>
                  </w14:solidFill>
                </w14:textFill>
              </w:rPr>
              <w:t>水环境：地面清洁废水、循环冷却水排水、生活污水一并排入租赁厂房已建生化池处理，经园区污水管网排入土主污水处理厂进一步处理，对地表水影响较小。</w:t>
            </w:r>
          </w:p>
          <w:p w14:paraId="79ED361D">
            <w:pPr>
              <w:keepNext w:val="0"/>
              <w:keepLines w:val="0"/>
              <w:pageBreakBefore w:val="0"/>
              <w:widowControl/>
              <w:numPr>
                <w:ilvl w:val="0"/>
                <w:numId w:val="1"/>
              </w:numPr>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i w:val="0"/>
                <w:iCs w:val="0"/>
                <w:caps w:val="0"/>
                <w:color w:val="000000" w:themeColor="text1"/>
                <w:spacing w:val="0"/>
                <w:sz w:val="24"/>
                <w:szCs w:val="24"/>
                <w:shd w:val="clear" w:color="auto"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24"/>
                <w:szCs w:val="24"/>
                <w:shd w:val="clear" w:color="auto" w:fill="FFFFFF"/>
                <w:lang w:val="en-US" w:eastAsia="zh-CN"/>
                <w14:textFill>
                  <w14:solidFill>
                    <w14:schemeClr w14:val="tx1"/>
                  </w14:solidFill>
                </w14:textFill>
              </w:rPr>
              <w:t>声环境：</w:t>
            </w:r>
            <w:r>
              <w:rPr>
                <w:rFonts w:hint="default" w:ascii="Times New Roman" w:hAnsi="Times New Roman" w:eastAsia="方正仿宋_GBK" w:cs="Times New Roman"/>
                <w:i w:val="0"/>
                <w:iCs w:val="0"/>
                <w:caps w:val="0"/>
                <w:color w:val="000000" w:themeColor="text1"/>
                <w:spacing w:val="0"/>
                <w:sz w:val="24"/>
                <w:szCs w:val="24"/>
                <w:shd w:val="clear" w:color="auto" w:fill="FFFFFF"/>
                <w14:textFill>
                  <w14:solidFill>
                    <w14:schemeClr w14:val="tx1"/>
                  </w14:solidFill>
                </w14:textFill>
              </w:rPr>
              <w:t>项目优先选用低噪声设备，通过基础减振、厂房隔声等措施达到噪声控制的目的，对环境影响较小。</w:t>
            </w:r>
          </w:p>
          <w:p w14:paraId="059C3645">
            <w:pPr>
              <w:keepNext w:val="0"/>
              <w:keepLines w:val="0"/>
              <w:pageBreakBefore w:val="0"/>
              <w:widowControl/>
              <w:numPr>
                <w:ilvl w:val="0"/>
                <w:numId w:val="1"/>
              </w:numPr>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i w:val="0"/>
                <w:iCs w:val="0"/>
                <w:caps w:val="0"/>
                <w:color w:val="000000" w:themeColor="text1"/>
                <w:spacing w:val="0"/>
                <w:sz w:val="24"/>
                <w:szCs w:val="24"/>
                <w:shd w:val="clear" w:color="auto" w:fill="FFFFFF"/>
                <w:lang w:val="en-US" w:eastAsia="zh-CN"/>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24"/>
                <w:szCs w:val="24"/>
                <w:shd w:val="clear" w:color="auto" w:fill="FFFFFF"/>
                <w:lang w:val="en-US" w:eastAsia="zh-CN"/>
                <w14:textFill>
                  <w14:solidFill>
                    <w14:schemeClr w14:val="tx1"/>
                  </w14:solidFill>
                </w14:textFill>
              </w:rPr>
              <w:t>地下水和土壤：</w:t>
            </w:r>
            <w:r>
              <w:rPr>
                <w:rFonts w:hint="default" w:ascii="Times New Roman" w:hAnsi="Times New Roman" w:eastAsia="方正仿宋_GBK" w:cs="Times New Roman"/>
                <w:i w:val="0"/>
                <w:iCs w:val="0"/>
                <w:caps w:val="0"/>
                <w:color w:val="000000" w:themeColor="text1"/>
                <w:spacing w:val="0"/>
                <w:sz w:val="24"/>
                <w:szCs w:val="24"/>
                <w:shd w:val="clear" w:color="auto" w:fill="FFFFFF"/>
                <w14:textFill>
                  <w14:solidFill>
                    <w14:schemeClr w14:val="tx1"/>
                  </w14:solidFill>
                </w14:textFill>
              </w:rPr>
              <w:t>全厂严格执行分区防渗，防止物料跑冒滴漏造成的地下水和土壤环境污染问题。采取措施后对地下水和土壤环境的影响较小。</w:t>
            </w:r>
          </w:p>
          <w:p w14:paraId="22723F8B">
            <w:pPr>
              <w:keepNext w:val="0"/>
              <w:keepLines w:val="0"/>
              <w:pageBreakBefore w:val="0"/>
              <w:widowControl/>
              <w:numPr>
                <w:ilvl w:val="0"/>
                <w:numId w:val="1"/>
              </w:numPr>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i w:val="0"/>
                <w:iCs w:val="0"/>
                <w:caps w:val="0"/>
                <w:color w:val="000000" w:themeColor="text1"/>
                <w:spacing w:val="0"/>
                <w:kern w:val="2"/>
                <w:sz w:val="24"/>
                <w:szCs w:val="24"/>
                <w:shd w:val="clear" w:color="auto" w:fill="FFFFFF"/>
                <w:lang w:val="en-US" w:eastAsia="zh-CN" w:bidi="ar-SA"/>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24"/>
                <w:szCs w:val="24"/>
                <w:shd w:val="clear" w:color="auto" w:fill="FFFFFF"/>
                <w:lang w:val="en-US" w:eastAsia="zh-CN"/>
                <w14:textFill>
                  <w14:solidFill>
                    <w14:schemeClr w14:val="tx1"/>
                  </w14:solidFill>
                </w14:textFill>
              </w:rPr>
              <w:t>固体废物：</w:t>
            </w:r>
            <w:r>
              <w:rPr>
                <w:rFonts w:hint="default" w:ascii="Times New Roman" w:hAnsi="Times New Roman" w:eastAsia="方正仿宋_GBK" w:cs="Times New Roman"/>
                <w:i w:val="0"/>
                <w:iCs w:val="0"/>
                <w:caps w:val="0"/>
                <w:color w:val="000000" w:themeColor="text1"/>
                <w:spacing w:val="0"/>
                <w:sz w:val="24"/>
                <w:szCs w:val="24"/>
                <w:shd w:val="clear" w:color="auto" w:fill="FFFFFF"/>
                <w14:textFill>
                  <w14:solidFill>
                    <w14:schemeClr w14:val="tx1"/>
                  </w14:solidFill>
                </w14:textFill>
              </w:rPr>
              <w:t>项目运营期产生一般工业固废、危险废物、生活垃圾，各类固废分类收集、贮存后分类按相关规定处置。</w:t>
            </w:r>
          </w:p>
        </w:tc>
        <w:tc>
          <w:tcPr>
            <w:tcW w:w="1843" w:type="dxa"/>
            <w:shd w:val="clear" w:color="auto" w:fill="FFFFFF"/>
            <w:noWrap w:val="0"/>
            <w:vAlign w:val="center"/>
          </w:tcPr>
          <w:p w14:paraId="6B847743">
            <w:pPr>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24"/>
                <w:szCs w:val="24"/>
                <w:shd w:val="clear" w:color="auto" w:fill="FFFFFF"/>
                <w:vertAlign w:val="baseline"/>
                <w14:textFill>
                  <w14:solidFill>
                    <w14:schemeClr w14:val="tx1"/>
                  </w14:solidFill>
                </w14:textFill>
              </w:rPr>
              <w:t>重庆高新区改革发展局颁发《重庆市企业投资项目备案证》（项目代码：</w:t>
            </w:r>
            <w:r>
              <w:rPr>
                <w:rFonts w:hint="default" w:ascii="Times New Roman" w:hAnsi="Times New Roman" w:eastAsia="方正仿宋_GBK" w:cs="Times New Roman"/>
                <w:color w:val="000000" w:themeColor="text1"/>
                <w:sz w:val="24"/>
                <w14:textFill>
                  <w14:solidFill>
                    <w14:schemeClr w14:val="tx1"/>
                  </w14:solidFill>
                </w14:textFill>
              </w:rPr>
              <w:t>2602-500356-07-01-664445</w:t>
            </w:r>
            <w:r>
              <w:rPr>
                <w:rFonts w:hint="default" w:ascii="Times New Roman" w:hAnsi="Times New Roman" w:eastAsia="方正仿宋_GBK" w:cs="Times New Roman"/>
                <w:i w:val="0"/>
                <w:iCs w:val="0"/>
                <w:caps w:val="0"/>
                <w:color w:val="000000" w:themeColor="text1"/>
                <w:spacing w:val="0"/>
                <w:sz w:val="24"/>
                <w:szCs w:val="24"/>
                <w:shd w:val="clear" w:color="auto" w:fill="FFFFFF"/>
                <w:vertAlign w:val="baseline"/>
                <w14:textFill>
                  <w14:solidFill>
                    <w14:schemeClr w14:val="tx1"/>
                  </w14:solidFill>
                </w14:textFill>
              </w:rPr>
              <w:t>）</w:t>
            </w:r>
          </w:p>
        </w:tc>
        <w:tc>
          <w:tcPr>
            <w:tcW w:w="1345" w:type="dxa"/>
            <w:shd w:val="clear" w:color="auto" w:fill="FFFFFF"/>
            <w:noWrap w:val="0"/>
            <w:vAlign w:val="center"/>
          </w:tcPr>
          <w:p w14:paraId="20377C4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_GBK" w:cs="Times New Roman"/>
                <w:kern w:val="0"/>
                <w:sz w:val="24"/>
                <w:szCs w:val="24"/>
                <w:lang w:val="en-US" w:eastAsia="zh-CN"/>
              </w:rPr>
            </w:pPr>
          </w:p>
        </w:tc>
      </w:tr>
      <w:tr w14:paraId="6787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26" w:type="dxa"/>
            <w:shd w:val="clear" w:color="auto" w:fill="FFFFFF"/>
            <w:noWrap w:val="0"/>
            <w:tcMar>
              <w:top w:w="0" w:type="dxa"/>
              <w:left w:w="108" w:type="dxa"/>
              <w:bottom w:w="0" w:type="dxa"/>
              <w:right w:w="108" w:type="dxa"/>
            </w:tcMar>
            <w:vAlign w:val="center"/>
          </w:tcPr>
          <w:p w14:paraId="75DE75B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val="en-US" w:eastAsia="zh-CN"/>
              </w:rPr>
              <w:t>3</w:t>
            </w:r>
          </w:p>
        </w:tc>
        <w:tc>
          <w:tcPr>
            <w:tcW w:w="1116" w:type="dxa"/>
            <w:shd w:val="clear" w:color="auto" w:fill="FFFFFF"/>
            <w:noWrap w:val="0"/>
            <w:tcMar>
              <w:top w:w="0" w:type="dxa"/>
              <w:left w:w="108" w:type="dxa"/>
              <w:bottom w:w="0" w:type="dxa"/>
              <w:right w:w="108" w:type="dxa"/>
            </w:tcMar>
            <w:vAlign w:val="center"/>
          </w:tcPr>
          <w:p w14:paraId="4C2E2E3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紫硕汽车零部件年产6万套汽车座椅及159.96KWp分布式光伏发电项目（一期工程）</w:t>
            </w:r>
          </w:p>
        </w:tc>
        <w:tc>
          <w:tcPr>
            <w:tcW w:w="1116" w:type="dxa"/>
            <w:shd w:val="clear" w:color="auto" w:fill="FFFFFF"/>
            <w:noWrap w:val="0"/>
            <w:tcMar>
              <w:top w:w="0" w:type="dxa"/>
              <w:left w:w="108" w:type="dxa"/>
              <w:bottom w:w="0" w:type="dxa"/>
              <w:right w:w="108" w:type="dxa"/>
            </w:tcMar>
            <w:vAlign w:val="center"/>
          </w:tcPr>
          <w:p w14:paraId="2DE101C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重庆紫硕汽车零部件有限公司</w:t>
            </w:r>
          </w:p>
        </w:tc>
        <w:tc>
          <w:tcPr>
            <w:tcW w:w="1116" w:type="dxa"/>
            <w:shd w:val="clear" w:color="auto" w:fill="FFFFFF"/>
            <w:noWrap w:val="0"/>
            <w:tcMar>
              <w:top w:w="0" w:type="dxa"/>
              <w:left w:w="108" w:type="dxa"/>
              <w:bottom w:w="0" w:type="dxa"/>
              <w:right w:w="108" w:type="dxa"/>
            </w:tcMar>
            <w:vAlign w:val="center"/>
          </w:tcPr>
          <w:p w14:paraId="73BEEF0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重庆高新区含谷镇高腾大道1000号重庆清研理工科技园2幢1-6号楼</w:t>
            </w:r>
          </w:p>
        </w:tc>
        <w:tc>
          <w:tcPr>
            <w:tcW w:w="1119" w:type="dxa"/>
            <w:shd w:val="clear" w:color="auto" w:fill="FFFFFF"/>
            <w:noWrap w:val="0"/>
            <w:tcMar>
              <w:top w:w="0" w:type="dxa"/>
              <w:left w:w="108" w:type="dxa"/>
              <w:bottom w:w="0" w:type="dxa"/>
              <w:right w:w="108" w:type="dxa"/>
            </w:tcMar>
            <w:vAlign w:val="center"/>
          </w:tcPr>
          <w:p w14:paraId="3535D6A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lang w:val="en-US" w:eastAsia="zh-CN"/>
              </w:rPr>
              <w:t>昀启（重庆）环境监测有限责任公司</w:t>
            </w:r>
          </w:p>
        </w:tc>
        <w:tc>
          <w:tcPr>
            <w:tcW w:w="2609" w:type="dxa"/>
            <w:shd w:val="clear" w:color="auto" w:fill="FFFFFF"/>
            <w:noWrap w:val="0"/>
            <w:vAlign w:val="center"/>
          </w:tcPr>
          <w:p w14:paraId="70EDC49E">
            <w:pPr>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val="en-US" w:eastAsia="zh-CN"/>
              </w:rPr>
              <w:t>项目位于清研理工科技园一期2幢附1号标准厂房1层、2层和3层，建筑面积4675平方米，设置一条环线发泡线，配套激光切管机、焊接机器人、缝纫机以及检测设备，建成后年产6万套汽车座椅。</w:t>
            </w:r>
          </w:p>
          <w:p w14:paraId="4F553398">
            <w:pPr>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val="en-US" w:eastAsia="zh-CN"/>
              </w:rPr>
              <w:t>项目总投资1700万元，其中环保投资20万元，占总投资1.18%。</w:t>
            </w:r>
          </w:p>
          <w:p w14:paraId="600D5ED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kern w:val="0"/>
                <w:sz w:val="24"/>
                <w:szCs w:val="24"/>
                <w:lang w:val="en-US" w:eastAsia="zh-CN" w:bidi="ar-SA"/>
              </w:rPr>
            </w:pPr>
          </w:p>
        </w:tc>
        <w:tc>
          <w:tcPr>
            <w:tcW w:w="2973" w:type="dxa"/>
            <w:shd w:val="clear" w:color="auto" w:fill="FFFFFF"/>
            <w:noWrap w:val="0"/>
            <w:vAlign w:val="center"/>
          </w:tcPr>
          <w:p w14:paraId="4A472560">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val="en-US" w:eastAsia="zh-CN"/>
              </w:rPr>
              <w:t>项目环境影响主要包括大气环境、水环境、声环境和固废等。</w:t>
            </w:r>
          </w:p>
          <w:p w14:paraId="7ECAD30F">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val="en-US" w:eastAsia="zh-CN"/>
              </w:rPr>
              <w:t>（1）大气环境：项目焊接烟尘、切割粉尘经滤筒除尘器处理达标后排放；喷脱模剂废气、浇注废气和脱模废气经“过滤棉+二级活性炭吸附”处理达标后排放；破孔废气车间内无组织排放；项目废气处理达标排放，对大气环境影响可接受。</w:t>
            </w:r>
          </w:p>
          <w:p w14:paraId="1691D31E">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val="en-US" w:eastAsia="zh-CN"/>
              </w:rPr>
              <w:t>（2）水环境：项目生活污水依托标准厂房生化池处理，达标后排至含谷工业污水处理厂进一步处理，对水环境影响可接受。</w:t>
            </w:r>
          </w:p>
          <w:p w14:paraId="02D2FA24">
            <w:pPr>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val="en-US" w:eastAsia="zh-CN"/>
              </w:rPr>
              <w:t>（3）声环境：项目优先采用低噪声设备，通过合理布局、建筑隔声、基础减震等措施达到噪声控制的目的</w:t>
            </w:r>
            <w:r>
              <w:rPr>
                <w:rFonts w:hint="eastAsia" w:ascii="Times New Roman" w:hAnsi="Times New Roman" w:eastAsia="方正仿宋_GBK" w:cs="Times New Roman"/>
                <w:kern w:val="0"/>
                <w:sz w:val="24"/>
                <w:szCs w:val="24"/>
                <w:lang w:val="en-US" w:eastAsia="zh-CN"/>
              </w:rPr>
              <w:t>，</w:t>
            </w:r>
            <w:r>
              <w:rPr>
                <w:rFonts w:hint="default" w:ascii="Times New Roman" w:hAnsi="Times New Roman" w:eastAsia="方正仿宋_GBK" w:cs="Times New Roman"/>
                <w:i w:val="0"/>
                <w:iCs w:val="0"/>
                <w:caps w:val="0"/>
                <w:color w:val="333333"/>
                <w:spacing w:val="0"/>
                <w:sz w:val="24"/>
                <w:szCs w:val="24"/>
                <w:shd w:val="clear" w:color="auto" w:fill="FFFFFF"/>
              </w:rPr>
              <w:t>对环境影响较小</w:t>
            </w:r>
            <w:r>
              <w:rPr>
                <w:rFonts w:hint="default" w:ascii="Times New Roman" w:hAnsi="Times New Roman" w:eastAsia="方正仿宋_GBK" w:cs="Times New Roman"/>
                <w:kern w:val="0"/>
                <w:sz w:val="24"/>
                <w:szCs w:val="24"/>
                <w:lang w:val="en-US" w:eastAsia="zh-CN"/>
              </w:rPr>
              <w:t>。</w:t>
            </w:r>
          </w:p>
          <w:p w14:paraId="1BADD573">
            <w:pPr>
              <w:keepNext w:val="0"/>
              <w:keepLines w:val="0"/>
              <w:pageBreakBefore w:val="0"/>
              <w:widowControl/>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方正仿宋_GBK" w:cs="Times New Roman"/>
                <w:kern w:val="0"/>
                <w:sz w:val="24"/>
                <w:szCs w:val="24"/>
                <w:lang w:val="en-US" w:eastAsia="zh-CN"/>
              </w:rPr>
            </w:pPr>
            <w:r>
              <w:rPr>
                <w:rFonts w:hint="default" w:ascii="Times New Roman" w:hAnsi="Times New Roman" w:eastAsia="方正仿宋_GBK" w:cs="Times New Roman"/>
                <w:kern w:val="0"/>
                <w:sz w:val="24"/>
                <w:szCs w:val="24"/>
                <w:lang w:val="en-US" w:eastAsia="zh-CN"/>
              </w:rPr>
              <w:t>（4）地下水和土壤：全厂严格执行分区防渗，防止物料跑冒滴漏造成的地下水和土壤环境污染问题。采取措施后对地下水和土壤环境的影响较小。</w:t>
            </w:r>
          </w:p>
          <w:p w14:paraId="4ABFD502">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lang w:val="en-US" w:eastAsia="zh-CN"/>
              </w:rPr>
              <w:t>（</w:t>
            </w:r>
            <w:r>
              <w:rPr>
                <w:rFonts w:hint="eastAsia" w:ascii="Times New Roman" w:hAnsi="Times New Roman" w:eastAsia="方正仿宋_GBK" w:cs="Times New Roman"/>
                <w:kern w:val="0"/>
                <w:sz w:val="24"/>
                <w:szCs w:val="24"/>
                <w:lang w:val="en-US" w:eastAsia="zh-CN"/>
              </w:rPr>
              <w:t>5</w:t>
            </w:r>
            <w:r>
              <w:rPr>
                <w:rFonts w:hint="default" w:ascii="Times New Roman" w:hAnsi="Times New Roman" w:eastAsia="方正仿宋_GBK" w:cs="Times New Roman"/>
                <w:kern w:val="0"/>
                <w:sz w:val="24"/>
                <w:szCs w:val="24"/>
                <w:lang w:val="en-US" w:eastAsia="zh-CN"/>
              </w:rPr>
              <w:t>）固体废物：项目固废主要包括生活垃圾、一般工业固废和危险废物，按要求分类、收集、贮存和处置。</w:t>
            </w:r>
          </w:p>
        </w:tc>
        <w:tc>
          <w:tcPr>
            <w:tcW w:w="1843" w:type="dxa"/>
            <w:shd w:val="clear" w:color="auto" w:fill="FFFFFF"/>
            <w:noWrap w:val="0"/>
            <w:vAlign w:val="center"/>
          </w:tcPr>
          <w:p w14:paraId="1BE02B3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lang w:val="en-US" w:eastAsia="zh-CN"/>
              </w:rPr>
              <w:t>重庆市企业投资项目备案证（项目代码：2508-500356 -07-01-594593）</w:t>
            </w:r>
          </w:p>
        </w:tc>
        <w:tc>
          <w:tcPr>
            <w:tcW w:w="1345" w:type="dxa"/>
            <w:shd w:val="clear" w:color="auto" w:fill="FFFFFF"/>
            <w:noWrap w:val="0"/>
            <w:vAlign w:val="center"/>
          </w:tcPr>
          <w:p w14:paraId="0C5EB54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imes New Roman" w:hAnsi="Times New Roman" w:eastAsia="方正仿宋_GBK" w:cs="Times New Roman"/>
                <w:kern w:val="0"/>
                <w:sz w:val="24"/>
                <w:szCs w:val="24"/>
                <w:lang w:val="en-US" w:eastAsia="zh-CN"/>
              </w:rPr>
            </w:pPr>
          </w:p>
        </w:tc>
      </w:tr>
    </w:tbl>
    <w:p w14:paraId="6ACE6796">
      <w:pPr>
        <w:widowControl/>
        <w:shd w:val="clear" w:color="auto" w:fill="FFFFFF"/>
        <w:spacing w:line="400" w:lineRule="exact"/>
        <w:ind w:firstLine="641"/>
        <w:jc w:val="right"/>
        <w:rPr>
          <w:rFonts w:hint="eastAsia" w:ascii="方正仿宋_GBK" w:hAnsi="方正仿宋_GBK" w:eastAsia="方正仿宋_GBK" w:cs="方正仿宋_GBK"/>
          <w:bCs/>
          <w:sz w:val="24"/>
          <w:szCs w:val="24"/>
        </w:rPr>
      </w:pPr>
    </w:p>
    <w:p w14:paraId="57D72DFE">
      <w:pPr>
        <w:widowControl/>
        <w:shd w:val="clear" w:color="auto" w:fill="FFFFFF"/>
        <w:spacing w:line="400" w:lineRule="exact"/>
        <w:ind w:firstLine="641"/>
        <w:jc w:val="right"/>
        <w:rPr>
          <w:rFonts w:hint="eastAsia" w:ascii="方正仿宋_GBK" w:hAnsi="方正仿宋_GBK" w:eastAsia="方正仿宋_GBK" w:cs="方正仿宋_GBK"/>
          <w:bCs/>
          <w:sz w:val="24"/>
          <w:szCs w:val="24"/>
        </w:rPr>
      </w:pPr>
    </w:p>
    <w:p w14:paraId="2D948053">
      <w:pPr>
        <w:widowControl/>
        <w:shd w:val="clear" w:color="auto" w:fill="FFFFFF"/>
        <w:spacing w:line="400" w:lineRule="exact"/>
        <w:ind w:firstLine="641"/>
        <w:jc w:val="right"/>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重庆高新区生态环境局</w:t>
      </w:r>
    </w:p>
    <w:p w14:paraId="5C7ACDC7">
      <w:pPr>
        <w:spacing w:line="400" w:lineRule="exact"/>
        <w:ind w:right="240"/>
        <w:jc w:val="right"/>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bCs/>
          <w:sz w:val="24"/>
          <w:szCs w:val="24"/>
          <w:highlight w:val="none"/>
        </w:rPr>
        <w:t>2026年</w:t>
      </w:r>
      <w:r>
        <w:rPr>
          <w:rFonts w:hint="eastAsia" w:eastAsia="方正仿宋_GBK" w:cs="Times New Roman"/>
          <w:bCs/>
          <w:sz w:val="24"/>
          <w:szCs w:val="24"/>
          <w:highlight w:val="none"/>
          <w:lang w:val="en-US" w:eastAsia="zh-CN"/>
        </w:rPr>
        <w:t>8</w:t>
      </w:r>
      <w:r>
        <w:rPr>
          <w:rFonts w:hint="default" w:ascii="Times New Roman" w:hAnsi="Times New Roman" w:eastAsia="方正仿宋_GBK" w:cs="Times New Roman"/>
          <w:bCs/>
          <w:sz w:val="24"/>
          <w:szCs w:val="24"/>
          <w:highlight w:val="none"/>
        </w:rPr>
        <w:t>月</w:t>
      </w:r>
      <w:r>
        <w:rPr>
          <w:rFonts w:hint="eastAsia" w:eastAsia="方正仿宋_GBK" w:cs="Times New Roman"/>
          <w:bCs/>
          <w:sz w:val="24"/>
          <w:szCs w:val="24"/>
          <w:highlight w:val="none"/>
          <w:lang w:val="en-US" w:eastAsia="zh-CN"/>
        </w:rPr>
        <w:t>18</w:t>
      </w:r>
      <w:bookmarkStart w:id="0" w:name="_GoBack"/>
      <w:bookmarkEnd w:id="0"/>
      <w:r>
        <w:rPr>
          <w:rFonts w:hint="default" w:ascii="Times New Roman" w:hAnsi="Times New Roman" w:eastAsia="方正仿宋_GBK" w:cs="Times New Roman"/>
          <w:bCs/>
          <w:sz w:val="24"/>
          <w:szCs w:val="24"/>
          <w:highlight w:val="none"/>
        </w:rPr>
        <w:t>日</w:t>
      </w:r>
    </w:p>
    <w:sectPr>
      <w:footerReference r:id="rId5" w:type="default"/>
      <w:footerReference r:id="rId6" w:type="even"/>
      <w:pgSz w:w="16838" w:h="11906" w:orient="landscape"/>
      <w:pgMar w:top="2098" w:right="1531" w:bottom="1984" w:left="1531" w:header="851" w:footer="1531"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1" w:fontKey="{87B90AC4-BEAE-4362-BAF5-C6D6DD7AC15B}"/>
  </w:font>
  <w:font w:name="方正仿宋_GBK">
    <w:panose1 w:val="03000509000000000000"/>
    <w:charset w:val="86"/>
    <w:family w:val="script"/>
    <w:pitch w:val="default"/>
    <w:sig w:usb0="00000001" w:usb1="080E0000" w:usb2="00000000" w:usb3="00000000" w:csb0="00040000" w:csb1="00000000"/>
    <w:embedRegular r:id="rId2" w:fontKey="{301EE285-D6E5-4E7A-8F47-5614F58B63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459FD">
    <w:pPr>
      <w:pStyle w:val="10"/>
      <w:keepNext w:val="0"/>
      <w:keepLines w:val="0"/>
      <w:pageBreakBefore w:val="0"/>
      <w:widowControl w:val="0"/>
      <w:kinsoku/>
      <w:wordWrap w:val="0"/>
      <w:overflowPunct/>
      <w:topLinePunct w:val="0"/>
      <w:bidi w:val="0"/>
      <w:adjustRightInd/>
      <w:snapToGrid w:val="0"/>
      <w:spacing w:line="440" w:lineRule="exact"/>
      <w:jc w:val="right"/>
      <w:textAlignment w:val="auto"/>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1</w:t>
    </w:r>
    <w:r>
      <w:rPr>
        <w:rFonts w:hint="eastAsia" w:ascii="宋体" w:hAnsi="宋体"/>
        <w:sz w:val="28"/>
        <w:szCs w:val="28"/>
      </w:rPr>
      <w:fldChar w:fldCharType="end"/>
    </w:r>
    <w:r>
      <w:rPr>
        <w:rFonts w:hint="eastAsia" w:ascii="宋体" w:hAnsi="宋体"/>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E71CA">
    <w:pPr>
      <w:pStyle w:val="10"/>
      <w:keepNext w:val="0"/>
      <w:keepLines w:val="0"/>
      <w:pageBreakBefore w:val="0"/>
      <w:widowControl w:val="0"/>
      <w:kinsoku/>
      <w:wordWrap w:val="0"/>
      <w:overflowPunct/>
      <w:topLinePunct w:val="0"/>
      <w:bidi w:val="0"/>
      <w:adjustRightInd/>
      <w:snapToGrid w:val="0"/>
      <w:spacing w:line="440" w:lineRule="exact"/>
      <w:jc w:val="both"/>
      <w:textAlignment w:val="auto"/>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1</w:t>
    </w:r>
    <w:r>
      <w:rPr>
        <w:rFonts w:hint="eastAsia" w:ascii="宋体" w:hAnsi="宋体"/>
        <w:sz w:val="28"/>
        <w:szCs w:val="28"/>
      </w:rPr>
      <w:fldChar w:fldCharType="end"/>
    </w:r>
    <w:r>
      <w:rPr>
        <w:rFonts w:hint="eastAsia" w:ascii="宋体" w:hAnsi="宋体"/>
        <w:sz w:val="28"/>
        <w:szCs w:val="28"/>
      </w:rPr>
      <w:t xml:space="preserve">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F5051D"/>
    <w:multiLevelType w:val="singleLevel"/>
    <w:tmpl w:val="35F5051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5NDM0MTk3OWEyYTQ1ZmE4ZjBlNGM5MmQwMzEzN2EifQ=="/>
  </w:docVars>
  <w:rsids>
    <w:rsidRoot w:val="00964E2B"/>
    <w:rsid w:val="000063D1"/>
    <w:rsid w:val="000065F6"/>
    <w:rsid w:val="00014D0E"/>
    <w:rsid w:val="0002046B"/>
    <w:rsid w:val="00024C06"/>
    <w:rsid w:val="00030FBC"/>
    <w:rsid w:val="00031CE9"/>
    <w:rsid w:val="00033A20"/>
    <w:rsid w:val="0004044C"/>
    <w:rsid w:val="000433DD"/>
    <w:rsid w:val="00046955"/>
    <w:rsid w:val="00047D78"/>
    <w:rsid w:val="00052AAC"/>
    <w:rsid w:val="00052F51"/>
    <w:rsid w:val="00055D57"/>
    <w:rsid w:val="000665B2"/>
    <w:rsid w:val="00076836"/>
    <w:rsid w:val="000774BC"/>
    <w:rsid w:val="00081B6F"/>
    <w:rsid w:val="00087EE7"/>
    <w:rsid w:val="000948C6"/>
    <w:rsid w:val="0009650D"/>
    <w:rsid w:val="000A69B3"/>
    <w:rsid w:val="000A7B96"/>
    <w:rsid w:val="000B082D"/>
    <w:rsid w:val="000B0B55"/>
    <w:rsid w:val="000B1568"/>
    <w:rsid w:val="000B6B05"/>
    <w:rsid w:val="000C6E49"/>
    <w:rsid w:val="000C77A7"/>
    <w:rsid w:val="000D1F1B"/>
    <w:rsid w:val="000D5FCA"/>
    <w:rsid w:val="000D619A"/>
    <w:rsid w:val="000D715A"/>
    <w:rsid w:val="000E15AC"/>
    <w:rsid w:val="000E3B3A"/>
    <w:rsid w:val="000E7813"/>
    <w:rsid w:val="000F3213"/>
    <w:rsid w:val="000F3735"/>
    <w:rsid w:val="000F3BD1"/>
    <w:rsid w:val="000F7BFD"/>
    <w:rsid w:val="00101044"/>
    <w:rsid w:val="0010291E"/>
    <w:rsid w:val="001068C0"/>
    <w:rsid w:val="00132C33"/>
    <w:rsid w:val="00133345"/>
    <w:rsid w:val="0013412F"/>
    <w:rsid w:val="00137404"/>
    <w:rsid w:val="001417F6"/>
    <w:rsid w:val="001418FC"/>
    <w:rsid w:val="00142C30"/>
    <w:rsid w:val="001453F1"/>
    <w:rsid w:val="001525DF"/>
    <w:rsid w:val="0015530E"/>
    <w:rsid w:val="00160446"/>
    <w:rsid w:val="001613FA"/>
    <w:rsid w:val="00162D94"/>
    <w:rsid w:val="00163707"/>
    <w:rsid w:val="00184CA7"/>
    <w:rsid w:val="00193B26"/>
    <w:rsid w:val="00197AF6"/>
    <w:rsid w:val="001A263C"/>
    <w:rsid w:val="001A61EE"/>
    <w:rsid w:val="001A7B39"/>
    <w:rsid w:val="001B1118"/>
    <w:rsid w:val="001B40F5"/>
    <w:rsid w:val="001B423E"/>
    <w:rsid w:val="001C015E"/>
    <w:rsid w:val="001C119D"/>
    <w:rsid w:val="001C4B08"/>
    <w:rsid w:val="001C5910"/>
    <w:rsid w:val="001D1146"/>
    <w:rsid w:val="001D36D4"/>
    <w:rsid w:val="001D579A"/>
    <w:rsid w:val="001D5A29"/>
    <w:rsid w:val="001E1C78"/>
    <w:rsid w:val="001E426F"/>
    <w:rsid w:val="001E44B8"/>
    <w:rsid w:val="001F0B89"/>
    <w:rsid w:val="001F109F"/>
    <w:rsid w:val="001F2CC3"/>
    <w:rsid w:val="00205932"/>
    <w:rsid w:val="00205992"/>
    <w:rsid w:val="00207E77"/>
    <w:rsid w:val="0021149B"/>
    <w:rsid w:val="002125EF"/>
    <w:rsid w:val="00212849"/>
    <w:rsid w:val="002131D7"/>
    <w:rsid w:val="00213E21"/>
    <w:rsid w:val="0021499E"/>
    <w:rsid w:val="00215C24"/>
    <w:rsid w:val="002160DA"/>
    <w:rsid w:val="00216D33"/>
    <w:rsid w:val="00220425"/>
    <w:rsid w:val="002206CE"/>
    <w:rsid w:val="002239D6"/>
    <w:rsid w:val="002244AD"/>
    <w:rsid w:val="002265C2"/>
    <w:rsid w:val="00226C85"/>
    <w:rsid w:val="00233DA4"/>
    <w:rsid w:val="002359FE"/>
    <w:rsid w:val="002374EA"/>
    <w:rsid w:val="002426A1"/>
    <w:rsid w:val="00242FC8"/>
    <w:rsid w:val="00245652"/>
    <w:rsid w:val="00247F42"/>
    <w:rsid w:val="00262B6A"/>
    <w:rsid w:val="00270B97"/>
    <w:rsid w:val="0027172C"/>
    <w:rsid w:val="0027659E"/>
    <w:rsid w:val="002825A1"/>
    <w:rsid w:val="00283F29"/>
    <w:rsid w:val="00286500"/>
    <w:rsid w:val="00287805"/>
    <w:rsid w:val="00291A94"/>
    <w:rsid w:val="00294E11"/>
    <w:rsid w:val="00295181"/>
    <w:rsid w:val="002978A6"/>
    <w:rsid w:val="002A04C1"/>
    <w:rsid w:val="002A0C71"/>
    <w:rsid w:val="002A1618"/>
    <w:rsid w:val="002A20A7"/>
    <w:rsid w:val="002A6AC0"/>
    <w:rsid w:val="002B4D4E"/>
    <w:rsid w:val="002B66F8"/>
    <w:rsid w:val="002B7C1A"/>
    <w:rsid w:val="002C022F"/>
    <w:rsid w:val="002C101B"/>
    <w:rsid w:val="002C24BA"/>
    <w:rsid w:val="002C281A"/>
    <w:rsid w:val="002C32DD"/>
    <w:rsid w:val="002C4022"/>
    <w:rsid w:val="002D541D"/>
    <w:rsid w:val="002E1C40"/>
    <w:rsid w:val="002E4BC1"/>
    <w:rsid w:val="002E68F4"/>
    <w:rsid w:val="002F0947"/>
    <w:rsid w:val="002F23B0"/>
    <w:rsid w:val="002F5866"/>
    <w:rsid w:val="00301E8A"/>
    <w:rsid w:val="0030587E"/>
    <w:rsid w:val="00313246"/>
    <w:rsid w:val="003200EE"/>
    <w:rsid w:val="003245CF"/>
    <w:rsid w:val="00326069"/>
    <w:rsid w:val="00326C4E"/>
    <w:rsid w:val="00330EEF"/>
    <w:rsid w:val="003367CD"/>
    <w:rsid w:val="00345F55"/>
    <w:rsid w:val="00354031"/>
    <w:rsid w:val="0035448D"/>
    <w:rsid w:val="003550C7"/>
    <w:rsid w:val="00366B04"/>
    <w:rsid w:val="003673DE"/>
    <w:rsid w:val="003678CD"/>
    <w:rsid w:val="003729A7"/>
    <w:rsid w:val="00374D5A"/>
    <w:rsid w:val="0038210B"/>
    <w:rsid w:val="00390930"/>
    <w:rsid w:val="00391C3D"/>
    <w:rsid w:val="00393DA8"/>
    <w:rsid w:val="003A0A01"/>
    <w:rsid w:val="003A329C"/>
    <w:rsid w:val="003A6DFA"/>
    <w:rsid w:val="003B0CC8"/>
    <w:rsid w:val="003C3241"/>
    <w:rsid w:val="003C5BC2"/>
    <w:rsid w:val="003C77D1"/>
    <w:rsid w:val="003D1432"/>
    <w:rsid w:val="003D35C5"/>
    <w:rsid w:val="003D3EF0"/>
    <w:rsid w:val="003E0957"/>
    <w:rsid w:val="003E7178"/>
    <w:rsid w:val="003F6AB3"/>
    <w:rsid w:val="0040282A"/>
    <w:rsid w:val="00404974"/>
    <w:rsid w:val="00406455"/>
    <w:rsid w:val="00407246"/>
    <w:rsid w:val="0041243D"/>
    <w:rsid w:val="00414208"/>
    <w:rsid w:val="004149ED"/>
    <w:rsid w:val="00416132"/>
    <w:rsid w:val="00424DDC"/>
    <w:rsid w:val="00425226"/>
    <w:rsid w:val="00425E7E"/>
    <w:rsid w:val="00427635"/>
    <w:rsid w:val="004277C9"/>
    <w:rsid w:val="00436CC8"/>
    <w:rsid w:val="00440130"/>
    <w:rsid w:val="00443A7C"/>
    <w:rsid w:val="00447D1E"/>
    <w:rsid w:val="00452217"/>
    <w:rsid w:val="00452C6A"/>
    <w:rsid w:val="0046152F"/>
    <w:rsid w:val="00463F56"/>
    <w:rsid w:val="00465037"/>
    <w:rsid w:val="00465C39"/>
    <w:rsid w:val="004675BC"/>
    <w:rsid w:val="004679B2"/>
    <w:rsid w:val="00471D00"/>
    <w:rsid w:val="00472ADA"/>
    <w:rsid w:val="00474D42"/>
    <w:rsid w:val="00476168"/>
    <w:rsid w:val="004845E6"/>
    <w:rsid w:val="00485246"/>
    <w:rsid w:val="00485A29"/>
    <w:rsid w:val="00490BB3"/>
    <w:rsid w:val="0049200C"/>
    <w:rsid w:val="0049337F"/>
    <w:rsid w:val="004A2176"/>
    <w:rsid w:val="004A373D"/>
    <w:rsid w:val="004A4D39"/>
    <w:rsid w:val="004A5418"/>
    <w:rsid w:val="004B0852"/>
    <w:rsid w:val="004B5B0B"/>
    <w:rsid w:val="004F0725"/>
    <w:rsid w:val="004F2354"/>
    <w:rsid w:val="004F251D"/>
    <w:rsid w:val="004F6C45"/>
    <w:rsid w:val="004F6FEE"/>
    <w:rsid w:val="004F7DC3"/>
    <w:rsid w:val="005075CF"/>
    <w:rsid w:val="00507761"/>
    <w:rsid w:val="005154D4"/>
    <w:rsid w:val="005165D8"/>
    <w:rsid w:val="00517A22"/>
    <w:rsid w:val="00520707"/>
    <w:rsid w:val="00526F8E"/>
    <w:rsid w:val="00534431"/>
    <w:rsid w:val="005419D9"/>
    <w:rsid w:val="005425EA"/>
    <w:rsid w:val="005448C4"/>
    <w:rsid w:val="005473BB"/>
    <w:rsid w:val="00550E6C"/>
    <w:rsid w:val="005540BE"/>
    <w:rsid w:val="0055411F"/>
    <w:rsid w:val="00563C6D"/>
    <w:rsid w:val="005672F5"/>
    <w:rsid w:val="0057082D"/>
    <w:rsid w:val="00576684"/>
    <w:rsid w:val="005829C4"/>
    <w:rsid w:val="00584778"/>
    <w:rsid w:val="00595CD8"/>
    <w:rsid w:val="005960EB"/>
    <w:rsid w:val="005A1854"/>
    <w:rsid w:val="005A63F0"/>
    <w:rsid w:val="005A684D"/>
    <w:rsid w:val="005A76E7"/>
    <w:rsid w:val="005A7E95"/>
    <w:rsid w:val="005B0F14"/>
    <w:rsid w:val="005B1117"/>
    <w:rsid w:val="005B2BDD"/>
    <w:rsid w:val="005B6FF6"/>
    <w:rsid w:val="005C2D7E"/>
    <w:rsid w:val="005C36F7"/>
    <w:rsid w:val="005C455B"/>
    <w:rsid w:val="005D330F"/>
    <w:rsid w:val="005D5B09"/>
    <w:rsid w:val="005D683E"/>
    <w:rsid w:val="005D69F4"/>
    <w:rsid w:val="005D7030"/>
    <w:rsid w:val="005E3E8A"/>
    <w:rsid w:val="005E3F7B"/>
    <w:rsid w:val="005E7ACE"/>
    <w:rsid w:val="005F1A56"/>
    <w:rsid w:val="005F1F08"/>
    <w:rsid w:val="005F3237"/>
    <w:rsid w:val="005F40D5"/>
    <w:rsid w:val="005F5FA5"/>
    <w:rsid w:val="00601167"/>
    <w:rsid w:val="00602E3E"/>
    <w:rsid w:val="00603077"/>
    <w:rsid w:val="00603699"/>
    <w:rsid w:val="00604D51"/>
    <w:rsid w:val="00605F32"/>
    <w:rsid w:val="006124CE"/>
    <w:rsid w:val="00622846"/>
    <w:rsid w:val="00623220"/>
    <w:rsid w:val="00640992"/>
    <w:rsid w:val="006416D6"/>
    <w:rsid w:val="006452CE"/>
    <w:rsid w:val="00645C97"/>
    <w:rsid w:val="00646D90"/>
    <w:rsid w:val="00651E63"/>
    <w:rsid w:val="00655EDA"/>
    <w:rsid w:val="00667329"/>
    <w:rsid w:val="006678FE"/>
    <w:rsid w:val="00672C7F"/>
    <w:rsid w:val="00692F66"/>
    <w:rsid w:val="006938AD"/>
    <w:rsid w:val="006957C3"/>
    <w:rsid w:val="00697068"/>
    <w:rsid w:val="006B15D5"/>
    <w:rsid w:val="006B312F"/>
    <w:rsid w:val="006B3E83"/>
    <w:rsid w:val="006B715B"/>
    <w:rsid w:val="006C313E"/>
    <w:rsid w:val="006C6CE6"/>
    <w:rsid w:val="006E3DA8"/>
    <w:rsid w:val="006F0BF4"/>
    <w:rsid w:val="006F1486"/>
    <w:rsid w:val="006F35D8"/>
    <w:rsid w:val="006F55A7"/>
    <w:rsid w:val="006F5ED0"/>
    <w:rsid w:val="00701D2D"/>
    <w:rsid w:val="00707E47"/>
    <w:rsid w:val="007101C3"/>
    <w:rsid w:val="00713047"/>
    <w:rsid w:val="00714F7D"/>
    <w:rsid w:val="00715C20"/>
    <w:rsid w:val="00722149"/>
    <w:rsid w:val="00723FBB"/>
    <w:rsid w:val="00730D29"/>
    <w:rsid w:val="00731887"/>
    <w:rsid w:val="007344B2"/>
    <w:rsid w:val="00736053"/>
    <w:rsid w:val="00743E88"/>
    <w:rsid w:val="00756DD8"/>
    <w:rsid w:val="00771164"/>
    <w:rsid w:val="007712D4"/>
    <w:rsid w:val="00775A4E"/>
    <w:rsid w:val="00780431"/>
    <w:rsid w:val="0078724F"/>
    <w:rsid w:val="00793C91"/>
    <w:rsid w:val="007A2BFA"/>
    <w:rsid w:val="007B0E52"/>
    <w:rsid w:val="007B3A6F"/>
    <w:rsid w:val="007C1D27"/>
    <w:rsid w:val="007D3173"/>
    <w:rsid w:val="007D4FD7"/>
    <w:rsid w:val="007E1500"/>
    <w:rsid w:val="007E3CAA"/>
    <w:rsid w:val="007E686D"/>
    <w:rsid w:val="007F158F"/>
    <w:rsid w:val="007F4C3E"/>
    <w:rsid w:val="007F62C0"/>
    <w:rsid w:val="0080165C"/>
    <w:rsid w:val="00806E58"/>
    <w:rsid w:val="008071BF"/>
    <w:rsid w:val="008161E7"/>
    <w:rsid w:val="008216E3"/>
    <w:rsid w:val="008323AE"/>
    <w:rsid w:val="00833C4F"/>
    <w:rsid w:val="00842696"/>
    <w:rsid w:val="00844BAA"/>
    <w:rsid w:val="00850200"/>
    <w:rsid w:val="00850BF0"/>
    <w:rsid w:val="00852050"/>
    <w:rsid w:val="00852F43"/>
    <w:rsid w:val="0085391E"/>
    <w:rsid w:val="008565E5"/>
    <w:rsid w:val="008614B3"/>
    <w:rsid w:val="0086206D"/>
    <w:rsid w:val="00867BBC"/>
    <w:rsid w:val="00880827"/>
    <w:rsid w:val="008923B0"/>
    <w:rsid w:val="008950DC"/>
    <w:rsid w:val="008968C8"/>
    <w:rsid w:val="008A7BAC"/>
    <w:rsid w:val="008B5D94"/>
    <w:rsid w:val="008C123C"/>
    <w:rsid w:val="008C158E"/>
    <w:rsid w:val="008C6606"/>
    <w:rsid w:val="008C7C7D"/>
    <w:rsid w:val="008D54DD"/>
    <w:rsid w:val="008D5C7F"/>
    <w:rsid w:val="008F33E9"/>
    <w:rsid w:val="008F3A4F"/>
    <w:rsid w:val="008F3A57"/>
    <w:rsid w:val="00916C5A"/>
    <w:rsid w:val="00920491"/>
    <w:rsid w:val="00934A84"/>
    <w:rsid w:val="00943446"/>
    <w:rsid w:val="0094438D"/>
    <w:rsid w:val="00953902"/>
    <w:rsid w:val="009554D6"/>
    <w:rsid w:val="0095618F"/>
    <w:rsid w:val="00957080"/>
    <w:rsid w:val="009571AE"/>
    <w:rsid w:val="00964E2B"/>
    <w:rsid w:val="00970712"/>
    <w:rsid w:val="0097350D"/>
    <w:rsid w:val="009751F6"/>
    <w:rsid w:val="00975CC2"/>
    <w:rsid w:val="00977804"/>
    <w:rsid w:val="00984E6D"/>
    <w:rsid w:val="00986F74"/>
    <w:rsid w:val="00995E27"/>
    <w:rsid w:val="00996D14"/>
    <w:rsid w:val="009A196B"/>
    <w:rsid w:val="009A27BA"/>
    <w:rsid w:val="009A424D"/>
    <w:rsid w:val="009A5C57"/>
    <w:rsid w:val="009A6BA6"/>
    <w:rsid w:val="009B007D"/>
    <w:rsid w:val="009B0136"/>
    <w:rsid w:val="009B0AF4"/>
    <w:rsid w:val="009B3550"/>
    <w:rsid w:val="009B7481"/>
    <w:rsid w:val="009B758F"/>
    <w:rsid w:val="009C4B2E"/>
    <w:rsid w:val="009D0C5D"/>
    <w:rsid w:val="009D2BFD"/>
    <w:rsid w:val="009F00B3"/>
    <w:rsid w:val="009F2A6D"/>
    <w:rsid w:val="009F604D"/>
    <w:rsid w:val="00A05690"/>
    <w:rsid w:val="00A06A1E"/>
    <w:rsid w:val="00A24634"/>
    <w:rsid w:val="00A263C6"/>
    <w:rsid w:val="00A32C7D"/>
    <w:rsid w:val="00A33608"/>
    <w:rsid w:val="00A33A08"/>
    <w:rsid w:val="00A3745B"/>
    <w:rsid w:val="00A405CC"/>
    <w:rsid w:val="00A50B41"/>
    <w:rsid w:val="00A5204B"/>
    <w:rsid w:val="00A539F6"/>
    <w:rsid w:val="00A54152"/>
    <w:rsid w:val="00A57AA5"/>
    <w:rsid w:val="00A65AF5"/>
    <w:rsid w:val="00A91B01"/>
    <w:rsid w:val="00A91E77"/>
    <w:rsid w:val="00A943D7"/>
    <w:rsid w:val="00A96E2C"/>
    <w:rsid w:val="00AA25E0"/>
    <w:rsid w:val="00AA4D43"/>
    <w:rsid w:val="00AD445B"/>
    <w:rsid w:val="00AD63B1"/>
    <w:rsid w:val="00B038E8"/>
    <w:rsid w:val="00B04A49"/>
    <w:rsid w:val="00B131DF"/>
    <w:rsid w:val="00B17241"/>
    <w:rsid w:val="00B23F58"/>
    <w:rsid w:val="00B27D44"/>
    <w:rsid w:val="00B30845"/>
    <w:rsid w:val="00B321E9"/>
    <w:rsid w:val="00B3278C"/>
    <w:rsid w:val="00B32C62"/>
    <w:rsid w:val="00B42FA6"/>
    <w:rsid w:val="00B47442"/>
    <w:rsid w:val="00B52402"/>
    <w:rsid w:val="00B558C4"/>
    <w:rsid w:val="00B55E6A"/>
    <w:rsid w:val="00B5714C"/>
    <w:rsid w:val="00B76FE1"/>
    <w:rsid w:val="00B81FD5"/>
    <w:rsid w:val="00B8339E"/>
    <w:rsid w:val="00B86E6B"/>
    <w:rsid w:val="00B92B86"/>
    <w:rsid w:val="00B944B0"/>
    <w:rsid w:val="00B96A69"/>
    <w:rsid w:val="00B97525"/>
    <w:rsid w:val="00BA12A1"/>
    <w:rsid w:val="00BA167D"/>
    <w:rsid w:val="00BB09B6"/>
    <w:rsid w:val="00BC08BB"/>
    <w:rsid w:val="00BD1EBD"/>
    <w:rsid w:val="00BD4369"/>
    <w:rsid w:val="00BD5805"/>
    <w:rsid w:val="00BD6597"/>
    <w:rsid w:val="00BE0267"/>
    <w:rsid w:val="00BE6C97"/>
    <w:rsid w:val="00BF1865"/>
    <w:rsid w:val="00BF29BC"/>
    <w:rsid w:val="00C019C4"/>
    <w:rsid w:val="00C01ADE"/>
    <w:rsid w:val="00C05D92"/>
    <w:rsid w:val="00C14E89"/>
    <w:rsid w:val="00C1720A"/>
    <w:rsid w:val="00C21CA8"/>
    <w:rsid w:val="00C23557"/>
    <w:rsid w:val="00C302A1"/>
    <w:rsid w:val="00C34502"/>
    <w:rsid w:val="00C4542E"/>
    <w:rsid w:val="00C4741B"/>
    <w:rsid w:val="00C54A95"/>
    <w:rsid w:val="00C54E0C"/>
    <w:rsid w:val="00C57667"/>
    <w:rsid w:val="00C611BC"/>
    <w:rsid w:val="00C64839"/>
    <w:rsid w:val="00C64B0A"/>
    <w:rsid w:val="00C74E3C"/>
    <w:rsid w:val="00C80FAB"/>
    <w:rsid w:val="00C81C13"/>
    <w:rsid w:val="00C833BC"/>
    <w:rsid w:val="00C84B89"/>
    <w:rsid w:val="00C92E40"/>
    <w:rsid w:val="00C9371D"/>
    <w:rsid w:val="00C94F0A"/>
    <w:rsid w:val="00C95FF3"/>
    <w:rsid w:val="00CA25F1"/>
    <w:rsid w:val="00CB392F"/>
    <w:rsid w:val="00CB410F"/>
    <w:rsid w:val="00CB5399"/>
    <w:rsid w:val="00CC0E0B"/>
    <w:rsid w:val="00CC20E8"/>
    <w:rsid w:val="00CC2920"/>
    <w:rsid w:val="00CD30B0"/>
    <w:rsid w:val="00CD505D"/>
    <w:rsid w:val="00CD74FC"/>
    <w:rsid w:val="00CE3E0C"/>
    <w:rsid w:val="00CE79B6"/>
    <w:rsid w:val="00D0367A"/>
    <w:rsid w:val="00D05B9C"/>
    <w:rsid w:val="00D1236E"/>
    <w:rsid w:val="00D17E17"/>
    <w:rsid w:val="00D24FF9"/>
    <w:rsid w:val="00D324C8"/>
    <w:rsid w:val="00D449A5"/>
    <w:rsid w:val="00D455EB"/>
    <w:rsid w:val="00D46FCA"/>
    <w:rsid w:val="00D545BC"/>
    <w:rsid w:val="00D65270"/>
    <w:rsid w:val="00D7130F"/>
    <w:rsid w:val="00D75FFB"/>
    <w:rsid w:val="00D76FA1"/>
    <w:rsid w:val="00D929E2"/>
    <w:rsid w:val="00DA280A"/>
    <w:rsid w:val="00DA360B"/>
    <w:rsid w:val="00DB1278"/>
    <w:rsid w:val="00DB42CF"/>
    <w:rsid w:val="00DB54FB"/>
    <w:rsid w:val="00DB6268"/>
    <w:rsid w:val="00DB633C"/>
    <w:rsid w:val="00DB72EE"/>
    <w:rsid w:val="00DB7725"/>
    <w:rsid w:val="00DC0A86"/>
    <w:rsid w:val="00DC2A1E"/>
    <w:rsid w:val="00DD499F"/>
    <w:rsid w:val="00DE0EB0"/>
    <w:rsid w:val="00DF0C03"/>
    <w:rsid w:val="00DF3901"/>
    <w:rsid w:val="00DF3996"/>
    <w:rsid w:val="00DF5766"/>
    <w:rsid w:val="00E01226"/>
    <w:rsid w:val="00E04657"/>
    <w:rsid w:val="00E0666E"/>
    <w:rsid w:val="00E15635"/>
    <w:rsid w:val="00E2107E"/>
    <w:rsid w:val="00E2298D"/>
    <w:rsid w:val="00E23037"/>
    <w:rsid w:val="00E34032"/>
    <w:rsid w:val="00E36C81"/>
    <w:rsid w:val="00E40285"/>
    <w:rsid w:val="00E4260C"/>
    <w:rsid w:val="00E510DC"/>
    <w:rsid w:val="00E514EF"/>
    <w:rsid w:val="00E524EE"/>
    <w:rsid w:val="00E52946"/>
    <w:rsid w:val="00E54D96"/>
    <w:rsid w:val="00E659FE"/>
    <w:rsid w:val="00E66A30"/>
    <w:rsid w:val="00E67903"/>
    <w:rsid w:val="00E714C0"/>
    <w:rsid w:val="00E73BC8"/>
    <w:rsid w:val="00E808A1"/>
    <w:rsid w:val="00E82E35"/>
    <w:rsid w:val="00E83FE5"/>
    <w:rsid w:val="00E91DC8"/>
    <w:rsid w:val="00E97B32"/>
    <w:rsid w:val="00EA0A75"/>
    <w:rsid w:val="00EA28B9"/>
    <w:rsid w:val="00EA2B81"/>
    <w:rsid w:val="00EA3F6C"/>
    <w:rsid w:val="00EA435E"/>
    <w:rsid w:val="00EC146A"/>
    <w:rsid w:val="00EC4F83"/>
    <w:rsid w:val="00EC54B0"/>
    <w:rsid w:val="00EC622B"/>
    <w:rsid w:val="00EC67EF"/>
    <w:rsid w:val="00EC7B61"/>
    <w:rsid w:val="00ED069B"/>
    <w:rsid w:val="00ED4952"/>
    <w:rsid w:val="00ED5FA7"/>
    <w:rsid w:val="00EE0F6D"/>
    <w:rsid w:val="00EE7058"/>
    <w:rsid w:val="00EF0C67"/>
    <w:rsid w:val="00EF0EF1"/>
    <w:rsid w:val="00EF5DBD"/>
    <w:rsid w:val="00EF675F"/>
    <w:rsid w:val="00F0021C"/>
    <w:rsid w:val="00F053D7"/>
    <w:rsid w:val="00F15ED2"/>
    <w:rsid w:val="00F244EB"/>
    <w:rsid w:val="00F25642"/>
    <w:rsid w:val="00F36A3D"/>
    <w:rsid w:val="00F36FFD"/>
    <w:rsid w:val="00F377F4"/>
    <w:rsid w:val="00F3786E"/>
    <w:rsid w:val="00F47EFA"/>
    <w:rsid w:val="00F53FB8"/>
    <w:rsid w:val="00F56579"/>
    <w:rsid w:val="00F56CA1"/>
    <w:rsid w:val="00F67534"/>
    <w:rsid w:val="00F84393"/>
    <w:rsid w:val="00F8446C"/>
    <w:rsid w:val="00F84C23"/>
    <w:rsid w:val="00F852C2"/>
    <w:rsid w:val="00F90388"/>
    <w:rsid w:val="00F95E5A"/>
    <w:rsid w:val="00F95EFB"/>
    <w:rsid w:val="00FB385E"/>
    <w:rsid w:val="00FC0F92"/>
    <w:rsid w:val="00FC4BC3"/>
    <w:rsid w:val="00FC5035"/>
    <w:rsid w:val="00FC50D0"/>
    <w:rsid w:val="00FC51B0"/>
    <w:rsid w:val="00FD3B93"/>
    <w:rsid w:val="00FE3879"/>
    <w:rsid w:val="00FE3B29"/>
    <w:rsid w:val="00FF43A0"/>
    <w:rsid w:val="00FF607C"/>
    <w:rsid w:val="00FF7933"/>
    <w:rsid w:val="01797EDF"/>
    <w:rsid w:val="02C96B6D"/>
    <w:rsid w:val="02FA25DD"/>
    <w:rsid w:val="03272BF5"/>
    <w:rsid w:val="03A8174A"/>
    <w:rsid w:val="04BD32C9"/>
    <w:rsid w:val="04DB19C9"/>
    <w:rsid w:val="051A02A9"/>
    <w:rsid w:val="05427EBE"/>
    <w:rsid w:val="05491754"/>
    <w:rsid w:val="056F1AD9"/>
    <w:rsid w:val="06323127"/>
    <w:rsid w:val="06DC7CFC"/>
    <w:rsid w:val="07FB49B2"/>
    <w:rsid w:val="086C58F2"/>
    <w:rsid w:val="09230DE0"/>
    <w:rsid w:val="09776EC3"/>
    <w:rsid w:val="09BE25B6"/>
    <w:rsid w:val="0A8E20C7"/>
    <w:rsid w:val="0AD967FB"/>
    <w:rsid w:val="0C467545"/>
    <w:rsid w:val="0D2F072F"/>
    <w:rsid w:val="0E14727F"/>
    <w:rsid w:val="0EA248A7"/>
    <w:rsid w:val="0EC15880"/>
    <w:rsid w:val="10841EF6"/>
    <w:rsid w:val="10932A33"/>
    <w:rsid w:val="10E768B2"/>
    <w:rsid w:val="120B2211"/>
    <w:rsid w:val="128C61A7"/>
    <w:rsid w:val="12DE37BB"/>
    <w:rsid w:val="134C1CD8"/>
    <w:rsid w:val="13884501"/>
    <w:rsid w:val="14092FD9"/>
    <w:rsid w:val="141611EE"/>
    <w:rsid w:val="14F813E9"/>
    <w:rsid w:val="15861C36"/>
    <w:rsid w:val="15AC0F30"/>
    <w:rsid w:val="16C26720"/>
    <w:rsid w:val="17A26F57"/>
    <w:rsid w:val="188928F4"/>
    <w:rsid w:val="1ABD35B8"/>
    <w:rsid w:val="1CB244D9"/>
    <w:rsid w:val="1CCF48C3"/>
    <w:rsid w:val="1DB8762C"/>
    <w:rsid w:val="209155D4"/>
    <w:rsid w:val="20995391"/>
    <w:rsid w:val="20FC16BC"/>
    <w:rsid w:val="21262B28"/>
    <w:rsid w:val="227129D4"/>
    <w:rsid w:val="23584884"/>
    <w:rsid w:val="240F3561"/>
    <w:rsid w:val="251A1871"/>
    <w:rsid w:val="252B1ECD"/>
    <w:rsid w:val="258911AC"/>
    <w:rsid w:val="25B31FF2"/>
    <w:rsid w:val="2694415D"/>
    <w:rsid w:val="26B31396"/>
    <w:rsid w:val="271620BA"/>
    <w:rsid w:val="28CF52D0"/>
    <w:rsid w:val="291251C0"/>
    <w:rsid w:val="29672760"/>
    <w:rsid w:val="2A427557"/>
    <w:rsid w:val="2A577B35"/>
    <w:rsid w:val="2A7F1496"/>
    <w:rsid w:val="2AF459E0"/>
    <w:rsid w:val="2B603DD0"/>
    <w:rsid w:val="2B99501C"/>
    <w:rsid w:val="2BFD7288"/>
    <w:rsid w:val="2C6C36DD"/>
    <w:rsid w:val="2D2C66AA"/>
    <w:rsid w:val="2DB42184"/>
    <w:rsid w:val="2F2D1481"/>
    <w:rsid w:val="2FF3270A"/>
    <w:rsid w:val="302A01E6"/>
    <w:rsid w:val="30394B45"/>
    <w:rsid w:val="31633C91"/>
    <w:rsid w:val="31761819"/>
    <w:rsid w:val="32243DF1"/>
    <w:rsid w:val="324344F1"/>
    <w:rsid w:val="32934307"/>
    <w:rsid w:val="339A0859"/>
    <w:rsid w:val="33B07D15"/>
    <w:rsid w:val="345C6D66"/>
    <w:rsid w:val="35302812"/>
    <w:rsid w:val="364F52B0"/>
    <w:rsid w:val="36542530"/>
    <w:rsid w:val="36BC7A8F"/>
    <w:rsid w:val="37215B8C"/>
    <w:rsid w:val="386F7664"/>
    <w:rsid w:val="38B27A8F"/>
    <w:rsid w:val="3935355A"/>
    <w:rsid w:val="3A263A9B"/>
    <w:rsid w:val="3A265F39"/>
    <w:rsid w:val="3A526D68"/>
    <w:rsid w:val="3A80135D"/>
    <w:rsid w:val="3D082581"/>
    <w:rsid w:val="3DD94261"/>
    <w:rsid w:val="3E4C2E1C"/>
    <w:rsid w:val="40CE143A"/>
    <w:rsid w:val="411D2B56"/>
    <w:rsid w:val="41A231AD"/>
    <w:rsid w:val="42DC4800"/>
    <w:rsid w:val="430B2071"/>
    <w:rsid w:val="43521ECB"/>
    <w:rsid w:val="437B43B8"/>
    <w:rsid w:val="4458076D"/>
    <w:rsid w:val="44D55303"/>
    <w:rsid w:val="45C30EF0"/>
    <w:rsid w:val="46BE67F0"/>
    <w:rsid w:val="483D40CA"/>
    <w:rsid w:val="4880174D"/>
    <w:rsid w:val="488F555D"/>
    <w:rsid w:val="48B14378"/>
    <w:rsid w:val="48D606E3"/>
    <w:rsid w:val="498E6BA8"/>
    <w:rsid w:val="49A56109"/>
    <w:rsid w:val="4A502A51"/>
    <w:rsid w:val="4ABA7C4A"/>
    <w:rsid w:val="4AE96EFA"/>
    <w:rsid w:val="4AED2F53"/>
    <w:rsid w:val="4B896457"/>
    <w:rsid w:val="4C082E35"/>
    <w:rsid w:val="4C7E30D8"/>
    <w:rsid w:val="4DF7184C"/>
    <w:rsid w:val="4EDD49F5"/>
    <w:rsid w:val="4EF279CF"/>
    <w:rsid w:val="4F1D233E"/>
    <w:rsid w:val="4F6E4DB7"/>
    <w:rsid w:val="4FD557D4"/>
    <w:rsid w:val="506E6725"/>
    <w:rsid w:val="50927455"/>
    <w:rsid w:val="51081E85"/>
    <w:rsid w:val="517F1F4B"/>
    <w:rsid w:val="52095328"/>
    <w:rsid w:val="5242000C"/>
    <w:rsid w:val="531D7119"/>
    <w:rsid w:val="53414F69"/>
    <w:rsid w:val="53C32923"/>
    <w:rsid w:val="56C01370"/>
    <w:rsid w:val="56C24012"/>
    <w:rsid w:val="57211E88"/>
    <w:rsid w:val="57C36C59"/>
    <w:rsid w:val="57FE7BA6"/>
    <w:rsid w:val="5A082E69"/>
    <w:rsid w:val="5A165F18"/>
    <w:rsid w:val="5AB863CB"/>
    <w:rsid w:val="5B9918FB"/>
    <w:rsid w:val="5BC9429F"/>
    <w:rsid w:val="5D813F84"/>
    <w:rsid w:val="5E081D84"/>
    <w:rsid w:val="5E963E2C"/>
    <w:rsid w:val="5F250A12"/>
    <w:rsid w:val="5FC14AB0"/>
    <w:rsid w:val="607D37B1"/>
    <w:rsid w:val="614D57EB"/>
    <w:rsid w:val="61861409"/>
    <w:rsid w:val="61B647C5"/>
    <w:rsid w:val="63645938"/>
    <w:rsid w:val="63684AC1"/>
    <w:rsid w:val="642B7E31"/>
    <w:rsid w:val="673E68E4"/>
    <w:rsid w:val="675731AF"/>
    <w:rsid w:val="679D2CD8"/>
    <w:rsid w:val="68126ECA"/>
    <w:rsid w:val="682E29CF"/>
    <w:rsid w:val="6A75583B"/>
    <w:rsid w:val="6A8714CC"/>
    <w:rsid w:val="6A9902E2"/>
    <w:rsid w:val="6B214C99"/>
    <w:rsid w:val="6B9216DD"/>
    <w:rsid w:val="6D603D03"/>
    <w:rsid w:val="6D8D770C"/>
    <w:rsid w:val="6DCC2E95"/>
    <w:rsid w:val="6E382CBF"/>
    <w:rsid w:val="6E3F6CA7"/>
    <w:rsid w:val="6F1F2909"/>
    <w:rsid w:val="70BD1AFA"/>
    <w:rsid w:val="70ED0659"/>
    <w:rsid w:val="71462558"/>
    <w:rsid w:val="71D02770"/>
    <w:rsid w:val="739263D3"/>
    <w:rsid w:val="74162CCE"/>
    <w:rsid w:val="75533E64"/>
    <w:rsid w:val="768637B9"/>
    <w:rsid w:val="76BA6056"/>
    <w:rsid w:val="78425C4F"/>
    <w:rsid w:val="78FC6ADE"/>
    <w:rsid w:val="799A14B5"/>
    <w:rsid w:val="7A813A3B"/>
    <w:rsid w:val="7B1928CE"/>
    <w:rsid w:val="7B566E00"/>
    <w:rsid w:val="7C0972C6"/>
    <w:rsid w:val="7E292420"/>
    <w:rsid w:val="7ED1002B"/>
    <w:rsid w:val="7F3B4E3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line="578" w:lineRule="auto"/>
      <w:ind w:firstLine="0" w:firstLineChars="0"/>
      <w:jc w:val="center"/>
      <w:outlineLvl w:val="0"/>
    </w:pPr>
    <w:rPr>
      <w:b/>
      <w:bCs/>
      <w:kern w:val="44"/>
      <w:sz w:val="36"/>
      <w:szCs w:val="44"/>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djustRightInd/>
      <w:spacing w:line="240" w:lineRule="auto"/>
      <w:ind w:firstLine="420"/>
    </w:pPr>
    <w:rPr>
      <w:sz w:val="21"/>
      <w:szCs w:val="20"/>
    </w:rPr>
  </w:style>
  <w:style w:type="paragraph" w:styleId="4">
    <w:name w:val="caption"/>
    <w:basedOn w:val="1"/>
    <w:next w:val="1"/>
    <w:qFormat/>
    <w:uiPriority w:val="0"/>
    <w:rPr>
      <w:rFonts w:ascii="Cambria" w:hAnsi="Cambria" w:eastAsia="黑体"/>
      <w:sz w:val="20"/>
    </w:rPr>
  </w:style>
  <w:style w:type="paragraph" w:styleId="5">
    <w:name w:val="annotation text"/>
    <w:basedOn w:val="1"/>
    <w:unhideWhenUsed/>
    <w:qFormat/>
    <w:uiPriority w:val="99"/>
    <w:pPr>
      <w:jc w:val="left"/>
    </w:pPr>
  </w:style>
  <w:style w:type="paragraph" w:styleId="6">
    <w:name w:val="Body Text"/>
    <w:basedOn w:val="1"/>
    <w:link w:val="20"/>
    <w:semiHidden/>
    <w:qFormat/>
    <w:uiPriority w:val="0"/>
    <w:pPr>
      <w:spacing w:line="440" w:lineRule="exact"/>
    </w:pPr>
    <w:rPr>
      <w:rFonts w:ascii="Times New Roman" w:hAnsi="Times New Roman" w:eastAsia="仿宋_GB2312"/>
      <w:sz w:val="24"/>
      <w:szCs w:val="24"/>
    </w:rPr>
  </w:style>
  <w:style w:type="paragraph" w:styleId="7">
    <w:name w:val="Body Text Indent"/>
    <w:basedOn w:val="1"/>
    <w:next w:val="8"/>
    <w:qFormat/>
    <w:uiPriority w:val="0"/>
    <w:pPr>
      <w:spacing w:after="120"/>
      <w:ind w:left="420" w:leftChars="200"/>
    </w:pPr>
    <w:rPr>
      <w:rFonts w:ascii="Times New Roman" w:hAnsi="Times New Roman" w:eastAsia="宋体" w:cs="Times New Roman"/>
    </w:rPr>
  </w:style>
  <w:style w:type="paragraph" w:customStyle="1" w:styleId="8">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9">
    <w:name w:val="Balloon Text"/>
    <w:basedOn w:val="1"/>
    <w:link w:val="21"/>
    <w:unhideWhenUsed/>
    <w:qFormat/>
    <w:uiPriority w:val="99"/>
    <w:rPr>
      <w:sz w:val="18"/>
      <w:szCs w:val="18"/>
    </w:rPr>
  </w:style>
  <w:style w:type="paragraph" w:styleId="10">
    <w:name w:val="footer"/>
    <w:basedOn w:val="1"/>
    <w:link w:val="22"/>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qFormat/>
    <w:uiPriority w:val="0"/>
    <w:pPr>
      <w:topLinePunct/>
      <w:spacing w:line="240" w:lineRule="auto"/>
      <w:ind w:firstLine="0" w:firstLineChars="0"/>
      <w:jc w:val="center"/>
    </w:pPr>
    <w:rPr>
      <w:rFonts w:cs="Times New Roman"/>
      <w:bCs/>
      <w:kern w:val="28"/>
      <w:sz w:val="21"/>
      <w:szCs w:val="32"/>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4">
    <w:name w:val="Body Text First Indent"/>
    <w:basedOn w:val="6"/>
    <w:qFormat/>
    <w:uiPriority w:val="0"/>
    <w:pPr>
      <w:spacing w:after="120" w:line="360" w:lineRule="auto"/>
      <w:ind w:firstLine="420" w:firstLineChars="100"/>
    </w:pPr>
    <w:rPr>
      <w:rFonts w:ascii="Times New Roman" w:hAnsi="Times New Roman" w:eastAsia="宋体" w:cs="Times New Roman"/>
      <w:sz w:val="24"/>
    </w:rPr>
  </w:style>
  <w:style w:type="paragraph" w:styleId="15">
    <w:name w:val="Body Text First Indent 2"/>
    <w:basedOn w:val="7"/>
    <w:next w:val="14"/>
    <w:unhideWhenUsed/>
    <w:qFormat/>
    <w:uiPriority w:val="0"/>
    <w:pPr>
      <w:adjustRightInd/>
      <w:snapToGrid/>
      <w:spacing w:after="120" w:line="240" w:lineRule="auto"/>
      <w:ind w:left="420" w:leftChars="200" w:firstLine="420"/>
    </w:pPr>
    <w:rPr>
      <w:szCs w:val="21"/>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unhideWhenUsed/>
    <w:qFormat/>
    <w:uiPriority w:val="99"/>
    <w:rPr>
      <w:color w:val="0000FF"/>
      <w:u w:val="single"/>
    </w:rPr>
  </w:style>
  <w:style w:type="character" w:customStyle="1" w:styleId="20">
    <w:name w:val="正文文本 字符"/>
    <w:link w:val="6"/>
    <w:semiHidden/>
    <w:qFormat/>
    <w:uiPriority w:val="0"/>
    <w:rPr>
      <w:rFonts w:ascii="Times New Roman" w:hAnsi="Times New Roman" w:eastAsia="仿宋_GB2312"/>
      <w:kern w:val="2"/>
      <w:sz w:val="24"/>
      <w:szCs w:val="24"/>
    </w:rPr>
  </w:style>
  <w:style w:type="character" w:customStyle="1" w:styleId="21">
    <w:name w:val="批注框文本 字符"/>
    <w:link w:val="9"/>
    <w:semiHidden/>
    <w:qFormat/>
    <w:uiPriority w:val="99"/>
    <w:rPr>
      <w:kern w:val="2"/>
      <w:sz w:val="18"/>
      <w:szCs w:val="18"/>
    </w:rPr>
  </w:style>
  <w:style w:type="character" w:customStyle="1" w:styleId="22">
    <w:name w:val="页脚 字符"/>
    <w:link w:val="10"/>
    <w:qFormat/>
    <w:uiPriority w:val="99"/>
    <w:rPr>
      <w:kern w:val="2"/>
      <w:sz w:val="18"/>
      <w:szCs w:val="18"/>
    </w:rPr>
  </w:style>
  <w:style w:type="character" w:customStyle="1" w:styleId="23">
    <w:name w:val="页眉 字符"/>
    <w:link w:val="11"/>
    <w:qFormat/>
    <w:uiPriority w:val="99"/>
    <w:rPr>
      <w:kern w:val="2"/>
      <w:sz w:val="18"/>
      <w:szCs w:val="18"/>
    </w:rPr>
  </w:style>
  <w:style w:type="paragraph" w:customStyle="1" w:styleId="24">
    <w:name w:val="样式 首行缩进:  2 字符"/>
    <w:basedOn w:val="1"/>
    <w:qFormat/>
    <w:uiPriority w:val="0"/>
    <w:pPr>
      <w:spacing w:line="360" w:lineRule="auto"/>
      <w:ind w:firstLine="200" w:firstLineChars="200"/>
    </w:pPr>
    <w:rPr>
      <w:rFonts w:ascii="Times New Roman" w:hAnsi="Times New Roman" w:cs="宋体"/>
      <w:b/>
      <w:bCs/>
      <w:sz w:val="24"/>
      <w:szCs w:val="20"/>
    </w:rPr>
  </w:style>
  <w:style w:type="paragraph" w:customStyle="1" w:styleId="25">
    <w:name w:val="Char"/>
    <w:basedOn w:val="1"/>
    <w:qFormat/>
    <w:uiPriority w:val="0"/>
    <w:pPr>
      <w:tabs>
        <w:tab w:val="left" w:pos="360"/>
      </w:tabs>
    </w:pPr>
    <w:rPr>
      <w:rFonts w:ascii="Times New Roman" w:hAnsi="Times New Roman"/>
      <w:sz w:val="24"/>
      <w:szCs w:val="32"/>
    </w:rPr>
  </w:style>
  <w:style w:type="paragraph" w:customStyle="1" w:styleId="26">
    <w:name w:val="正文1"/>
    <w:basedOn w:val="1"/>
    <w:qFormat/>
    <w:uiPriority w:val="0"/>
    <w:pPr>
      <w:spacing w:line="440" w:lineRule="exact"/>
      <w:ind w:firstLine="720" w:firstLineChars="200"/>
    </w:pPr>
    <w:rPr>
      <w:rFonts w:ascii="Times New Roman" w:hAnsi="Times New Roman" w:eastAsia="宋体"/>
      <w:sz w:val="24"/>
    </w:rPr>
  </w:style>
  <w:style w:type="paragraph" w:customStyle="1" w:styleId="27">
    <w:name w:val="123正文"/>
    <w:basedOn w:val="1"/>
    <w:qFormat/>
    <w:uiPriority w:val="0"/>
    <w:pPr>
      <w:adjustRightInd w:val="0"/>
      <w:snapToGrid w:val="0"/>
      <w:spacing w:line="360" w:lineRule="auto"/>
      <w:ind w:firstLine="720" w:firstLineChars="200"/>
    </w:pPr>
    <w:rPr>
      <w:rFonts w:ascii="Times New Roman" w:hAnsi="Times New Roman" w:eastAsia="宋体" w:cs="Times New Roman"/>
      <w:sz w:val="24"/>
      <w:szCs w:val="24"/>
    </w:rPr>
  </w:style>
  <w:style w:type="paragraph" w:customStyle="1" w:styleId="28">
    <w:name w:val="表格内容"/>
    <w:basedOn w:val="1"/>
    <w:qFormat/>
    <w:uiPriority w:val="0"/>
    <w:pPr>
      <w:snapToGrid w:val="0"/>
      <w:spacing w:line="240" w:lineRule="auto"/>
      <w:ind w:left="0" w:leftChars="0" w:firstLine="0" w:firstLineChars="0"/>
      <w:jc w:val="center"/>
    </w:pPr>
    <w:rPr>
      <w:sz w:val="22"/>
    </w:rPr>
  </w:style>
  <w:style w:type="paragraph" w:customStyle="1" w:styleId="29">
    <w:name w:val="表内的文字"/>
    <w:basedOn w:val="1"/>
    <w:next w:val="1"/>
    <w:qFormat/>
    <w:uiPriority w:val="0"/>
    <w:pPr>
      <w:spacing w:line="240" w:lineRule="auto"/>
      <w:ind w:firstLine="0" w:firstLineChars="0"/>
      <w:jc w:val="center"/>
    </w:pPr>
    <w:rPr>
      <w:sz w:val="21"/>
    </w:rPr>
  </w:style>
  <w:style w:type="paragraph" w:customStyle="1" w:styleId="30">
    <w:name w:val="Default"/>
    <w:basedOn w:val="3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32">
    <w:name w:val="tit10"/>
    <w:basedOn w:val="1"/>
    <w:qFormat/>
    <w:uiPriority w:val="0"/>
    <w:pPr>
      <w:spacing w:line="750" w:lineRule="atLeast"/>
      <w:ind w:right="270"/>
      <w:jc w:val="right"/>
    </w:pPr>
    <w:rPr>
      <w:color w:val="333333"/>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862036c7-6d8b-4129-a76b-d43b4e5bc7cc</errorID>
      <errorWord>）</errorWord>
      <group>L1_Format</group>
      <groupName>格式问题</groupName>
      <ability>L2_HalfPunc</ability>
      <abilityName>全半角检查</abilityName>
      <candidateList>
        <item>)</item>
      </candidateList>
      <explain>文本全半角错误。</explain>
      <paraID>426547C4</paraID>
      <start>12</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5bc3715b-c242-4cc8-a162-c644b266eae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2041</Words>
  <Characters>2213</Characters>
  <Lines>9</Lines>
  <Paragraphs>2</Paragraphs>
  <TotalTime>2</TotalTime>
  <ScaleCrop>false</ScaleCrop>
  <LinksUpToDate>false</LinksUpToDate>
  <CharactersWithSpaces>2295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2026-01-13T01:15:00Z</dcterms:created>
  <dc:creator>PC</dc:creator>
  <cp:lastModifiedBy>晴天</cp:lastModifiedBy>
  <cp:lastPrinted>2026-05-12T09:05:00Z</cp:lastPrinted>
  <dcterms:modified xsi:type="dcterms:W3CDTF">2026-08-10T01:42:47Z</dcterms:modified>
  <dc:title>忠县环保局受理建设项目环评信息公告表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4A1EED1BD5C9490F87CC0E8CCDAC4BDC_13</vt:lpwstr>
  </property>
  <property fmtid="{D5CDD505-2E9C-101B-9397-08002B2CF9AE}" pid="4" name="KSOTemplateDocerSaveRecord">
    <vt:lpwstr>eyJoZGlkIjoiMTAwZTY5ZDNhMmFjNGFlZGJiY2M0MDg2ZDBiMmYyNDAiLCJ1c2VySWQiOiI0NDk5MzUyNzEifQ==</vt:lpwstr>
  </property>
</Properties>
</file>