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eastAsia="zh-CN"/>
        </w:rPr>
        <w:t>重庆师范大学</w:t>
      </w:r>
      <w:r>
        <w:rPr>
          <w:rFonts w:hint="eastAsia" w:ascii="方正小标宋_GBK" w:hAnsi="方正小标宋_GBK" w:eastAsia="方正小标宋_GBK" w:cs="方正小标宋_GBK"/>
          <w:sz w:val="44"/>
          <w:szCs w:val="44"/>
        </w:rPr>
        <w:t>项目信息详细清单</w:t>
      </w:r>
    </w:p>
    <w:p/>
    <w:p>
      <w:pPr>
        <w:rPr>
          <w:sz w:val="28"/>
          <w:szCs w:val="28"/>
        </w:rPr>
      </w:pPr>
    </w:p>
    <w:tbl>
      <w:tblPr>
        <w:tblStyle w:val="3"/>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4107"/>
        <w:gridCol w:w="4524"/>
        <w:gridCol w:w="4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lang w:eastAsia="zh-CN"/>
              </w:rPr>
            </w:pPr>
            <w:r>
              <w:rPr>
                <w:rFonts w:hint="eastAsia" w:ascii="方正黑体_GBK" w:hAnsi="方正黑体_GBK" w:eastAsia="方正黑体_GBK" w:cs="方正黑体_GBK"/>
                <w:sz w:val="28"/>
                <w:szCs w:val="28"/>
                <w:lang w:eastAsia="zh-CN"/>
              </w:rPr>
              <w:t>序号</w:t>
            </w:r>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项目名称</w:t>
            </w:r>
          </w:p>
        </w:tc>
        <w:tc>
          <w:tcPr>
            <w:tcW w:w="1596"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项目简介</w:t>
            </w:r>
          </w:p>
        </w:tc>
        <w:tc>
          <w:tcPr>
            <w:tcW w:w="153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方正黑体_GBK" w:hAnsi="方正黑体_GBK" w:eastAsia="方正黑体_GBK" w:cs="方正黑体_GBK"/>
                <w:sz w:val="28"/>
                <w:szCs w:val="28"/>
              </w:rPr>
            </w:pPr>
            <w:r>
              <w:rPr>
                <w:rFonts w:hint="eastAsia" w:ascii="方正黑体_GBK" w:hAnsi="方正黑体_GBK" w:eastAsia="方正黑体_GBK" w:cs="方正黑体_GBK"/>
                <w:sz w:val="28"/>
                <w:szCs w:val="28"/>
              </w:rPr>
              <w:t>主要知识产权和标准规范等目录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5"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lang w:val="en-US" w:eastAsia="zh-CN"/>
              </w:rPr>
            </w:pPr>
            <w:r>
              <w:rPr>
                <w:rFonts w:hint="eastAsia" w:ascii="Times New Roman" w:hAnsi="Times New Roman" w:eastAsia="方正仿宋_GBK"/>
                <w:sz w:val="24"/>
                <w:szCs w:val="36"/>
                <w:lang w:val="en-US" w:eastAsia="zh-CN"/>
              </w:rPr>
              <w:t>1</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向量值函数空间上微分方程的适定性</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利用向量值函数空间上的傅里叶乘子工具，给出几类二阶、三阶、分数阶有限(或者无穷)时滞退化微分方程在周期 Lebesgue-Bochner 空间、周期 Besov 空间、周期Triebel-Lizorkin 空间和Hölder 连续函数空间上具有适定性的充分条件或者必要条件。同时我们将主要理论结果运用一些具体的偏微分方程中，给出这些方程有解的充分条件或者必要条件。</w:t>
            </w:r>
          </w:p>
        </w:tc>
        <w:tc>
          <w:tcPr>
            <w:tcW w:w="1531"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2</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基于量子计算的数据处理方法研究</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本项目围绕国家“十四五”规划对量子计算与人工智能的战略布局，聚焦大数据时代数据处理效率、安全性与可靠性三大核心问题，系统开展量子计算与多学科融合的创新研究。用量子计算的方法来提高数据的处理能力，确保安全性和可靠性，从而推动社会在数据时代更好更快地发展。</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主要科学发现包括：（1）揭示量子机器学习提升数据高效性的科学规律；（2）构建量子计算保障数据安全的理论体系；（3）提出量子纠错增强数据可靠性的科学方法。</w:t>
            </w:r>
          </w:p>
        </w:tc>
        <w:tc>
          <w:tcPr>
            <w:tcW w:w="1531"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3</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植物多糖的制备与应用基础研究</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研究内容：考察提取方法对多糖化学结构及分子量分布的影响、多糖的化学修饰、多糖及其衍生物的结构分析、多糖活性研究及构效关系探讨、多糖作用机制研究。科学发现点：创建植物多糖分离表征技术，解析其化学结构、提出了多糖修饰的新策略；发现并确证化学修饰能够提高多糖的抗氧化活性，揭示其量效构效关系与分子机制； 提出了“适度修饰提高多糖活性的策略”、“多糖分子修饰下的功能调控”等重要观点。</w:t>
            </w: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4</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基于角度变化的能带调控MoS2/WS2-XS(X=B/Al/Ga)复合结构光电双效催化的第一性原理研究</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本项目以MoS2和WS2为复合主体，将BS、AlS以及GaS三种硫化物材料复合到MoS2、WS2上，解决了若干前沿科学问题，系统地研究了XY2异质结构及其在高效光催化水分解中的潜力。发现施加电场可以显著调制异质结构的电子性质，导致吸收边缘红移和电荷分离效率提高。</w:t>
            </w: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5</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高效无网格微分方程数值解法及其理论和应用</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研究了高效无网格法及其数学理论和应用，主要包括：(1)设计了高效的无网格形函数构造算法，分析了这些算法的误差和稳定性等数学理论，突破了相关经典成果的局限，奠定了分析相应无网格法数学理论的基础；(2)推导了无网格配点法和无网格伽辽金法的数学理论，从理论上保证了这些无网格法的可行性和高效性，并为研究其它无网格法的数学理论提供了分析方法；(3)设计并分析了求解发展方程和流体问题等前沿问题的高效无网格法，拓宽了无网格法的应用领域，凸显了无网格法的优势。</w:t>
            </w: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6</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山区乡村农业生态系统转型研究</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本项目提出转型农地景观相关理论框架，揭示中国山区人口收缩背景下集约土地利用及其转变趋势，揭示山区坡耕地-撂荒地空间耦合模式，揭示了土地租赁市场在优化耕地资源利用方面有一定作用。研究成果对于更深刻地认识山区农业体制的变化具有重要的理论和实际意义，也是对土地利用转型理论的进一步发展。申请项目的20篇论著发表在国内外的知名期刊和在知名出版社出版。19篇论文平均他引次数为35.7次； 5篇代表作他引总次数为280次，平均56次/篇。</w:t>
            </w: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7</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d10金属-共轭分子配聚物的可控构筑与性能调控</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d10金属-共轭分子配聚物在发光材料、全色显示、分子开关和分子导线方面有重要的应用价值，其分子设计、控制合成、结构与性能调控是推动此类材料最终应用的主要挑战。本项目围绕这些基本科学问题，通过合理分子设计、选择d10电子构型金属离子和共轭配体（无机或有机）、控制反应条件，组装了30 余种新型d10金属-共轭分子配聚物，实现了系列配聚物的可控合成，完成了系统的结构、性能及其构效关系等研究。</w:t>
            </w:r>
          </w:p>
        </w:tc>
        <w:tc>
          <w:tcPr>
            <w:tcW w:w="1531"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8</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ind w:firstLine="240" w:firstLineChars="100"/>
              <w:jc w:val="both"/>
              <w:textAlignment w:val="auto"/>
              <w:rPr>
                <w:rFonts w:hint="eastAsia" w:ascii="Times New Roman" w:hAnsi="Times New Roman" w:eastAsia="方正仿宋_GBK"/>
                <w:sz w:val="24"/>
              </w:rPr>
            </w:pPr>
            <w:r>
              <w:rPr>
                <w:rFonts w:hint="eastAsia" w:ascii="Times New Roman" w:hAnsi="Times New Roman" w:eastAsia="方正仿宋_GBK"/>
                <w:sz w:val="24"/>
              </w:rPr>
              <w:t>Apostol型多项式的理论和应用</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该项目属于特殊函数论中特殊多项式理论和应用问题。本项目研究并建立了Apostol型多项式的基础理论，包括它们的代数性质、Raabe乘积问题、Fourier级数展开、积分表示、分别与Gauss超几何函数、Hurwitz Zeta 函数和第二类Stirling数之间的重要关系，以及Apostol型多项式相互之间的重要关系等.</w:t>
            </w:r>
          </w:p>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9</w:t>
            </w:r>
          </w:p>
        </w:tc>
        <w:tc>
          <w:tcPr>
            <w:tcW w:w="1449" w:type="pct"/>
            <w:vAlign w:val="center"/>
          </w:tcPr>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利用光-电-磁特性协同研究有机半导体器件的关键科学问题</w:t>
            </w:r>
          </w:p>
        </w:tc>
        <w:tc>
          <w:tcPr>
            <w:tcW w:w="1596" w:type="pct"/>
            <w:vAlign w:val="top"/>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有机半导体器件作为新一代电子信息产业的核心技术 ，己成为全球高度重视的战略性新兴产业 ，极大推动了国家和重庆市的经济和社会发展。本项目紧密围绕提高有机半导体器件性能这一关键科学问题，运用光电磁一体化方法，通过探究器件在不同温度和不同激发强度下的电流-亮度-电压特性、发光光谱，深入分析载流子-光场所涉及的自旋等微观过程，探索揭示激子-电荷演化机制、能量传递过程、器件效率等决定因素。首创“三元策略”方法，为提高有机发电（光伏）器件的效率提供了一种新颖有效的途径。项目取得了一系列重要发现和突破性进展。</w:t>
            </w: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10</w:t>
            </w:r>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集成北斗、遥感和AI的城市精细化治理关键技术研究及应用</w:t>
            </w:r>
          </w:p>
        </w:tc>
        <w:tc>
          <w:tcPr>
            <w:tcW w:w="1596" w:type="pct"/>
            <w:vAlign w:val="center"/>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本项目围绕城市高密度人类活动和复杂环境下的多维度精细化治理智能水平提升的关键科学技术问题，聚焦城市精细化治理的高精度定位、AI模型构建和多维场景治理平台搭建等关键技术，系统开展了理论、工程应用和场景实践等系统新性研究</w:t>
            </w:r>
            <w:r>
              <w:rPr>
                <w:rFonts w:hint="eastAsia" w:ascii="Times New Roman" w:hAnsi="Times New Roman" w:eastAsia="方正仿宋_GBK"/>
                <w:sz w:val="24"/>
                <w:lang w:eastAsia="zh-CN"/>
              </w:rPr>
              <w:t>，</w:t>
            </w:r>
            <w:r>
              <w:rPr>
                <w:rFonts w:hint="eastAsia" w:ascii="Times New Roman" w:hAnsi="Times New Roman" w:eastAsia="方正仿宋_GBK"/>
                <w:sz w:val="24"/>
              </w:rPr>
              <w:t>推动城市治理能力现代化建设。</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lang w:eastAsia="zh-CN"/>
              </w:rPr>
            </w:pPr>
            <w:r>
              <w:rPr>
                <w:rFonts w:hint="eastAsia" w:ascii="Times New Roman" w:hAnsi="Times New Roman" w:eastAsia="方正仿宋_GBK"/>
                <w:sz w:val="24"/>
              </w:rPr>
              <w:t>主要技术创新包括：(1) 创建“CI-RKF - TMHM - OAPAR”方法体系，形成“检测-建模-解算”三位一体协同提升技术方案。(2) 构建遥感与AI融合保障多维数据智能解译的理论体系。(3) 提出星地协同增强城市全域动态感知的科学方法，建立AI驱动的星地协同DTTC体系。(</w:t>
            </w:r>
            <w:r>
              <w:rPr>
                <w:rFonts w:hint="eastAsia" w:ascii="Times New Roman" w:hAnsi="Times New Roman" w:eastAsia="方正仿宋_GBK"/>
                <w:sz w:val="24"/>
                <w:lang w:val="en-US" w:eastAsia="zh-CN"/>
              </w:rPr>
              <w:t>4</w:t>
            </w:r>
            <w:r>
              <w:rPr>
                <w:rFonts w:hint="eastAsia" w:ascii="Times New Roman" w:hAnsi="Times New Roman" w:eastAsia="方正仿宋_GBK"/>
                <w:sz w:val="24"/>
              </w:rPr>
              <w:t>)</w:t>
            </w:r>
            <w:r>
              <w:rPr>
                <w:rFonts w:hint="eastAsia" w:ascii="Times New Roman" w:hAnsi="Times New Roman" w:eastAsia="方正仿宋_GBK"/>
                <w:sz w:val="24"/>
                <w:lang w:val="en-US" w:eastAsia="zh-CN"/>
              </w:rPr>
              <w:t xml:space="preserve"> </w:t>
            </w:r>
            <w:r>
              <w:rPr>
                <w:rFonts w:hint="eastAsia" w:ascii="Times New Roman" w:hAnsi="Times New Roman" w:eastAsia="方正仿宋_GBK"/>
                <w:sz w:val="24"/>
              </w:rPr>
              <w:t>提出以时空AI技术为基础支撑的</w:t>
            </w:r>
            <w:r>
              <w:rPr>
                <w:rFonts w:hint="eastAsia" w:ascii="Times New Roman" w:hAnsi="Times New Roman" w:eastAsia="方正仿宋_GBK"/>
                <w:sz w:val="24"/>
                <w:lang w:eastAsia="zh-CN"/>
              </w:rPr>
              <w:t>“</w:t>
            </w:r>
            <w:r>
              <w:rPr>
                <w:rFonts w:hint="eastAsia" w:ascii="Times New Roman" w:hAnsi="Times New Roman" w:eastAsia="方正仿宋_GBK"/>
                <w:sz w:val="24"/>
              </w:rPr>
              <w:t>数实共生</w:t>
            </w:r>
            <w:r>
              <w:rPr>
                <w:rFonts w:hint="eastAsia" w:ascii="Times New Roman" w:hAnsi="Times New Roman" w:eastAsia="方正仿宋_GBK"/>
                <w:sz w:val="24"/>
                <w:lang w:eastAsia="zh-CN"/>
              </w:rPr>
              <w:t>”</w:t>
            </w:r>
            <w:r>
              <w:rPr>
                <w:rFonts w:hint="eastAsia" w:ascii="Times New Roman" w:hAnsi="Times New Roman" w:eastAsia="方正仿宋_GBK"/>
                <w:sz w:val="24"/>
              </w:rPr>
              <w:t>城市数字化治理平台框架</w:t>
            </w:r>
            <w:r>
              <w:rPr>
                <w:rFonts w:hint="eastAsia" w:ascii="Times New Roman" w:hAnsi="Times New Roman" w:eastAsia="方正仿宋_GBK"/>
                <w:sz w:val="24"/>
                <w:lang w:eastAsia="zh-CN"/>
              </w:rPr>
              <w:t>。</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c>
          <w:tcPr>
            <w:tcW w:w="1531"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1. 一种基于深度学习的图像光学文字识别方法、存储装置及服务器，中再云图技术有限公司，2024</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2. 一种流动商贩行为识别管理系统，中再云图技术有限公司，2024</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3. 地质灾害风险点监测与应急响应系统及方法，中国地质科学院探矿工艺研究所，2024</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4. 一种滑坡同孔深部位移和地下水位监测设备及监测方法，中国地质科学院探矿工艺研究所，2024</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5. 一种结合泥位监测和精细化地形测量的泥石流预警方法，中国地质科学院探矿工艺研究所，2022</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6. 一种基于太阳光反射光谱分析的多参数全自动水质分析仪，杭州高谱成像技术有限公司，2022</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7. 滑坡监测方法选择方法，中国地质科学院探矿工艺研究所，2020</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8. 一种高光谱相机辐射标定装置、方法及系统，杭州高谱成像技术有限公司，2020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11</w:t>
            </w:r>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贵金属纳米晶调控策略与光学传感应用</w:t>
            </w:r>
          </w:p>
        </w:tc>
        <w:tc>
          <w:tcPr>
            <w:tcW w:w="1596"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贵金属纳米探针调控与光学传感应用研究属于基金委“十四五”发展规划优先发展领域“多功能耦合的化学传感与成像”，契合国家重大战略需求。精准调控贵金属纳米晶的结构和光学性能对于提高传感器的灵敏度、特异性和实用性至关重要。本项目围绕基于贵金属纳米探针等离激元共振、光致发光和模拟酶催化性能的多功能调控实现高灵敏光学传感应用的核心科学问题：“微观结构—光学性能”的构效关系，形成了系统的研究方法和应用基础理论，对纳米探针的设计及传感应用具有重要的科学价值和指导意义。</w:t>
            </w:r>
          </w:p>
        </w:tc>
        <w:tc>
          <w:tcPr>
            <w:tcW w:w="1531" w:type="pct"/>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12</w:t>
            </w:r>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新兴电子信息材料磁电和拓扑物性的量子调控</w:t>
            </w:r>
          </w:p>
        </w:tc>
        <w:tc>
          <w:tcPr>
            <w:tcW w:w="1596"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磁性拓扑材料为新兴的拓扑磁电子学提供了材料载体和量子调控自由度，将显著提升信息存储和逻辑运算的效率，有望成为面向人工智能的下一代功能器件的重要基石。本项目紧密围绕可满足实用条件的高居里温度磁性拓扑材料的量子调控这一关键科学问题，系统地研究了新兴电子信息材料的磁电和拓扑物性，取得了一系列重要发现和突破性进展，5篇代表性论文和20篇SCI论文分别被SCI他引134次和524次，获得多位海内外著名专家学者的正面评价。</w:t>
            </w:r>
          </w:p>
        </w:tc>
        <w:tc>
          <w:tcPr>
            <w:tcW w:w="1531" w:type="pct"/>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13</w:t>
            </w:r>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复杂系统的有限时间控制理论与方法</w:t>
            </w:r>
          </w:p>
        </w:tc>
        <w:tc>
          <w:tcPr>
            <w:tcW w:w="1596"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本项目针对传统有限时间控制理论在不确定性系统分析中的局限性，创新性构建了复杂动态系统的有限时间同步控制框架，主要取得以下突破：（1）揭示了复杂系统在同时受到Markov切换和脉冲不确定性影响下实现有限时间同步的内在机理；（2）首次实现复杂网络在均值不为零的随机向量干扰下的有限时间同步，提出了最优分析方法揭示最短停息时间与系统参数的关系；（3）解决了时滞非线性系统的有限时间稳定及控制开问题，建立了完整的时滞忆阻神经网络有限时间同步理论。</w:t>
            </w:r>
          </w:p>
        </w:tc>
        <w:tc>
          <w:tcPr>
            <w:tcW w:w="1531" w:type="pct"/>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14</w:t>
            </w:r>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毒蛇破眠养殖与中药功能成分定向挖掘和制备技术体系</w:t>
            </w:r>
          </w:p>
        </w:tc>
        <w:tc>
          <w:tcPr>
            <w:tcW w:w="1596"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该项目从1998年至今，针对6种毒蛇药材、7种治疗蛇伤的中药材和鸡卵黄抗蛇毒抗体IgY进行了系统性研究。首次建立了养殖毒蛇“破眠”定向技术体系，该成果被国家林草总局采用推广，让万多家养殖企业产 生数百亿元效益；首次建立了毒蛇功能成分定向挖掘技术体系，满足了3种上市药物所需的蛇毒原料需求和中成药所需的蛇胆等原料需求，让企业产生几十亿元济效益；从蛇毒中识 别出100 多种药效成分，弄清了其作用靶点和机制，为开发溶栓药和镇痛药奠定了基础；首次从抗蛇毒中药材中识别出了大量的药效成分，解析其作用靶点和机制，为毒蛇药材和抗蛇毒中药材的标准制定、炮制、应用 提供了科学依据。从鸡卵黄制备抗蛇毒抗体，克服马抗蛇毒血清的缺点，给研发便宜蛇 伤药物奠定了基础。发展了数种蛇伤救治方法，年培训基层医生数千人(包括柬埔寨、 老挝等)。总之，该项目产生了良好的科学、社会和经济价值。从鸡卵黄制备抗蛇毒抗体，克服马抗蛇毒血清的缺点，给研发便宜蛇 伤药物奠定了基础。4）发展了数种蛇伤救治方法，年培训基层医生数千人(包括柬埔寨、 老挝等)。</w:t>
            </w:r>
          </w:p>
        </w:tc>
        <w:tc>
          <w:tcPr>
            <w:tcW w:w="1531"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国家林草局采用本项目技术成果推广应用的成果入库号（</w:t>
            </w:r>
            <w:r>
              <w:rPr>
                <w:rFonts w:hint="default" w:ascii="Times New Roman" w:hAnsi="Times New Roman" w:eastAsia="方正仿宋_GBK"/>
                <w:sz w:val="24"/>
              </w:rPr>
              <w:t>19120040</w:t>
            </w:r>
            <w:r>
              <w:rPr>
                <w:rFonts w:hint="eastAsia" w:ascii="Times New Roman" w:hAnsi="Times New Roman" w:eastAsia="方正仿宋_GBK"/>
                <w:sz w:val="24"/>
              </w:rPr>
              <w:t xml:space="preserve">）证明 </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eastAsia="方正仿宋_GBK"/>
                <w:sz w:val="24"/>
              </w:rPr>
            </w:pPr>
            <w:r>
              <w:rPr>
                <w:rFonts w:hint="default" w:ascii="Times New Roman" w:hAnsi="Times New Roman" w:eastAsia="方正仿宋_GBK"/>
                <w:sz w:val="24"/>
              </w:rPr>
              <w:t xml:space="preserve">11 </w:t>
            </w:r>
            <w:r>
              <w:rPr>
                <w:rFonts w:hint="eastAsia" w:ascii="Times New Roman" w:hAnsi="Times New Roman" w:eastAsia="方正仿宋_GBK"/>
                <w:sz w:val="24"/>
              </w:rPr>
              <w:t>个授权专利证书</w:t>
            </w:r>
            <w:r>
              <w:rPr>
                <w:rFonts w:hint="eastAsia" w:ascii="Times New Roman" w:hAnsi="Times New Roman" w:eastAsia="方正仿宋_GBK"/>
                <w:sz w:val="24"/>
                <w:lang w:eastAsia="zh-CN"/>
              </w:rPr>
              <w:t>（</w:t>
            </w:r>
            <w:r>
              <w:rPr>
                <w:rFonts w:hint="eastAsia" w:ascii="Times New Roman" w:hAnsi="Times New Roman" w:eastAsia="方正仿宋_GBK"/>
                <w:sz w:val="24"/>
                <w:lang w:val="en-US" w:eastAsia="zh-CN"/>
              </w:rPr>
              <w:t>6项发明专利，5项实用新型专利）</w:t>
            </w:r>
            <w:r>
              <w:rPr>
                <w:rFonts w:hint="default" w:ascii="Times New Roman" w:hAnsi="Times New Roman" w:eastAsia="方正仿宋_GBK"/>
                <w:sz w:val="24"/>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eastAsia="方正仿宋_GBK"/>
                <w:sz w:val="24"/>
              </w:rPr>
            </w:pPr>
            <w:r>
              <w:rPr>
                <w:rFonts w:hint="eastAsia" w:ascii="Times New Roman" w:hAnsi="Times New Roman" w:eastAsia="方正仿宋_GBK"/>
                <w:sz w:val="24"/>
              </w:rPr>
              <w:t>项目团队的论文</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eastAsia="方正仿宋_GBK"/>
                <w:sz w:val="24"/>
                <w:lang w:val="en-US" w:eastAsia="zh-CN"/>
              </w:rPr>
            </w:pPr>
            <w:r>
              <w:rPr>
                <w:rFonts w:hint="default" w:ascii="Times New Roman" w:hAnsi="Times New Roman" w:eastAsia="方正仿宋_GBK"/>
                <w:sz w:val="24"/>
              </w:rPr>
              <w:t xml:space="preserve"> A. </w:t>
            </w:r>
            <w:r>
              <w:rPr>
                <w:rFonts w:hint="eastAsia" w:ascii="Times New Roman" w:hAnsi="Times New Roman" w:eastAsia="方正仿宋_GBK"/>
                <w:sz w:val="24"/>
              </w:rPr>
              <w:t>该项目有关毒蛇和草药的主要论文</w:t>
            </w:r>
            <w:r>
              <w:rPr>
                <w:rFonts w:hint="eastAsia" w:ascii="Times New Roman" w:hAnsi="Times New Roman" w:eastAsia="方正仿宋_GBK"/>
                <w:sz w:val="24"/>
                <w:lang w:eastAsia="zh-CN"/>
              </w:rPr>
              <w:t>（</w:t>
            </w:r>
            <w:r>
              <w:rPr>
                <w:rFonts w:hint="eastAsia" w:ascii="Times New Roman" w:hAnsi="Times New Roman" w:eastAsia="方正仿宋_GBK"/>
                <w:sz w:val="24"/>
                <w:lang w:val="en-US" w:eastAsia="zh-CN"/>
              </w:rPr>
              <w:t>70余篇）</w:t>
            </w:r>
          </w:p>
          <w:p>
            <w:pPr>
              <w:keepNext w:val="0"/>
              <w:keepLines w:val="0"/>
              <w:pageBreakBefore w:val="0"/>
              <w:kinsoku/>
              <w:wordWrap/>
              <w:overflowPunct/>
              <w:topLinePunct w:val="0"/>
              <w:autoSpaceDE/>
              <w:autoSpaceDN/>
              <w:bidi w:val="0"/>
              <w:adjustRightInd/>
              <w:snapToGrid/>
              <w:spacing w:line="400" w:lineRule="exact"/>
              <w:textAlignment w:val="auto"/>
              <w:rPr>
                <w:rFonts w:hint="default" w:ascii="Times New Roman" w:hAnsi="Times New Roman" w:eastAsia="方正仿宋_GBK"/>
                <w:sz w:val="24"/>
              </w:rPr>
            </w:pPr>
            <w:r>
              <w:rPr>
                <w:rFonts w:hint="default" w:ascii="Times New Roman" w:hAnsi="Times New Roman" w:eastAsia="方正仿宋_GBK"/>
                <w:sz w:val="24"/>
              </w:rPr>
              <w:t xml:space="preserve"> B. </w:t>
            </w:r>
            <w:r>
              <w:rPr>
                <w:rFonts w:hint="eastAsia" w:ascii="Times New Roman" w:hAnsi="Times New Roman" w:eastAsia="方正仿宋_GBK"/>
                <w:sz w:val="24"/>
              </w:rPr>
              <w:t>该项目有关毒蛇和草药的代表性的重要论文</w:t>
            </w:r>
            <w:r>
              <w:rPr>
                <w:rFonts w:hint="eastAsia" w:ascii="Times New Roman" w:hAnsi="Times New Roman" w:eastAsia="方正仿宋_GBK"/>
                <w:sz w:val="24"/>
                <w:lang w:eastAsia="zh-CN"/>
              </w:rPr>
              <w:t>（</w:t>
            </w:r>
            <w:r>
              <w:rPr>
                <w:rFonts w:hint="eastAsia" w:ascii="Times New Roman" w:hAnsi="Times New Roman" w:eastAsia="方正仿宋_GBK"/>
                <w:sz w:val="24"/>
                <w:lang w:val="en-US" w:eastAsia="zh-CN"/>
              </w:rPr>
              <w:t>11篇）</w:t>
            </w:r>
            <w:r>
              <w:rPr>
                <w:rFonts w:hint="default" w:ascii="Times New Roman" w:hAnsi="Times New Roman" w:eastAsia="方正仿宋_GBK"/>
                <w:sz w:val="24"/>
              </w:rPr>
              <w:t xml:space="preserve"> </w:t>
            </w:r>
          </w:p>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default" w:ascii="Times New Roman" w:hAnsi="Times New Roman" w:eastAsia="方正仿宋_GBK"/>
                <w:sz w:val="24"/>
              </w:rPr>
              <w:t xml:space="preserve"> </w:t>
            </w:r>
            <w:r>
              <w:rPr>
                <w:rFonts w:hint="eastAsia" w:ascii="Times New Roman" w:hAnsi="Times New Roman" w:eastAsia="方正仿宋_GBK"/>
                <w:sz w:val="24"/>
              </w:rPr>
              <w:t>学术专著</w:t>
            </w:r>
            <w:r>
              <w:rPr>
                <w:rFonts w:hint="eastAsia" w:ascii="Times New Roman" w:hAnsi="Times New Roman" w:eastAsia="方正仿宋_GBK"/>
                <w:sz w:val="24"/>
                <w:lang w:val="en-US" w:eastAsia="zh-CN"/>
              </w:rPr>
              <w:t>1部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15</w:t>
            </w:r>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sz w:val="24"/>
              </w:rPr>
            </w:pPr>
            <w:r>
              <w:rPr>
                <w:rFonts w:hint="eastAsia" w:ascii="Times New Roman" w:hAnsi="Times New Roman" w:eastAsia="方正仿宋_GBK"/>
                <w:sz w:val="24"/>
              </w:rPr>
              <w:t>磷基催化剂材料电子结构及形貌调控方法与机制</w:t>
            </w:r>
          </w:p>
        </w:tc>
        <w:tc>
          <w:tcPr>
            <w:tcW w:w="1596"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r>
              <w:rPr>
                <w:rFonts w:hint="eastAsia" w:ascii="Times New Roman" w:hAnsi="Times New Roman" w:eastAsia="方正仿宋_GBK"/>
                <w:sz w:val="24"/>
              </w:rPr>
              <w:t>本项目聚焦磷基催化剂电子结构及形貌调控方法与机制，提出了富磷化新思想提升磷基催化剂的活性位点、发展了精准调控电子结构降低析氢能垒的新思路提升磷基催化剂的本征活性、开发了三维自支撑调控催化剂形貌的新策略全面提升电荷传输特性，实现了磷基催化剂析氢性能的大幅提高，为寻求水分解制氢节能新途径提供理论基础和实验依据。本项目对于开发低成本高析氢催化材料具有重要科学价值，其产业化推进将助力重庆市氢能源产业发展。</w:t>
            </w:r>
          </w:p>
        </w:tc>
        <w:tc>
          <w:tcPr>
            <w:tcW w:w="1531" w:type="pct"/>
          </w:tcPr>
          <w:p>
            <w:pPr>
              <w:keepNext w:val="0"/>
              <w:keepLines w:val="0"/>
              <w:pageBreakBefore w:val="0"/>
              <w:kinsoku/>
              <w:wordWrap/>
              <w:overflowPunct/>
              <w:topLinePunct w:val="0"/>
              <w:autoSpaceDE/>
              <w:autoSpaceDN/>
              <w:bidi w:val="0"/>
              <w:adjustRightInd/>
              <w:snapToGrid/>
              <w:spacing w:line="400" w:lineRule="exact"/>
              <w:textAlignment w:val="auto"/>
              <w:rPr>
                <w:rFonts w:hint="eastAsia"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16</w:t>
            </w:r>
          </w:p>
        </w:tc>
        <w:tc>
          <w:tcPr>
            <w:tcW w:w="1449" w:type="pct"/>
            <w:vAlign w:val="center"/>
          </w:tcPr>
          <w:p>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cs="方正仿宋_GBK"/>
                <w:sz w:val="24"/>
                <w:szCs w:val="21"/>
              </w:rPr>
            </w:pPr>
            <w:r>
              <w:rPr>
                <w:rFonts w:hint="default" w:ascii="Times New Roman" w:hAnsi="Times New Roman" w:eastAsia="方正仿宋_GBK"/>
                <w:sz w:val="24"/>
                <w:lang w:val="en-US" w:eastAsia="zh-CN"/>
              </w:rPr>
              <w:t>共振与非共振动力系统的光滑线性化</w:t>
            </w:r>
          </w:p>
        </w:tc>
        <w:tc>
          <w:tcPr>
            <w:tcW w:w="1596"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rPr>
            </w:pPr>
            <w:r>
              <w:rPr>
                <w:rFonts w:hint="eastAsia" w:ascii="Times New Roman" w:hAnsi="Times New Roman" w:eastAsia="方正仿宋_GBK"/>
                <w:sz w:val="24"/>
                <w:lang w:val="en-US" w:eastAsia="zh-CN"/>
              </w:rPr>
              <w:t>该项目属于基础数学的常微分方程定性理论与微分动力系统领域，研究</w:t>
            </w:r>
            <w:r>
              <w:rPr>
                <w:rFonts w:hint="default" w:ascii="Times New Roman" w:hAnsi="Times New Roman" w:eastAsia="方正仿宋_GBK"/>
                <w:sz w:val="24"/>
                <w:lang w:val="en-US" w:eastAsia="zh-CN"/>
              </w:rPr>
              <w:t>线性化</w:t>
            </w:r>
            <w:r>
              <w:rPr>
                <w:rFonts w:hint="eastAsia" w:ascii="Times New Roman" w:hAnsi="Times New Roman" w:eastAsia="方正仿宋_GBK"/>
                <w:sz w:val="24"/>
                <w:lang w:val="en-US" w:eastAsia="zh-CN"/>
              </w:rPr>
              <w:t>问题。该问题</w:t>
            </w:r>
            <w:r>
              <w:rPr>
                <w:rFonts w:hint="default" w:ascii="Times New Roman" w:hAnsi="Times New Roman" w:eastAsia="方正仿宋_GBK"/>
                <w:sz w:val="24"/>
                <w:lang w:val="en-US" w:eastAsia="zh-CN"/>
              </w:rPr>
              <w:t>长期以来吸引了美国国家科学院院士Sternberg</w:t>
            </w:r>
            <w:r>
              <w:rPr>
                <w:rFonts w:hint="eastAsia" w:ascii="Times New Roman" w:hAnsi="Times New Roman" w:eastAsia="方正仿宋_GBK"/>
                <w:sz w:val="24"/>
                <w:lang w:val="en-US" w:eastAsia="zh-CN"/>
              </w:rPr>
              <w:t>和多位</w:t>
            </w:r>
            <w:r>
              <w:rPr>
                <w:rFonts w:hint="default" w:ascii="Times New Roman" w:hAnsi="Times New Roman" w:eastAsia="方正仿宋_GBK"/>
                <w:sz w:val="24"/>
                <w:lang w:val="en-US" w:eastAsia="zh-CN"/>
              </w:rPr>
              <w:t>国际数学家大会邀请报告人的广泛关注。</w:t>
            </w:r>
            <w:r>
              <w:rPr>
                <w:rFonts w:hint="eastAsia" w:ascii="Times New Roman" w:hAnsi="Times New Roman" w:eastAsia="方正仿宋_GBK"/>
                <w:sz w:val="24"/>
                <w:lang w:val="en-US" w:eastAsia="zh-CN"/>
              </w:rPr>
              <w:t>该</w:t>
            </w:r>
            <w:r>
              <w:rPr>
                <w:rFonts w:hint="default" w:ascii="Times New Roman" w:hAnsi="Times New Roman" w:eastAsia="方正仿宋_GBK"/>
                <w:sz w:val="24"/>
                <w:lang w:val="en-US" w:eastAsia="zh-CN"/>
              </w:rPr>
              <w:t>项目对可微线性化取得</w:t>
            </w:r>
            <w:r>
              <w:rPr>
                <w:rFonts w:hint="eastAsia" w:ascii="Times New Roman" w:hAnsi="Times New Roman" w:eastAsia="方正仿宋_GBK"/>
                <w:sz w:val="24"/>
                <w:lang w:val="en-US" w:eastAsia="zh-CN"/>
              </w:rPr>
              <w:t>突破</w:t>
            </w:r>
            <w:r>
              <w:rPr>
                <w:rFonts w:hint="default" w:ascii="Times New Roman" w:hAnsi="Times New Roman" w:eastAsia="方正仿宋_GBK"/>
                <w:sz w:val="24"/>
                <w:lang w:val="en-US" w:eastAsia="zh-CN"/>
              </w:rPr>
              <w:t>，解决上世纪90年代提出的公开问题，推动Onsager-Machlup泛函等研究的发展。成果得到以色列本古里安大学Belitskii和西班牙巴塞罗那大学Fontich等著名学者的引用和肯定，发表在Proc. London Math. Soc.、Adv. Math.（2篇）、Trans. Amer. Math. Soc.、J. Differ. Eq.，受国家自然科学基金重点和优青项目资助。</w:t>
            </w: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方正仿宋_GBK"/>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9" w:hRule="atLeast"/>
        </w:trPr>
        <w:tc>
          <w:tcPr>
            <w:tcW w:w="421"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default" w:ascii="Times New Roman" w:hAnsi="Times New Roman" w:eastAsia="方正仿宋_GBK"/>
                <w:sz w:val="24"/>
                <w:szCs w:val="36"/>
                <w:lang w:val="en-US" w:eastAsia="zh-CN"/>
              </w:rPr>
            </w:pPr>
            <w:r>
              <w:rPr>
                <w:rFonts w:hint="eastAsia" w:ascii="Times New Roman" w:hAnsi="Times New Roman" w:eastAsia="方正仿宋_GBK"/>
                <w:sz w:val="24"/>
                <w:szCs w:val="36"/>
                <w:lang w:val="en-US" w:eastAsia="zh-CN"/>
              </w:rPr>
              <w:t>17</w:t>
            </w:r>
            <w:bookmarkStart w:id="0" w:name="_GoBack"/>
            <w:bookmarkEnd w:id="0"/>
          </w:p>
        </w:tc>
        <w:tc>
          <w:tcPr>
            <w:tcW w:w="1449" w:type="pct"/>
            <w:vAlign w:val="center"/>
          </w:tcPr>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Times New Roman" w:hAnsi="Times New Roman" w:eastAsia="方正仿宋_GBK" w:cs="方正仿宋_GBK"/>
                <w:sz w:val="24"/>
                <w:szCs w:val="21"/>
              </w:rPr>
            </w:pPr>
            <w:r>
              <w:rPr>
                <w:rFonts w:hint="eastAsia" w:ascii="Times New Roman" w:hAnsi="Times New Roman" w:eastAsia="方正仿宋_GBK"/>
                <w:sz w:val="24"/>
                <w:vertAlign w:val="baseline"/>
                <w:lang w:val="en-US" w:eastAsia="zh-CN"/>
              </w:rPr>
              <w:t>功能薄膜与器件的电荷传输及光电磁特性研究</w:t>
            </w:r>
          </w:p>
        </w:tc>
        <w:tc>
          <w:tcPr>
            <w:tcW w:w="1596" w:type="pct"/>
            <w:vAlign w:val="top"/>
          </w:tcPr>
          <w:p>
            <w:pPr>
              <w:keepNext w:val="0"/>
              <w:keepLines w:val="0"/>
              <w:pageBreakBefore w:val="0"/>
              <w:kinsoku/>
              <w:wordWrap/>
              <w:overflowPunct/>
              <w:topLinePunct w:val="0"/>
              <w:autoSpaceDE/>
              <w:autoSpaceDN/>
              <w:bidi w:val="0"/>
              <w:adjustRightInd/>
              <w:snapToGrid/>
              <w:spacing w:line="400" w:lineRule="exact"/>
              <w:textAlignment w:val="auto"/>
              <w:rPr>
                <w:rFonts w:ascii="Times New Roman" w:hAnsi="Times New Roman" w:eastAsia="方正仿宋_GBK"/>
                <w:sz w:val="24"/>
              </w:rPr>
            </w:pPr>
            <w:r>
              <w:rPr>
                <w:rFonts w:hint="default" w:ascii="Times New Roman" w:hAnsi="Times New Roman" w:eastAsia="方正仿宋_GBK"/>
                <w:sz w:val="24"/>
                <w:vertAlign w:val="baseline"/>
              </w:rPr>
              <w:t>本项目面向国家能源结构转型战略和新型显示产业升级重大需求，针对功能薄膜与器件的电荷传输性质及光电磁性能这一关键科学问题，在二维钙钛矿异质结和有机发光器件的微观机理与性能调控方面取得系统性突破。本项目首次在国际上实现了二维钙钛矿异质结中电荷转移激子动力学的多维度解析，通过建立激子调控理论体系，揭示了微腔效应诱导的激子态演变规律，攻克了高能态激子能量损耗的关键技术难题，成功研制出国际领先的光电器件。研究成果为新一代高效稳定器件和超高清显示技术研发提供了理论依据和技术支撑，对推动可再生能源产业化进程和新型显示技术升级具有重要战略意义。</w:t>
            </w:r>
          </w:p>
        </w:tc>
        <w:tc>
          <w:tcPr>
            <w:tcW w:w="1531" w:type="pct"/>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ascii="Times New Roman" w:hAnsi="Times New Roman" w:eastAsia="方正仿宋_GBK"/>
                <w:sz w:val="24"/>
              </w:rPr>
            </w:pP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ascii="Times New Roman" w:hAnsi="Times New Roman" w:eastAsia="方正仿宋_GBK"/>
          <w:sz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YTYxM2Y1YzU3NTExOWM1MThhNDc2ZGM0OGU3ODkifQ=="/>
    <w:docVar w:name="KSO_WPS_MARK_KEY" w:val="512b9e77-4d13-4205-8f4a-12724b98a368"/>
  </w:docVars>
  <w:rsids>
    <w:rsidRoot w:val="5638109A"/>
    <w:rsid w:val="000E76B2"/>
    <w:rsid w:val="006D069F"/>
    <w:rsid w:val="00F836BA"/>
    <w:rsid w:val="0958005D"/>
    <w:rsid w:val="09C92F7C"/>
    <w:rsid w:val="0D562B05"/>
    <w:rsid w:val="19167C1E"/>
    <w:rsid w:val="1ABD41C4"/>
    <w:rsid w:val="1FC3402A"/>
    <w:rsid w:val="23700741"/>
    <w:rsid w:val="29D55086"/>
    <w:rsid w:val="29E56CC6"/>
    <w:rsid w:val="2DB66A10"/>
    <w:rsid w:val="322841C1"/>
    <w:rsid w:val="328A09D8"/>
    <w:rsid w:val="3C25577F"/>
    <w:rsid w:val="3C764149"/>
    <w:rsid w:val="41BE1E20"/>
    <w:rsid w:val="43C80AEC"/>
    <w:rsid w:val="4C156C49"/>
    <w:rsid w:val="5638109A"/>
    <w:rsid w:val="5CDC1CAC"/>
    <w:rsid w:val="62902166"/>
    <w:rsid w:val="63D423DB"/>
    <w:rsid w:val="69CC3811"/>
    <w:rsid w:val="6B881251"/>
    <w:rsid w:val="6C4B4758"/>
    <w:rsid w:val="6DF85AAD"/>
    <w:rsid w:val="7940316B"/>
    <w:rsid w:val="7AD33F99"/>
    <w:rsid w:val="7AFB78A1"/>
    <w:rsid w:val="7E841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p0"/>
    <w:basedOn w:val="1"/>
    <w:qFormat/>
    <w:uiPriority w:val="0"/>
    <w:pPr>
      <w:widowControl/>
    </w:pPr>
    <w:rPr>
      <w:rFonts w:ascii="Times New Roman" w:hAnsi="Times New Roman" w:eastAsia="宋体" w:cs="Times New Roman"/>
      <w:kern w:val="0"/>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21</Pages>
  <Words>4895</Words>
  <Characters>5324</Characters>
  <Lines>1</Lines>
  <Paragraphs>1</Paragraphs>
  <TotalTime>30</TotalTime>
  <ScaleCrop>false</ScaleCrop>
  <LinksUpToDate>false</LinksUpToDate>
  <CharactersWithSpaces>5386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2023-03-31T01:54:00Z</dcterms:created>
  <dc:creator>LLLL</dc:creator>
  <cp:lastModifiedBy>麓殇i</cp:lastModifiedBy>
  <dcterms:modified xsi:type="dcterms:W3CDTF">2025-02-18T01:55:49Z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BDC8A02CA4AA49368C5638DED23950DE</vt:lpwstr>
  </property>
  <property fmtid="{D5CDD505-2E9C-101B-9397-08002B2CF9AE}" pid="4" name="KSOTemplateDocerSaveRecord">
    <vt:lpwstr>eyJoZGlkIjoiZmVmYzczNDE5ZGU1ZTkyYjk1NThmMTExNjE2MmFjYWQifQ==</vt:lpwstr>
  </property>
</Properties>
</file>