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Times New Roman" w:hAnsi="Times New Roman" w:eastAsia="方正黑体_GBK" w:cs="Times New Roman"/>
          <w:sz w:val="32"/>
          <w:szCs w:val="32"/>
          <w:lang w:val="en-US" w:eastAsia="zh-CN"/>
        </w:rPr>
      </w:pPr>
      <w:r>
        <w:rPr>
          <w:rFonts w:hint="eastAsia" w:ascii="方正黑体_GBK" w:hAnsi="Times New Roman" w:eastAsia="方正黑体_GBK" w:cs="Times New Roman"/>
          <w:sz w:val="32"/>
          <w:szCs w:val="32"/>
        </w:rPr>
        <w:t>附件</w:t>
      </w:r>
      <w:r>
        <w:rPr>
          <w:rFonts w:hint="eastAsia" w:ascii="方正黑体_GBK" w:hAnsi="Times New Roman" w:eastAsia="方正黑体_GBK" w:cs="Times New Roman"/>
          <w:sz w:val="32"/>
          <w:szCs w:val="32"/>
          <w:lang w:val="en-US" w:eastAsia="zh-CN"/>
        </w:rPr>
        <w:t>2</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招收单位简介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color w:val="000000"/>
          <w:kern w:val="0"/>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color w:val="000000"/>
          <w:kern w:val="0"/>
          <w:sz w:val="32"/>
          <w:szCs w:val="32"/>
          <w:lang w:val="en-US" w:eastAsia="zh-CN"/>
        </w:rPr>
      </w:pPr>
      <w:r>
        <w:rPr>
          <w:rFonts w:hint="eastAsia" w:ascii="方正黑体_GBK" w:hAnsi="方正黑体_GBK" w:eastAsia="方正黑体_GBK" w:cs="方正黑体_GBK"/>
          <w:color w:val="000000"/>
          <w:kern w:val="0"/>
          <w:sz w:val="32"/>
          <w:szCs w:val="32"/>
          <w:lang w:val="en-US" w:eastAsia="zh-CN"/>
        </w:rPr>
        <w:t>一、联合微电子中心有限责任公司</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color w:val="000000"/>
          <w:kern w:val="0"/>
          <w:sz w:val="32"/>
          <w:szCs w:val="32"/>
          <w:lang w:val="en-US" w:eastAsia="zh-CN"/>
        </w:rPr>
        <w:t>联合微电子中心有限责任公司（CUMEC）是重庆市政府倾力打造的国家级国际化新型研发机构，于2018年10月注册成立，首期投资超30亿元。CUMEC公司针对国家微电子行业高端发展需求，着力打造集技术、产品和工艺为一体的光电融合高端特色工艺平台，以硅基光电子、智能传感、高端特色工艺、微系统先进封装工艺等工艺技术和产品技术为核心，聚焦“后摩尔时代”世界集成电路发展主流趋势，探索“超越摩尔”的行业发展模式，汇聚海内外一流集成电路人才，打造国际一流的集成电路研发中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color w:val="000000"/>
          <w:kern w:val="0"/>
          <w:sz w:val="32"/>
          <w:szCs w:val="32"/>
          <w:lang w:val="en-US" w:eastAsia="zh-CN"/>
        </w:rPr>
      </w:pPr>
      <w:r>
        <w:rPr>
          <w:rFonts w:hint="eastAsia" w:ascii="方正黑体_GBK" w:hAnsi="方正黑体_GBK" w:eastAsia="方正黑体_GBK" w:cs="方正黑体_GBK"/>
          <w:color w:val="000000"/>
          <w:kern w:val="0"/>
          <w:sz w:val="32"/>
          <w:szCs w:val="32"/>
          <w:lang w:val="en-US" w:eastAsia="zh-CN"/>
        </w:rPr>
        <w:t>二、重庆大学产业技术研究院</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color w:val="000000"/>
          <w:kern w:val="0"/>
          <w:sz w:val="32"/>
          <w:szCs w:val="32"/>
          <w:lang w:val="en-US" w:eastAsia="zh-CN"/>
        </w:rPr>
      </w:pPr>
      <w:r>
        <w:rPr>
          <w:rFonts w:hint="eastAsia" w:ascii="Times New Roman" w:hAnsi="Times New Roman" w:eastAsia="方正仿宋_GBK" w:cs="Times New Roman"/>
          <w:color w:val="000000"/>
          <w:kern w:val="0"/>
          <w:sz w:val="32"/>
          <w:szCs w:val="32"/>
          <w:lang w:val="en-US" w:eastAsia="zh-CN"/>
        </w:rPr>
        <w:t>重庆大学产业技术研究院是重庆大学与重庆高新技术产业开发区管理委员会合作共建的具有独立法人资格的新型科研事业单位，旨在集聚创新要素资源，紧扣地方产业需求，促进成果转移转化，构建协同创新生态，服务经济社会发展。产研院已在智慧城市、智能制造、低碳环保、生命健康等产业领域建立了10余个专业研究中心，孵化成立了30余家优质科技型企业，牵头发起成立重庆市新型研发机构专家决策咨询委员会，顺利当选重庆高新区研发创新平台发展联盟首届理事长单位，社会影响力和示范带动效应日益提升。</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color w:val="000000"/>
          <w:kern w:val="0"/>
          <w:sz w:val="32"/>
          <w:szCs w:val="32"/>
          <w:lang w:val="en-US" w:eastAsia="zh-CN"/>
        </w:rPr>
      </w:pPr>
      <w:r>
        <w:rPr>
          <w:rFonts w:hint="eastAsia" w:ascii="方正黑体_GBK" w:hAnsi="方正黑体_GBK" w:eastAsia="方正黑体_GBK" w:cs="方正黑体_GBK"/>
          <w:color w:val="000000"/>
          <w:kern w:val="0"/>
          <w:sz w:val="32"/>
          <w:szCs w:val="32"/>
          <w:lang w:val="en-US" w:eastAsia="zh-CN"/>
        </w:rPr>
        <w:t>三、华润微电子（重庆）有限公司</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color w:val="000000"/>
          <w:kern w:val="0"/>
          <w:sz w:val="32"/>
          <w:szCs w:val="32"/>
          <w:lang w:val="en-US" w:eastAsia="zh-CN"/>
        </w:rPr>
      </w:pPr>
      <w:r>
        <w:rPr>
          <w:rFonts w:hint="default" w:ascii="Times New Roman" w:hAnsi="Times New Roman" w:eastAsia="方正仿宋_GBK" w:cs="Times New Roman"/>
          <w:color w:val="000000"/>
          <w:kern w:val="0"/>
          <w:sz w:val="32"/>
          <w:szCs w:val="32"/>
          <w:lang w:val="en-US" w:eastAsia="zh-CN"/>
        </w:rPr>
        <w:t>华润微电子（重庆）有限公司是一家集</w:t>
      </w:r>
      <w:r>
        <w:rPr>
          <w:rFonts w:hint="eastAsia" w:ascii="Times New Roman" w:hAnsi="Times New Roman" w:eastAsia="方正仿宋_GBK" w:cs="Times New Roman"/>
          <w:color w:val="000000"/>
          <w:kern w:val="0"/>
          <w:sz w:val="32"/>
          <w:szCs w:val="32"/>
          <w:lang w:val="en-US" w:eastAsia="zh-CN"/>
        </w:rPr>
        <w:t>半导体研发、设计、制造与服务一体化的产品公司。公司先后获得“国家高新技术企业”“中央企业先进集体”“重庆市功率半导体技术创新中心”“重庆市企业技术中心”等荣誉资质。公司聚焦功率半导体领域，致力于打造中国最大的功率半导体产业基地。公司以功率半导体器件、功率/模拟集成电路为产业基础，面向工业电子、消费电子、汽车电子、5G通讯市场。具备功率器件、GaN、MEMS传感器等技术开发和制造平台，并可提供高可靠性功率器件、模块等产品和方案。公司开发的低压、中压和高压功率器件产品，可广泛应用于电动车、太阳能，汽车电子、手机快充、白色家电、通用开关电源等行业。公司拥有国内第一条全内资8吋专注功率器件晶圆生产线，月产能5.5万片，工艺能力达到0.18微米，制造规模及工艺能力居国内领先水平。</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color w:val="000000"/>
          <w:kern w:val="0"/>
          <w:sz w:val="32"/>
          <w:szCs w:val="32"/>
          <w:lang w:val="en-US" w:eastAsia="zh-CN"/>
        </w:rPr>
      </w:pPr>
      <w:r>
        <w:rPr>
          <w:rFonts w:hint="eastAsia" w:ascii="方正黑体_GBK" w:hAnsi="方正黑体_GBK" w:eastAsia="方正黑体_GBK" w:cs="方正黑体_GBK"/>
          <w:color w:val="000000"/>
          <w:kern w:val="0"/>
          <w:sz w:val="32"/>
          <w:szCs w:val="32"/>
          <w:lang w:val="en-US" w:eastAsia="zh-CN"/>
        </w:rPr>
        <w:t>四、</w:t>
      </w:r>
      <w:r>
        <w:rPr>
          <w:rFonts w:hint="default" w:ascii="方正黑体_GBK" w:hAnsi="方正黑体_GBK" w:eastAsia="方正黑体_GBK" w:cs="方正黑体_GBK"/>
          <w:color w:val="000000"/>
          <w:kern w:val="0"/>
          <w:sz w:val="32"/>
          <w:szCs w:val="32"/>
          <w:lang w:val="en-US" w:eastAsia="zh-CN"/>
        </w:rPr>
        <w:t>重庆杰品科技股份有限公司</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仿宋_GBK" w:cs="Times New Roman"/>
          <w:color w:val="000000"/>
          <w:kern w:val="0"/>
          <w:sz w:val="32"/>
          <w:szCs w:val="32"/>
          <w:lang w:val="en-US" w:eastAsia="zh-CN"/>
        </w:rPr>
        <w:t>重庆杰品科技股份有限公司是一家以科技为本，研发与生产并重的国家级高新技术企业，注册资金为5000万元。公司前身是重庆杰信模具股份有限公司，由重庆大学教授、博士生导师周杰先生于2000年8月创建，2013年2月由同一法人代表控制下的重庆杰品科技有限公司股改后吸收合并，成立了重庆杰品科技股份有限公司，周杰教授为公司法人代表，任董事长；目前公司拥有7个合资合作公司，5个事业部，是重庆股权交易中心挂牌上市企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color w:val="000000"/>
          <w:kern w:val="0"/>
          <w:sz w:val="32"/>
          <w:szCs w:val="32"/>
          <w:lang w:val="en-US" w:eastAsia="zh-CN"/>
        </w:rPr>
      </w:pPr>
      <w:r>
        <w:rPr>
          <w:rFonts w:hint="eastAsia" w:ascii="方正黑体_GBK" w:hAnsi="方正黑体_GBK" w:eastAsia="方正黑体_GBK" w:cs="方正黑体_GBK"/>
          <w:color w:val="000000"/>
          <w:kern w:val="0"/>
          <w:sz w:val="32"/>
          <w:szCs w:val="32"/>
          <w:lang w:val="en-US" w:eastAsia="zh-CN"/>
        </w:rPr>
        <w:t>五、电子科技大学重庆微电子产业技术研究院</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color w:val="000000"/>
          <w:kern w:val="0"/>
          <w:sz w:val="32"/>
          <w:szCs w:val="32"/>
          <w:lang w:val="en-US" w:eastAsia="zh-CN"/>
        </w:rPr>
      </w:pPr>
      <w:r>
        <w:rPr>
          <w:rFonts w:hint="eastAsia" w:ascii="Times New Roman" w:hAnsi="Times New Roman" w:eastAsia="方正仿宋_GBK" w:cs="Times New Roman"/>
          <w:color w:val="000000"/>
          <w:kern w:val="0"/>
          <w:sz w:val="32"/>
          <w:szCs w:val="32"/>
          <w:lang w:val="en-US" w:eastAsia="zh-CN"/>
        </w:rPr>
        <w:t>电子科技大学重庆微电子产业技术研究院由重庆西永微电子产业园区与电子科技大学共同建，具有独立法人资质的事业单位，于2020年5月正式注册成立。总投入超过4亿元，总面积10000平米，现有全职员工20余人，兼职（副）教授30余人。研究院作为电子科技大学在重庆市的科技创新和科技成果转化平台，依托电子科技大学的人才和学科优势，以国家级示范性微电子学院、电子薄膜与集成器件国家重点实验室等国家级平台为基础，按照高质量、有特色的发展定位，围绕电子科技大学优势学科，结合西永微电园产业基础，形成微系统集成加工与测试、数模混合信号芯片及SoC系统、功率半导体、微波毫米波系统四大研究方向。</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color w:val="000000"/>
          <w:kern w:val="0"/>
          <w:sz w:val="32"/>
          <w:szCs w:val="32"/>
          <w:lang w:val="en-US" w:eastAsia="zh-CN"/>
        </w:rPr>
      </w:pPr>
      <w:r>
        <w:rPr>
          <w:rFonts w:hint="eastAsia" w:ascii="方正黑体_GBK" w:hAnsi="方正黑体_GBK" w:eastAsia="方正黑体_GBK" w:cs="方正黑体_GBK"/>
          <w:color w:val="000000"/>
          <w:kern w:val="0"/>
          <w:sz w:val="32"/>
          <w:szCs w:val="32"/>
          <w:lang w:val="en-US" w:eastAsia="zh-CN"/>
        </w:rPr>
        <w:t>六、北京大学重庆大数据研究院</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color w:val="000000"/>
          <w:kern w:val="0"/>
          <w:sz w:val="32"/>
          <w:szCs w:val="32"/>
          <w:lang w:val="en-US" w:eastAsia="zh-CN"/>
        </w:rPr>
      </w:pPr>
      <w:r>
        <w:rPr>
          <w:rFonts w:hint="eastAsia" w:ascii="Times New Roman" w:hAnsi="Times New Roman" w:eastAsia="方正仿宋_GBK" w:cs="Times New Roman"/>
          <w:color w:val="000000"/>
          <w:kern w:val="0"/>
          <w:sz w:val="32"/>
          <w:szCs w:val="32"/>
          <w:lang w:val="en-US" w:eastAsia="zh-CN"/>
        </w:rPr>
        <w:t>北京大学重庆大数据研究院是在重庆市人民政府的指导下，由重庆高新区管委会和北京大学共同举办的具有独立法人资格的重庆市属事业单位。研究院将在西部（重庆）科学城聚集培育科技创新人才，开展颠覆性和前沿引领创新研究，重点攻克大数据智能化和数字化转型的核心科学技术问题和创新应用瓶颈，促进科技成果转移转化，培育孵化科技企业，加快前沿技术的基础研究成果向试验发展创新和应用创新的转化，推进产业数字化与数字产业化，最终建成具有国际影响力、引领性的人才聚集平台、前沿研究和转化平台。研究院还将联合重庆高校院所，在科研攻关、人才培养等方面开展合作，加速建设一批国家和市级重点实验室、技术创新中心等创新平台。</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color w:val="000000"/>
          <w:kern w:val="0"/>
          <w:sz w:val="32"/>
          <w:szCs w:val="32"/>
          <w:lang w:val="en-US" w:eastAsia="zh-CN"/>
        </w:rPr>
      </w:pPr>
      <w:r>
        <w:rPr>
          <w:rFonts w:hint="eastAsia" w:ascii="方正黑体_GBK" w:hAnsi="方正黑体_GBK" w:eastAsia="方正黑体_GBK" w:cs="方正黑体_GBK"/>
          <w:color w:val="000000"/>
          <w:kern w:val="0"/>
          <w:sz w:val="32"/>
          <w:szCs w:val="32"/>
          <w:lang w:val="en-US" w:eastAsia="zh-CN"/>
        </w:rPr>
        <w:t>七、</w:t>
      </w:r>
      <w:r>
        <w:rPr>
          <w:rFonts w:hint="default" w:ascii="方正黑体_GBK" w:hAnsi="方正黑体_GBK" w:eastAsia="方正黑体_GBK" w:cs="方正黑体_GBK"/>
          <w:color w:val="000000"/>
          <w:kern w:val="0"/>
          <w:sz w:val="32"/>
          <w:szCs w:val="32"/>
          <w:lang w:val="en-US" w:eastAsia="zh-CN"/>
        </w:rPr>
        <w:t>重庆博信高科技开发有限公司</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color w:val="000000"/>
          <w:kern w:val="0"/>
          <w:sz w:val="32"/>
          <w:szCs w:val="32"/>
          <w:lang w:val="en-US" w:eastAsia="zh-CN"/>
        </w:rPr>
      </w:pPr>
      <w:r>
        <w:rPr>
          <w:rFonts w:hint="eastAsia" w:ascii="Times New Roman" w:hAnsi="Times New Roman" w:eastAsia="方正仿宋_GBK" w:cs="Times New Roman"/>
          <w:color w:val="000000"/>
          <w:kern w:val="0"/>
          <w:sz w:val="32"/>
          <w:szCs w:val="32"/>
          <w:lang w:val="en-US" w:eastAsia="zh-CN"/>
        </w:rPr>
        <w:t>重庆</w:t>
      </w:r>
      <w:r>
        <w:rPr>
          <w:rFonts w:hint="default" w:ascii="Times New Roman" w:hAnsi="Times New Roman" w:eastAsia="方正仿宋_GBK" w:cs="Times New Roman"/>
          <w:color w:val="000000"/>
          <w:kern w:val="0"/>
          <w:sz w:val="32"/>
          <w:szCs w:val="32"/>
          <w:lang w:val="en-US" w:eastAsia="zh-CN"/>
        </w:rPr>
        <w:t>博信高科技开发有限公司</w:t>
      </w:r>
      <w:r>
        <w:rPr>
          <w:rFonts w:hint="eastAsia" w:ascii="Times New Roman" w:hAnsi="Times New Roman" w:eastAsia="方正仿宋_GBK" w:cs="Times New Roman"/>
          <w:color w:val="000000"/>
          <w:kern w:val="0"/>
          <w:sz w:val="32"/>
          <w:szCs w:val="32"/>
          <w:lang w:val="en-US" w:eastAsia="zh-CN"/>
        </w:rPr>
        <w:t>是一家落户于西部科学城，聚焦高端防弹TPU、高强度SGP、节能XIR等新型功能材料的研发、设计、推广，面向军工防弹、航空航天、轨道交通等高科技行业对高端安全节能功能材料的需求，借助大数据人工智能等现代科技手段，设立新型功能材料研发实验室、科研成果外延渗透创新设计平台、科研成果商业化应用推广平台等核心业务板块，为客户提供高品质、高效率、个性化的创新型功能材料技术和产品</w:t>
      </w:r>
      <w:r>
        <w:rPr>
          <w:rFonts w:eastAsia="方正仿宋_GBK"/>
          <w:sz w:val="24"/>
          <w:szCs w:val="24"/>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color w:val="000000"/>
          <w:kern w:val="0"/>
          <w:sz w:val="32"/>
          <w:szCs w:val="32"/>
          <w:lang w:val="en-US" w:eastAsia="zh-CN"/>
        </w:rPr>
      </w:pPr>
      <w:r>
        <w:rPr>
          <w:rFonts w:hint="eastAsia" w:ascii="方正黑体_GBK" w:hAnsi="方正黑体_GBK" w:eastAsia="方正黑体_GBK" w:cs="方正黑体_GBK"/>
          <w:color w:val="000000"/>
          <w:kern w:val="0"/>
          <w:sz w:val="32"/>
          <w:szCs w:val="32"/>
          <w:lang w:val="en-US" w:eastAsia="zh-CN"/>
        </w:rPr>
        <w:t>八、重庆市风景园林科学研究院</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color w:val="000000"/>
          <w:kern w:val="0"/>
          <w:sz w:val="32"/>
          <w:szCs w:val="32"/>
          <w:lang w:val="en-US" w:eastAsia="zh-CN"/>
        </w:rPr>
      </w:pPr>
      <w:r>
        <w:rPr>
          <w:rFonts w:hint="eastAsia" w:ascii="Times New Roman" w:hAnsi="Times New Roman" w:eastAsia="方正仿宋_GBK" w:cs="Times New Roman"/>
          <w:color w:val="000000"/>
          <w:kern w:val="0"/>
          <w:sz w:val="32"/>
          <w:szCs w:val="32"/>
          <w:lang w:val="en-US" w:eastAsia="zh-CN"/>
        </w:rPr>
        <w:t>重庆市风景园林科学研究院成立于1980年，隶属于重庆市城市管理局，是市级公益一类科研院所。具备园林绿化基础应用研究、科研成果推广应用、技术咨询及信息交流服务等职能，承担主城区园林土壤质量检测服务和发布园林植物病虫害预警预报两项市级公共服务事项政务清单任务。承接重庆市智慧园林绿化管理信息系统平台建设、绿地植被健康体检、古树名木普查等市级重点工作。为政府决策提供科学依据，为行业管理提供科技支撑。</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color w:val="000000"/>
          <w:kern w:val="0"/>
          <w:sz w:val="32"/>
          <w:szCs w:val="32"/>
          <w:lang w:val="en-US" w:eastAsia="zh-CN"/>
        </w:rPr>
      </w:pPr>
      <w:r>
        <w:rPr>
          <w:rFonts w:hint="eastAsia" w:ascii="方正黑体_GBK" w:hAnsi="方正黑体_GBK" w:eastAsia="方正黑体_GBK" w:cs="方正黑体_GBK"/>
          <w:color w:val="000000"/>
          <w:kern w:val="0"/>
          <w:sz w:val="32"/>
          <w:szCs w:val="32"/>
          <w:lang w:val="en-US" w:eastAsia="zh-CN"/>
        </w:rPr>
        <w:t>九、西南华大生命科学研究院</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color w:val="000000"/>
          <w:kern w:val="0"/>
          <w:sz w:val="32"/>
          <w:szCs w:val="32"/>
          <w:lang w:val="en-US" w:eastAsia="zh-CN"/>
        </w:rPr>
      </w:pPr>
      <w:r>
        <w:rPr>
          <w:rFonts w:hint="eastAsia" w:ascii="Times New Roman" w:hAnsi="Times New Roman" w:eastAsia="方正仿宋_GBK" w:cs="Times New Roman"/>
          <w:color w:val="000000"/>
          <w:kern w:val="0"/>
          <w:sz w:val="32"/>
          <w:szCs w:val="32"/>
          <w:lang w:val="en-US" w:eastAsia="zh-CN"/>
        </w:rPr>
        <w:t>西南华大生命科学研究院是依托华大集团的资源优势以及深圳华大生命科学研究院强大的科研团队，立足生命健康和生物医药产业前沿，与知名专家院士团队合作共建，聚焦以时空多组学病理研究为核心，建设以时空病理研究为特色的“研学产”一体化的研发机构。研究院已建成全球首个时空病理工具、多组学实验和生信平台，已具备国家自然科学基金依托单位和博士后科研工作站双重资质。研究院持续聚焦在肿瘤发生发展、复发转移、耐药及药效不佳等方向研发，不断提升生命健康领域源头创新能力，推动生命科学基础创新研究、临床应用和产业转化融合发展，以“研发先行、人才培养、产业落地”为策略，建设成西南地区时空组学病理学技术开发、平台建设和临床病理诊断应用的创新标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color w:val="000000"/>
          <w:kern w:val="0"/>
          <w:sz w:val="32"/>
          <w:szCs w:val="32"/>
          <w:lang w:val="en-US" w:eastAsia="zh-CN"/>
        </w:rPr>
      </w:pPr>
      <w:r>
        <w:rPr>
          <w:rFonts w:hint="eastAsia" w:ascii="方正黑体_GBK" w:hAnsi="方正黑体_GBK" w:eastAsia="方正黑体_GBK" w:cs="方正黑体_GBK"/>
          <w:color w:val="000000"/>
          <w:kern w:val="0"/>
          <w:sz w:val="32"/>
          <w:szCs w:val="32"/>
          <w:lang w:val="en-US" w:eastAsia="zh-CN"/>
        </w:rPr>
        <w:t>十、重庆中科超容科技有限公司</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color w:val="000000"/>
          <w:kern w:val="0"/>
          <w:sz w:val="32"/>
          <w:szCs w:val="32"/>
          <w:lang w:val="en-US" w:eastAsia="zh-CN"/>
        </w:rPr>
      </w:pPr>
      <w:r>
        <w:rPr>
          <w:rFonts w:hint="eastAsia" w:ascii="Times New Roman" w:hAnsi="Times New Roman" w:eastAsia="方正仿宋_GBK" w:cs="Times New Roman"/>
          <w:color w:val="000000"/>
          <w:kern w:val="0"/>
          <w:sz w:val="32"/>
          <w:szCs w:val="32"/>
          <w:lang w:val="en-US" w:eastAsia="zh-CN"/>
        </w:rPr>
        <w:t>重庆中科超容科技有限公司成立于2018年，由留美学者、中科院百人计划研究员刘双翼及其团队、中国科学院重庆绿色智能研究院、重庆石墨烯研究院共同创立。公司以“为世界提供储能智慧”为使命，“建设百年高科技品牌”为愿景，以“成就客户、高效奋斗和团队协作”为价值观，致力于前沿电化学储能科学技术的开发和转化，先进功率储能器件的开发、生产和销售，以及提供高效环保的储能技术服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方正黑体_GBK" w:hAnsi="方正黑体_GBK" w:eastAsia="方正黑体_GBK" w:cs="方正黑体_GBK"/>
          <w:color w:val="000000"/>
          <w:kern w:val="0"/>
          <w:sz w:val="32"/>
          <w:szCs w:val="32"/>
          <w:lang w:val="en-US" w:eastAsia="zh-CN"/>
        </w:rPr>
      </w:pPr>
      <w:r>
        <w:rPr>
          <w:rFonts w:hint="eastAsia" w:ascii="方正黑体_GBK" w:hAnsi="方正黑体_GBK" w:eastAsia="方正黑体_GBK" w:cs="方正黑体_GBK"/>
          <w:color w:val="000000"/>
          <w:kern w:val="0"/>
          <w:sz w:val="32"/>
          <w:szCs w:val="32"/>
          <w:lang w:val="en-US" w:eastAsia="zh-CN"/>
        </w:rPr>
        <w:t>十一、西部（重庆）科学城种质创制大科学中心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color w:val="000000"/>
          <w:kern w:val="0"/>
          <w:sz w:val="32"/>
          <w:szCs w:val="32"/>
          <w:lang w:val="en-US" w:eastAsia="zh-CN"/>
        </w:rPr>
      </w:pPr>
      <w:r>
        <w:rPr>
          <w:rFonts w:hint="eastAsia" w:ascii="Times New Roman" w:hAnsi="Times New Roman" w:eastAsia="方正仿宋_GBK" w:cs="Times New Roman"/>
          <w:color w:val="000000"/>
          <w:kern w:val="0"/>
          <w:sz w:val="32"/>
          <w:szCs w:val="32"/>
          <w:lang w:val="en-US" w:eastAsia="zh-CN"/>
        </w:rPr>
        <w:t>西部（重庆）科学城种质创制大科学中心是由西南大学与重庆高新区共同倡导建设的集长江上游种质资源发掘、收集、保护、创制与利用为一体的重大科技基础设施平台，致力于建设长江上游种质创制科学设施，塑造种业基础研究到产业应用全链条新模式，助力构建国家种源安全长效机制。中心围绕成渝地区双城经济圈、西部（重庆）科学城建设国家战略，发挥现代农业、组学大数据、生物技术等关键领域的学科优势，瞄准生物种质创新与利用世界前沿，聚焦长江上游重要特色物种开展种质创制与利用研究，研发种质创制关键核心技术与设备，建设可持续利用的长江上游种质资源库、生物组学大数据人工智能分析平台、工程化创制设施和生物育种科学中心，实现智能化、规模化种质创制，强化生态环境保护、顶尖人才培育和产业转化功能，支撑长江上游地区生态建设与产业发展，为服务国家粮食与生物安全战略提供科技支撑。</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color w:val="000000"/>
          <w:kern w:val="0"/>
          <w:sz w:val="32"/>
          <w:szCs w:val="32"/>
          <w:lang w:val="en-US" w:eastAsia="zh-CN"/>
        </w:rPr>
      </w:pPr>
      <w:r>
        <w:rPr>
          <w:rFonts w:hint="eastAsia" w:ascii="方正黑体_GBK" w:hAnsi="方正黑体_GBK" w:eastAsia="方正黑体_GBK" w:cs="方正黑体_GBK"/>
          <w:color w:val="000000"/>
          <w:kern w:val="0"/>
          <w:sz w:val="32"/>
          <w:szCs w:val="32"/>
          <w:lang w:val="en-US" w:eastAsia="zh-CN"/>
        </w:rPr>
        <w:t>十二、西安电子科技大学重庆集成电路创新研究院</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color w:val="000000"/>
          <w:kern w:val="0"/>
          <w:sz w:val="32"/>
          <w:szCs w:val="32"/>
          <w:lang w:val="en-US" w:eastAsia="zh-CN"/>
        </w:rPr>
      </w:pPr>
      <w:r>
        <w:rPr>
          <w:rFonts w:hint="eastAsia" w:ascii="Times New Roman" w:hAnsi="Times New Roman" w:eastAsia="方正仿宋_GBK" w:cs="Times New Roman"/>
          <w:color w:val="000000"/>
          <w:kern w:val="0"/>
          <w:sz w:val="32"/>
          <w:szCs w:val="32"/>
          <w:lang w:val="en-US" w:eastAsia="zh-CN"/>
        </w:rPr>
        <w:t>西安电子科技大学重庆集成电路创新研究院是由西安电子科技大学与重庆西永微电子产业园区共同组建的以集成电路产业为核心，跨领域、跨学科、开放式的产学研融合式技术创新研究机构，围绕硅光工艺及光电器件、集成电路设计、高性能核心电子元器件、硅基高速片上系统等领域开展基础科学研究、创新研究、人才培养、人才引进和成果转化工作。西电重研院以西安电子科技大学为科研和人才支撑，以区域发展定位和地方产业需求为导向，以微电子、集成电路和人工智能等领域为主要研发布局方向，全面开展物联网、片上雷达和人工智能等方向的应用基础研究、关键技术开发以及成果转移转化，并逐步扩展产学研合作领域，聚集行业精英企业和创业群体，将重研院打造成国内领先的新型研发机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color w:val="000000"/>
          <w:kern w:val="0"/>
          <w:sz w:val="32"/>
          <w:szCs w:val="32"/>
          <w:lang w:val="en-US" w:eastAsia="zh-CN"/>
        </w:rPr>
      </w:pPr>
      <w:r>
        <w:rPr>
          <w:rFonts w:hint="eastAsia" w:ascii="方正黑体_GBK" w:hAnsi="方正黑体_GBK" w:eastAsia="方正黑体_GBK" w:cs="方正黑体_GBK"/>
          <w:color w:val="000000"/>
          <w:kern w:val="0"/>
          <w:sz w:val="32"/>
          <w:szCs w:val="32"/>
          <w:lang w:val="en-US" w:eastAsia="zh-CN"/>
        </w:rPr>
        <w:t>十三、中子科学（重庆）研究院有限公司</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color w:val="000000"/>
          <w:kern w:val="0"/>
          <w:sz w:val="32"/>
          <w:szCs w:val="32"/>
          <w:lang w:val="en-US" w:eastAsia="zh-CN"/>
        </w:rPr>
      </w:pPr>
      <w:r>
        <w:rPr>
          <w:rFonts w:hint="eastAsia" w:ascii="Times New Roman" w:hAnsi="Times New Roman" w:eastAsia="方正仿宋_GBK" w:cs="Times New Roman"/>
          <w:color w:val="000000"/>
          <w:kern w:val="0"/>
          <w:sz w:val="32"/>
          <w:szCs w:val="32"/>
          <w:lang w:val="en-US" w:eastAsia="zh-CN"/>
        </w:rPr>
        <w:t>中子科学（重庆）研究院有限公司是由凤麟核集团与西部（重庆）科学城联袂打造的新型研发机构，专注于中子科技的前沿探索与应用转化，是凤麟核布局西南的重要战略基地，也是重庆市重点引进的高新技术企业。作为凤麟核集团的重庆分支，中子科学研究院继承了集团强大的科研基因与丰硕成果，拥有一支高层次、国际化的科研团队，由顶尖院士指导，汇聚国家重大科研项目负责人等领军人物。公司配备有国际领先的科研设施，如超高流强稳态氘氚中子源，为聚变能、核裂变能研发及多学科交叉研究提供强大支撑。公司秉持“发展先进核科技，造福人类社会”的愿景，践行“产学研用”深度融合战略，与高校、企业及金融机构紧密合作，于重庆打造“科技小岗”发展模式的新典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color w:val="000000"/>
          <w:kern w:val="0"/>
          <w:sz w:val="32"/>
          <w:szCs w:val="32"/>
          <w:lang w:val="en-US" w:eastAsia="zh-CN"/>
        </w:rPr>
      </w:pPr>
      <w:r>
        <w:rPr>
          <w:rFonts w:hint="eastAsia" w:ascii="方正黑体_GBK" w:hAnsi="方正黑体_GBK" w:eastAsia="方正黑体_GBK" w:cs="方正黑体_GBK"/>
          <w:color w:val="000000"/>
          <w:kern w:val="0"/>
          <w:sz w:val="32"/>
          <w:szCs w:val="32"/>
          <w:lang w:val="en-US" w:eastAsia="zh-CN"/>
        </w:rPr>
        <w:t>十四、金凤实验室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color w:val="000000"/>
          <w:kern w:val="0"/>
          <w:sz w:val="32"/>
          <w:szCs w:val="32"/>
          <w:lang w:val="en-US" w:eastAsia="zh-CN"/>
        </w:rPr>
      </w:pPr>
      <w:r>
        <w:rPr>
          <w:rFonts w:hint="eastAsia" w:ascii="Times New Roman" w:hAnsi="Times New Roman" w:eastAsia="方正仿宋_GBK" w:cs="Times New Roman"/>
          <w:sz w:val="32"/>
          <w:szCs w:val="32"/>
        </w:rPr>
        <w:t>金凤实验室是重庆市落实成渝地区双城经济圈建设国家战略，加快建设具有全国影响力的科技创新中心，举全市之力打造的战略科技力量，是西部（重庆）科学城“头号工程”。实验室占地面积</w:t>
      </w:r>
      <w:r>
        <w:rPr>
          <w:rFonts w:ascii="Times New Roman" w:hAnsi="Times New Roman" w:eastAsia="方正仿宋_GBK" w:cs="Times New Roman"/>
          <w:sz w:val="32"/>
          <w:szCs w:val="32"/>
        </w:rPr>
        <w:t>128亩，建筑面积13.5万㎡，配套建设30万㎡的高端人才住房、1100亩的凤栖湖公园。实验室以脑疾病、恶性肿瘤和呼吸系统传染病等“重大疾病的下一代诊断”为核心任务，以原始理论创新和“卡脖子”技术基础理论突破为首要目标，广聚天下英才，构建科研矩阵，开展有组织科研，努力打造开放型、枢纽型、平台型科技创新地，加快建设重庆实验室“新样板”、国家实验室“生力军”。</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color w:val="000000"/>
          <w:kern w:val="0"/>
          <w:sz w:val="32"/>
          <w:szCs w:val="32"/>
          <w:lang w:val="en-US" w:eastAsia="zh-CN"/>
        </w:rPr>
      </w:pPr>
      <w:r>
        <w:rPr>
          <w:rFonts w:hint="eastAsia" w:ascii="方正黑体_GBK" w:hAnsi="方正黑体_GBK" w:eastAsia="方正黑体_GBK" w:cs="方正黑体_GBK"/>
          <w:color w:val="000000"/>
          <w:kern w:val="0"/>
          <w:sz w:val="32"/>
          <w:szCs w:val="32"/>
          <w:lang w:val="en-US" w:eastAsia="zh-CN"/>
        </w:rPr>
        <w:t>十五、沪渝人工智能研究院</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color w:val="000000"/>
          <w:kern w:val="0"/>
          <w:sz w:val="32"/>
          <w:szCs w:val="32"/>
          <w:lang w:val="en-US" w:eastAsia="zh-CN"/>
        </w:rPr>
      </w:pPr>
      <w:r>
        <w:rPr>
          <w:rFonts w:hint="eastAsia" w:ascii="Times New Roman" w:hAnsi="Times New Roman" w:eastAsia="方正仿宋_GBK" w:cs="Times New Roman"/>
          <w:color w:val="000000"/>
          <w:kern w:val="0"/>
          <w:sz w:val="32"/>
          <w:szCs w:val="32"/>
          <w:lang w:val="en-US" w:eastAsia="zh-CN"/>
        </w:rPr>
        <w:t>沪渝人工智能研究院是在重庆市人民政府指导下，由重庆高新区管委会和上海交通大学共同举办的具有独立法人资格的重庆市属事业单位。研究院致力于人工智能在工业软件、生物制药、智慧医疗、智能制造、智慧交通、智慧文旅与教育、智慧农业及数字乡村方面的应用与实践，建设“工业软件研究中心”“智慧药物研发中心”“AI+X综合应用中心”“智慧医疗创新中心”“智能制造研究中心”等研究单元，打造多学科交叉研究的科研攻关团队，推动地方原创性研究，并与重庆产业界深入合作，构建人工智能创新链和产业链间的桥梁，解决若干地方产业发展中的“卡脖子”问题，开展技术成果转化和企业培育，推动人工智能技术创新和产业融合发展，助力重庆高新区打造聚集全球顶尖的应用数学与人工智能人才高地、世界一流的产学研协同创新学术高地，建设具有全球影响力的人工智能创新中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color w:val="000000"/>
          <w:kern w:val="0"/>
          <w:sz w:val="32"/>
          <w:szCs w:val="32"/>
          <w:lang w:val="en-US" w:eastAsia="zh-CN"/>
        </w:rPr>
      </w:pPr>
      <w:r>
        <w:rPr>
          <w:rFonts w:hint="eastAsia" w:ascii="方正黑体_GBK" w:hAnsi="方正黑体_GBK" w:eastAsia="方正黑体_GBK" w:cs="方正黑体_GBK"/>
          <w:color w:val="000000"/>
          <w:kern w:val="0"/>
          <w:sz w:val="32"/>
          <w:szCs w:val="32"/>
          <w:lang w:val="en-US" w:eastAsia="zh-CN"/>
        </w:rPr>
        <w:t>十六、重庆致锐远交通工程技术咨询有限公司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color w:val="000000"/>
          <w:kern w:val="0"/>
          <w:sz w:val="32"/>
          <w:szCs w:val="32"/>
          <w:lang w:val="en-US" w:eastAsia="zh-CN"/>
        </w:rPr>
      </w:pPr>
      <w:r>
        <w:rPr>
          <w:rFonts w:hint="eastAsia" w:ascii="Times New Roman" w:hAnsi="Times New Roman" w:eastAsia="方正仿宋_GBK" w:cs="Times New Roman"/>
          <w:color w:val="000000"/>
          <w:kern w:val="0"/>
          <w:sz w:val="32"/>
          <w:szCs w:val="32"/>
          <w:lang w:val="en-US" w:eastAsia="zh-CN"/>
        </w:rPr>
        <w:t>重庆致锐远交通工程技术咨询有限公司成立于2017年，主要从事于工程技术咨询、技术研发、技术转让以及技术服务。致力于城市自然和事故灾害，研究领域涵盖地震工程、防灾减灾及防护工程、岩土工程、水文地理、城市内涝等方面的工程技术问题。公司立足服务城市安全，面向评估城市重大自然和人为灾害风险的政府应急决策需求，坚持多源异构数据相融合的研究思路，利用现代风险评估理论框架，全面评估现代城市在多种人为和自然灾害威胁下的潜在风险，为政府的防灾减灾决策和行业主管部门的资源优化布置及避免重大事故发生提供数据基础和理论支持。</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color w:val="000000"/>
          <w:kern w:val="0"/>
          <w:sz w:val="32"/>
          <w:szCs w:val="32"/>
          <w:lang w:val="en-US" w:eastAsia="zh-CN"/>
        </w:rPr>
      </w:pPr>
      <w:r>
        <w:rPr>
          <w:rFonts w:hint="eastAsia" w:ascii="方正黑体_GBK" w:hAnsi="方正黑体_GBK" w:eastAsia="方正黑体_GBK" w:cs="方正黑体_GBK"/>
          <w:color w:val="000000"/>
          <w:kern w:val="0"/>
          <w:sz w:val="32"/>
          <w:szCs w:val="32"/>
          <w:lang w:val="en-US" w:eastAsia="zh-CN"/>
        </w:rPr>
        <w:t>十七、清安储能技术（重庆）有限公司（重庆储安科技创新中心有限公司）</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仿宋_GBK" w:cs="Times New Roman"/>
          <w:color w:val="000000"/>
          <w:kern w:val="0"/>
          <w:sz w:val="32"/>
          <w:szCs w:val="32"/>
          <w:lang w:val="en-US" w:eastAsia="zh-CN"/>
        </w:rPr>
        <w:t>清安储能技术（重庆）有限公司成立于2021年，是由清华大学欧阳明高院士团队孵化。公司聚焦储能安全开展技术攻关和产业转化，以多层级安全为核心技术，面向源网荷多个场景需求，深耕于电芯、电池成组、电池管理系统、能量转换系统、能量管理系统等储能系统关键部件及系统的研发、制造与技术服务等领域，致力于为客户提供全场景的完整储能系统解决方案和数字能源管理服务。公司拥有储能与智慧能源实验室</w:t>
      </w:r>
      <w:r>
        <w:rPr>
          <w:rFonts w:hint="eastAsia" w:ascii="Times New Roman" w:hAnsi="Times New Roman" w:eastAsia="方正仿宋_GBK" w:cs="Times New Roman"/>
          <w:color w:val="000000"/>
          <w:kern w:val="0"/>
          <w:sz w:val="32"/>
          <w:szCs w:val="32"/>
          <w:lang w:val="en-US" w:eastAsia="zh-CN"/>
        </w:rPr>
        <w:t>、</w:t>
      </w:r>
      <w:r>
        <w:rPr>
          <w:rFonts w:hint="default" w:ascii="Times New Roman" w:hAnsi="Times New Roman" w:eastAsia="方正仿宋_GBK" w:cs="Times New Roman"/>
          <w:color w:val="000000"/>
          <w:kern w:val="0"/>
          <w:sz w:val="32"/>
          <w:szCs w:val="32"/>
          <w:lang w:val="en-US" w:eastAsia="zh-CN"/>
        </w:rPr>
        <w:t>储能安全与系统试制中心</w:t>
      </w:r>
      <w:r>
        <w:rPr>
          <w:rFonts w:hint="eastAsia" w:ascii="Times New Roman" w:hAnsi="Times New Roman" w:eastAsia="方正仿宋_GBK" w:cs="Times New Roman"/>
          <w:color w:val="000000"/>
          <w:kern w:val="0"/>
          <w:sz w:val="32"/>
          <w:szCs w:val="32"/>
          <w:lang w:val="en-US" w:eastAsia="zh-CN"/>
        </w:rPr>
        <w:t>，</w:t>
      </w:r>
      <w:r>
        <w:rPr>
          <w:rFonts w:hint="default" w:ascii="Times New Roman" w:hAnsi="Times New Roman" w:eastAsia="方正仿宋_GBK" w:cs="Times New Roman"/>
          <w:color w:val="000000"/>
          <w:kern w:val="0"/>
          <w:sz w:val="32"/>
          <w:szCs w:val="32"/>
          <w:lang w:val="en-US" w:eastAsia="zh-CN"/>
        </w:rPr>
        <w:t>另外和8家电力单位联合组建了储能实验室，牵头成立了重庆市唯一的储能产业技术创新试点联盟。公司先后获得了国家、地方等各级政府、第三方荣誉资质三十余项。公司扎根重庆，面向全球，在为国家“双碳”战略贡献一份力量的同时，力争成为21世纪清洁能源安全利用的领导者。</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color w:val="000000"/>
          <w:kern w:val="0"/>
          <w:sz w:val="32"/>
          <w:szCs w:val="32"/>
          <w:lang w:val="en-US" w:eastAsia="zh-CN"/>
        </w:rPr>
      </w:pPr>
      <w:r>
        <w:rPr>
          <w:rFonts w:hint="eastAsia" w:ascii="方正黑体_GBK" w:hAnsi="方正黑体_GBK" w:eastAsia="方正黑体_GBK" w:cs="方正黑体_GBK"/>
          <w:color w:val="000000"/>
          <w:kern w:val="0"/>
          <w:sz w:val="32"/>
          <w:szCs w:val="32"/>
          <w:lang w:val="en-US" w:eastAsia="zh-CN"/>
        </w:rPr>
        <w:t>十八、重庆科技学院</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color w:val="000000"/>
          <w:kern w:val="0"/>
          <w:sz w:val="32"/>
          <w:szCs w:val="32"/>
          <w:lang w:val="en-US" w:eastAsia="zh-CN"/>
        </w:rPr>
      </w:pPr>
      <w:r>
        <w:rPr>
          <w:rFonts w:hint="eastAsia" w:ascii="Times New Roman" w:hAnsi="Times New Roman" w:eastAsia="方正仿宋_GBK" w:cs="Times New Roman"/>
          <w:color w:val="000000"/>
          <w:kern w:val="0"/>
          <w:sz w:val="32"/>
          <w:szCs w:val="32"/>
          <w:lang w:val="en-US" w:eastAsia="zh-CN"/>
        </w:rPr>
        <w:t>重庆科技学院是一所全日制公办普通高校，设有复杂油气田勘探开发、纳微复合材料与器件、非矿山安全与重大危险源监控、职业危害检测与鉴定和工业微生物发酵等5个省部级重点实验室，非常规油气田开发、工业过程在线分析与控制2个重庆市高校重点实验室，省部级工程技术研究中心8个，省部级社科研究中心1个和省部级科普基地3个。2010年以来，承担了国家863重大专项、国家自然科学基金和国家社会科学基金等近100项国家级课题，获得国家科技进步特等奖、国家技术发明及省部级科学进步奖61项；参与完成的“超深水半潜式钻井平台‘海洋石油981’研发与应用”成果获2014年度国家科技进步奖特等奖，“机械炉排式生活垃圾焚烧发电关键技术及应用”被授予中国产学研合作创新成果奖，连续7年科研经费超亿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color w:val="000000"/>
          <w:kern w:val="0"/>
          <w:sz w:val="32"/>
          <w:szCs w:val="32"/>
          <w:lang w:val="en-US" w:eastAsia="zh-CN"/>
        </w:rPr>
      </w:pPr>
      <w:r>
        <w:rPr>
          <w:rFonts w:hint="eastAsia" w:ascii="方正黑体_GBK" w:hAnsi="方正黑体_GBK" w:eastAsia="方正黑体_GBK" w:cs="方正黑体_GBK"/>
          <w:color w:val="000000"/>
          <w:kern w:val="0"/>
          <w:sz w:val="32"/>
          <w:szCs w:val="32"/>
          <w:lang w:val="en-US" w:eastAsia="zh-CN"/>
        </w:rPr>
        <w:t>十九、西部车网（重庆）有限公司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kern w:val="2"/>
          <w:sz w:val="32"/>
          <w:szCs w:val="32"/>
          <w:highlight w:val="none"/>
          <w:lang w:val="en-US" w:eastAsia="zh-CN" w:bidi="ar-SA"/>
        </w:rPr>
      </w:pPr>
      <w:r>
        <w:rPr>
          <w:rFonts w:hint="eastAsia" w:ascii="Times New Roman" w:hAnsi="Times New Roman" w:eastAsia="方正仿宋_GBK" w:cs="Times New Roman"/>
          <w:kern w:val="2"/>
          <w:sz w:val="32"/>
          <w:szCs w:val="32"/>
          <w:highlight w:val="none"/>
          <w:lang w:val="en-US" w:eastAsia="zh-CN" w:bidi="ar-SA"/>
        </w:rPr>
        <w:t>西部车网成立于2022年，是由高新区牵头、市级部门共同推动，在李克强院士团队指导下成立的重庆智能网联汽车市级运营平台公司，</w:t>
      </w:r>
      <w:r>
        <w:rPr>
          <w:rFonts w:hint="eastAsia" w:ascii="Times New Roman" w:hAnsi="Times New Roman" w:eastAsia="方正仿宋_GBK" w:cs="Times New Roman"/>
          <w:kern w:val="2"/>
          <w:sz w:val="32"/>
          <w:szCs w:val="32"/>
          <w:lang w:val="en-US" w:eastAsia="zh-CN" w:bidi="ar-SA"/>
        </w:rPr>
        <w:t>“满天星”示范企业</w:t>
      </w:r>
      <w:r>
        <w:rPr>
          <w:rFonts w:hint="eastAsia" w:ascii="Times New Roman" w:hAnsi="Times New Roman" w:eastAsia="方正仿宋_GBK" w:cs="Times New Roman"/>
          <w:kern w:val="2"/>
          <w:sz w:val="32"/>
          <w:szCs w:val="32"/>
          <w:highlight w:val="none"/>
          <w:lang w:val="en-US" w:eastAsia="zh-CN" w:bidi="ar-SA"/>
        </w:rPr>
        <w:t>。公司股东涵盖央企、地方国企、川渝两地智能网联产业头部企业及高端研发机构。公司主营业务主要由组织基础设施建设、组织生态建设及数据服务与技术服务三大板块构成。公司</w:t>
      </w:r>
      <w:r>
        <w:rPr>
          <w:rFonts w:hint="eastAsia" w:ascii="Times New Roman" w:hAnsi="Times New Roman" w:eastAsia="方正仿宋_GBK" w:cs="Times New Roman"/>
          <w:sz w:val="32"/>
          <w:szCs w:val="32"/>
          <w:lang w:val="en-US" w:eastAsia="zh-CN"/>
        </w:rPr>
        <w:t>取得</w:t>
      </w:r>
      <w:r>
        <w:rPr>
          <w:rFonts w:hint="default" w:ascii="Times New Roman" w:hAnsi="Times New Roman" w:eastAsia="方正仿宋_GBK" w:cs="Times New Roman"/>
          <w:color w:val="auto"/>
          <w:spacing w:val="-6"/>
          <w:kern w:val="2"/>
          <w:sz w:val="32"/>
          <w:szCs w:val="32"/>
          <w:highlight w:val="none"/>
          <w:lang w:val="en-US" w:eastAsia="zh-CN" w:bidi="ar-SA"/>
        </w:rPr>
        <w:t>20</w:t>
      </w:r>
      <w:r>
        <w:rPr>
          <w:rFonts w:hint="default" w:ascii="Times New Roman" w:hAnsi="Times New Roman" w:eastAsia="方正仿宋_GBK" w:cs="Times New Roman"/>
          <w:kern w:val="2"/>
          <w:sz w:val="32"/>
          <w:szCs w:val="32"/>
          <w:lang w:val="en-US" w:eastAsia="zh-CN" w:bidi="ar-SA"/>
        </w:rPr>
        <w:t>个软件著作权，</w:t>
      </w:r>
      <w:r>
        <w:rPr>
          <w:rFonts w:hint="eastAsia" w:ascii="Times New Roman" w:hAnsi="Times New Roman" w:eastAsia="方正仿宋_GBK" w:cs="Times New Roman"/>
          <w:kern w:val="2"/>
          <w:sz w:val="32"/>
          <w:szCs w:val="32"/>
          <w:lang w:val="en-US" w:eastAsia="zh-CN" w:bidi="ar-SA"/>
        </w:rPr>
        <w:t>受理</w:t>
      </w:r>
      <w:r>
        <w:rPr>
          <w:rFonts w:hint="default" w:ascii="Times New Roman" w:hAnsi="Times New Roman" w:eastAsia="方正仿宋_GBK" w:cs="Times New Roman"/>
          <w:kern w:val="2"/>
          <w:sz w:val="32"/>
          <w:szCs w:val="32"/>
          <w:lang w:val="en-US" w:eastAsia="zh-CN" w:bidi="ar-SA"/>
        </w:rPr>
        <w:t>15个发明专利</w:t>
      </w:r>
      <w:r>
        <w:rPr>
          <w:rFonts w:hint="eastAsia" w:ascii="Times New Roman" w:hAnsi="Times New Roman" w:eastAsia="方正仿宋_GBK" w:cs="Times New Roman"/>
          <w:kern w:val="2"/>
          <w:sz w:val="32"/>
          <w:szCs w:val="32"/>
          <w:lang w:val="en-US" w:eastAsia="zh-CN" w:bidi="ar-SA"/>
        </w:rPr>
        <w:t>，获批两项重庆市级重大课题（千</w:t>
      </w:r>
      <w:r>
        <w:rPr>
          <w:rFonts w:hint="eastAsia" w:ascii="Times New Roman" w:hAnsi="Times New Roman" w:eastAsia="方正仿宋_GBK" w:cs="Times New Roman"/>
          <w:sz w:val="32"/>
          <w:szCs w:val="32"/>
          <w:lang w:val="en-US" w:eastAsia="zh-CN"/>
        </w:rPr>
        <w:t>万级课题1项</w:t>
      </w:r>
      <w:r>
        <w:rPr>
          <w:rFonts w:hint="eastAsia" w:ascii="Times New Roman" w:hAnsi="Times New Roman" w:eastAsia="方正仿宋_GBK" w:cs="Times New Roman"/>
          <w:kern w:val="2"/>
          <w:sz w:val="32"/>
          <w:szCs w:val="32"/>
          <w:lang w:val="en-US" w:eastAsia="zh-CN" w:bidi="ar-SA"/>
        </w:rPr>
        <w:t>）。</w:t>
      </w:r>
      <w:r>
        <w:rPr>
          <w:rFonts w:hint="eastAsia" w:ascii="Times New Roman" w:hAnsi="Times New Roman" w:eastAsia="方正仿宋_GBK" w:cs="Times New Roman"/>
          <w:kern w:val="2"/>
          <w:sz w:val="32"/>
          <w:szCs w:val="32"/>
          <w:highlight w:val="none"/>
          <w:lang w:val="en-US" w:eastAsia="zh-CN" w:bidi="ar-SA"/>
        </w:rPr>
        <w:t>公司与中车恒通、西部智车共同成立智能车载应用系统联合创新中心，与重交大智慧城市学院共同成立智能网联汽车时空信息联合研究中心，共同推进智能驾驶、智能网联、智能交通等技术领域的技术研发、学术研究及成果转化。</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color w:val="000000"/>
          <w:kern w:val="0"/>
          <w:sz w:val="32"/>
          <w:szCs w:val="32"/>
          <w:lang w:val="en-US" w:eastAsia="zh-CN"/>
        </w:rPr>
      </w:pPr>
      <w:r>
        <w:rPr>
          <w:rFonts w:hint="eastAsia" w:ascii="方正黑体_GBK" w:hAnsi="方正黑体_GBK" w:eastAsia="方正黑体_GBK" w:cs="方正黑体_GBK"/>
          <w:color w:val="000000"/>
          <w:kern w:val="0"/>
          <w:sz w:val="32"/>
          <w:szCs w:val="32"/>
          <w:lang w:val="en-US" w:eastAsia="zh-CN"/>
        </w:rPr>
        <w:t>二十、重庆赛宝工业技术研究院有限公司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kern w:val="2"/>
          <w:sz w:val="32"/>
          <w:szCs w:val="32"/>
          <w:highlight w:val="none"/>
          <w:lang w:val="en-US" w:eastAsia="zh-CN" w:bidi="ar-SA"/>
        </w:rPr>
      </w:pPr>
      <w:r>
        <w:rPr>
          <w:rFonts w:hint="eastAsia" w:ascii="Times New Roman" w:hAnsi="Times New Roman" w:eastAsia="方正仿宋_GBK" w:cs="Times New Roman"/>
          <w:kern w:val="2"/>
          <w:sz w:val="32"/>
          <w:szCs w:val="32"/>
          <w:highlight w:val="none"/>
          <w:lang w:val="en-US" w:eastAsia="zh-CN" w:bidi="ar-SA"/>
        </w:rPr>
        <w:t>重庆赛宝工业技术研究院有限公司2011年注册成立，又名工业和信息化部电子第五研究所西南分所，是中国赛宝实验室在重庆的下属研究机构，承担中国赛宝实验室在西南地区业务的拓展和实施。重庆赛宝业务覆盖广泛、技术实力雄厚，在工业领域，可承担体系认证、仪器计量校准与维修、仪器销售与租赁、标准服务、元器件检测与筛选、元器件优选与国产化替代指导、电子产品失效分析、无损检测、VOC测试、环保评估、安全与电磁兼容测试、可靠性与环境试验、材料及理化分析、软件评测、实验室建设咨询、可靠性数据管理及应用科</w:t>
      </w:r>
      <w:bookmarkStart w:id="0" w:name="_GoBack"/>
      <w:bookmarkEnd w:id="0"/>
      <w:r>
        <w:rPr>
          <w:rFonts w:hint="eastAsia" w:ascii="Times New Roman" w:hAnsi="Times New Roman" w:eastAsia="方正仿宋_GBK" w:cs="Times New Roman"/>
          <w:kern w:val="2"/>
          <w:sz w:val="32"/>
          <w:szCs w:val="32"/>
          <w:highlight w:val="none"/>
          <w:lang w:val="en-US" w:eastAsia="zh-CN" w:bidi="ar-SA"/>
        </w:rPr>
        <w:t xml:space="preserve">研合作、技术培训等众多业务。公司将秉承“科学、公正”的服务理念，努力营造在业界的良好形象，服务企业，造福社会，与新世纪追求卓越质量和卓越绩效的广大企业一道共同打造“中国制造”的质量品牌。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kern w:val="2"/>
          <w:sz w:val="32"/>
          <w:szCs w:val="32"/>
          <w:highlight w:val="none"/>
          <w:lang w:val="en-US" w:eastAsia="zh-CN" w:bidi="ar-SA"/>
        </w:rPr>
      </w:pPr>
    </w:p>
    <w:p>
      <w:pPr>
        <w:pStyle w:val="2"/>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方正仿宋_GBK" w:cs="Times New Roman"/>
          <w:kern w:val="2"/>
          <w:sz w:val="32"/>
          <w:szCs w:val="32"/>
          <w:highlight w:val="none"/>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Times New Roman" w:hAnsi="Times New Roman" w:eastAsia="方正仿宋_GBK" w:cs="Times New Roman"/>
          <w:color w:val="000000"/>
          <w:kern w:val="0"/>
          <w:sz w:val="32"/>
          <w:szCs w:val="32"/>
          <w:lang w:val="en-US" w:eastAsia="zh-CN" w:bidi="ar-SA"/>
        </w:rPr>
      </w:pPr>
    </w:p>
    <w:p>
      <w:pPr>
        <w:pStyle w:val="7"/>
        <w:keepNext w:val="0"/>
        <w:keepLines w:val="0"/>
        <w:pageBreakBefore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Times New Roman"/>
          <w:color w:val="000000"/>
          <w:kern w:val="0"/>
          <w:sz w:val="32"/>
          <w:szCs w:val="32"/>
          <w:lang w:val="en-US" w:eastAsia="zh-CN" w:bidi="ar-SA"/>
        </w:rPr>
      </w:pPr>
    </w:p>
    <w:sectPr>
      <w:footerReference r:id="rId3" w:type="default"/>
      <w:footerReference r:id="rId4" w:type="even"/>
      <w:pgSz w:w="11906" w:h="16838"/>
      <w:pgMar w:top="2098" w:right="1531" w:bottom="1985" w:left="1531" w:header="851" w:footer="1531"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51385"/>
      <w:docPartObj>
        <w:docPartGallery w:val="autotext"/>
      </w:docPartObj>
    </w:sdtPr>
    <w:sdtContent>
      <w:p>
        <w:pPr>
          <w:pStyle w:val="4"/>
          <w:jc w:val="right"/>
        </w:pPr>
        <w:r>
          <w:rPr>
            <w:rFonts w:hint="eastAsia" w:ascii="方正仿宋_GBK" w:eastAsia="方正仿宋_GBK"/>
            <w:sz w:val="28"/>
            <w:szCs w:val="28"/>
          </w:rPr>
          <w:t xml:space="preserve">— </w:t>
        </w: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   \* MERGEFORMAT </w:instrText>
        </w:r>
        <w:r>
          <w:rPr>
            <w:rFonts w:hint="eastAsia" w:ascii="方正仿宋_GBK" w:eastAsia="方正仿宋_GBK"/>
            <w:sz w:val="28"/>
            <w:szCs w:val="28"/>
          </w:rPr>
          <w:fldChar w:fldCharType="separate"/>
        </w:r>
        <w:r>
          <w:rPr>
            <w:rFonts w:ascii="方正仿宋_GBK" w:eastAsia="方正仿宋_GBK"/>
            <w:sz w:val="28"/>
            <w:szCs w:val="28"/>
            <w:lang w:val="zh-CN"/>
          </w:rPr>
          <w:t>3</w:t>
        </w:r>
        <w:r>
          <w:rPr>
            <w:rFonts w:hint="eastAsia" w:ascii="方正仿宋_GBK" w:eastAsia="方正仿宋_GBK"/>
            <w:sz w:val="28"/>
            <w:szCs w:val="28"/>
          </w:rPr>
          <w:fldChar w:fldCharType="end"/>
        </w:r>
        <w:r>
          <w:rPr>
            <w:rFonts w:hint="eastAsia" w:ascii="方正仿宋_GBK" w:eastAsia="方正仿宋_GBK"/>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方正仿宋_GBK" w:eastAsia="方正仿宋_GBK"/>
        <w:sz w:val="28"/>
        <w:szCs w:val="28"/>
      </w:rPr>
    </w:pPr>
    <w:r>
      <w:rPr>
        <w:rFonts w:hint="eastAsia" w:ascii="方正仿宋_GBK" w:eastAsia="方正仿宋_GBK"/>
        <w:sz w:val="28"/>
        <w:szCs w:val="28"/>
      </w:rPr>
      <w:t>—</w:t>
    </w:r>
    <w:sdt>
      <w:sdtPr>
        <w:rPr>
          <w:rFonts w:hint="eastAsia" w:ascii="方正仿宋_GBK" w:eastAsia="方正仿宋_GBK"/>
          <w:sz w:val="28"/>
          <w:szCs w:val="28"/>
        </w:rPr>
        <w:id w:val="7551393"/>
        <w:docPartObj>
          <w:docPartGallery w:val="autotext"/>
        </w:docPartObj>
      </w:sdtPr>
      <w:sdtEndPr>
        <w:rPr>
          <w:rFonts w:hint="eastAsia" w:ascii="方正仿宋_GBK" w:eastAsia="方正仿宋_GBK"/>
          <w:sz w:val="28"/>
          <w:szCs w:val="28"/>
        </w:rPr>
      </w:sdtEndPr>
      <w:sdtContent>
        <w:r>
          <w:rPr>
            <w:rFonts w:hint="eastAsia" w:ascii="方正仿宋_GBK" w:eastAsia="方正仿宋_GBK"/>
            <w:sz w:val="28"/>
            <w:szCs w:val="28"/>
          </w:rPr>
          <w:t xml:space="preserve"> </w:t>
        </w: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   \* MERGEFORMAT </w:instrText>
        </w:r>
        <w:r>
          <w:rPr>
            <w:rFonts w:hint="eastAsia" w:ascii="方正仿宋_GBK" w:eastAsia="方正仿宋_GBK"/>
            <w:sz w:val="28"/>
            <w:szCs w:val="28"/>
          </w:rPr>
          <w:fldChar w:fldCharType="separate"/>
        </w:r>
        <w:r>
          <w:rPr>
            <w:rFonts w:ascii="方正仿宋_GBK" w:eastAsia="方正仿宋_GBK"/>
            <w:sz w:val="28"/>
            <w:szCs w:val="28"/>
            <w:lang w:val="zh-CN"/>
          </w:rPr>
          <w:t>2</w:t>
        </w:r>
        <w:r>
          <w:rPr>
            <w:rFonts w:hint="eastAsia" w:ascii="方正仿宋_GBK" w:eastAsia="方正仿宋_GBK"/>
            <w:sz w:val="28"/>
            <w:szCs w:val="28"/>
          </w:rPr>
          <w:fldChar w:fldCharType="end"/>
        </w:r>
        <w:r>
          <w:rPr>
            <w:rFonts w:hint="eastAsia" w:ascii="方正仿宋_GBK" w:eastAsia="方正仿宋_GBK"/>
            <w:sz w:val="28"/>
            <w:szCs w:val="28"/>
          </w:rPr>
          <w:t xml:space="preserve"> —</w:t>
        </w: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evenAndOddHeaders w:val="1"/>
  <w:drawingGridHorizontalSpacing w:val="105"/>
  <w:drawingGridVerticalSpacing w:val="31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mNWZjYmQ4ZTcwM2QxM2JhYjRhYTg2MmE0YjRmYWIifQ=="/>
  </w:docVars>
  <w:rsids>
    <w:rsidRoot w:val="00DA65A5"/>
    <w:rsid w:val="00001434"/>
    <w:rsid w:val="0000625D"/>
    <w:rsid w:val="0001213D"/>
    <w:rsid w:val="00042E77"/>
    <w:rsid w:val="00054C18"/>
    <w:rsid w:val="0005503E"/>
    <w:rsid w:val="00055A76"/>
    <w:rsid w:val="00075589"/>
    <w:rsid w:val="00095863"/>
    <w:rsid w:val="000B3F90"/>
    <w:rsid w:val="000C66F4"/>
    <w:rsid w:val="000D4DB1"/>
    <w:rsid w:val="000F34A0"/>
    <w:rsid w:val="00123E4F"/>
    <w:rsid w:val="001348AD"/>
    <w:rsid w:val="0015432C"/>
    <w:rsid w:val="0015449B"/>
    <w:rsid w:val="001965DA"/>
    <w:rsid w:val="001973D2"/>
    <w:rsid w:val="001C39DA"/>
    <w:rsid w:val="001D4A38"/>
    <w:rsid w:val="001D797D"/>
    <w:rsid w:val="001E14CF"/>
    <w:rsid w:val="001E2271"/>
    <w:rsid w:val="001F2707"/>
    <w:rsid w:val="0020250A"/>
    <w:rsid w:val="00213456"/>
    <w:rsid w:val="002329CB"/>
    <w:rsid w:val="00234F7D"/>
    <w:rsid w:val="0024551A"/>
    <w:rsid w:val="00246F7F"/>
    <w:rsid w:val="00277261"/>
    <w:rsid w:val="002862CE"/>
    <w:rsid w:val="002C088B"/>
    <w:rsid w:val="002D47B1"/>
    <w:rsid w:val="002E3DA5"/>
    <w:rsid w:val="002E572A"/>
    <w:rsid w:val="003036A2"/>
    <w:rsid w:val="00333B9B"/>
    <w:rsid w:val="00357DCF"/>
    <w:rsid w:val="003A605E"/>
    <w:rsid w:val="003C7E3C"/>
    <w:rsid w:val="003D5589"/>
    <w:rsid w:val="003D6DF5"/>
    <w:rsid w:val="00417175"/>
    <w:rsid w:val="00422EE3"/>
    <w:rsid w:val="00460F5A"/>
    <w:rsid w:val="004700C9"/>
    <w:rsid w:val="004915EF"/>
    <w:rsid w:val="00491FED"/>
    <w:rsid w:val="00495D89"/>
    <w:rsid w:val="004A153A"/>
    <w:rsid w:val="004A2416"/>
    <w:rsid w:val="004B2882"/>
    <w:rsid w:val="004B2ECD"/>
    <w:rsid w:val="004B4804"/>
    <w:rsid w:val="004C36DB"/>
    <w:rsid w:val="004D44EE"/>
    <w:rsid w:val="004E0ABE"/>
    <w:rsid w:val="00503F62"/>
    <w:rsid w:val="0053186D"/>
    <w:rsid w:val="00543B8C"/>
    <w:rsid w:val="00550336"/>
    <w:rsid w:val="00571190"/>
    <w:rsid w:val="005719FA"/>
    <w:rsid w:val="0059092D"/>
    <w:rsid w:val="005A28EC"/>
    <w:rsid w:val="005A4708"/>
    <w:rsid w:val="005A7FE8"/>
    <w:rsid w:val="005C20C3"/>
    <w:rsid w:val="005C7BD2"/>
    <w:rsid w:val="005D1C7E"/>
    <w:rsid w:val="005D2D02"/>
    <w:rsid w:val="005E339F"/>
    <w:rsid w:val="005F1978"/>
    <w:rsid w:val="005F4649"/>
    <w:rsid w:val="005F502E"/>
    <w:rsid w:val="00604A8E"/>
    <w:rsid w:val="00605592"/>
    <w:rsid w:val="00613DE6"/>
    <w:rsid w:val="00637146"/>
    <w:rsid w:val="00643E7A"/>
    <w:rsid w:val="006445DB"/>
    <w:rsid w:val="006461F8"/>
    <w:rsid w:val="0065144C"/>
    <w:rsid w:val="006616F2"/>
    <w:rsid w:val="006627B5"/>
    <w:rsid w:val="006652E4"/>
    <w:rsid w:val="0067322A"/>
    <w:rsid w:val="006C35FD"/>
    <w:rsid w:val="006D39C3"/>
    <w:rsid w:val="006E557D"/>
    <w:rsid w:val="00703531"/>
    <w:rsid w:val="00725CAA"/>
    <w:rsid w:val="007549DC"/>
    <w:rsid w:val="00777109"/>
    <w:rsid w:val="00787CCE"/>
    <w:rsid w:val="00794F6C"/>
    <w:rsid w:val="007A1823"/>
    <w:rsid w:val="007B6EC0"/>
    <w:rsid w:val="007C54C8"/>
    <w:rsid w:val="007C644F"/>
    <w:rsid w:val="007D3AC4"/>
    <w:rsid w:val="007F3C04"/>
    <w:rsid w:val="0080042E"/>
    <w:rsid w:val="00806187"/>
    <w:rsid w:val="008155CE"/>
    <w:rsid w:val="00821AA3"/>
    <w:rsid w:val="00833396"/>
    <w:rsid w:val="0085768A"/>
    <w:rsid w:val="00876587"/>
    <w:rsid w:val="008836DF"/>
    <w:rsid w:val="0088699F"/>
    <w:rsid w:val="00896EC1"/>
    <w:rsid w:val="008A1AB6"/>
    <w:rsid w:val="008B0526"/>
    <w:rsid w:val="008C7F2F"/>
    <w:rsid w:val="008E63B4"/>
    <w:rsid w:val="008F050B"/>
    <w:rsid w:val="009041F0"/>
    <w:rsid w:val="00922A33"/>
    <w:rsid w:val="00955A06"/>
    <w:rsid w:val="00966E75"/>
    <w:rsid w:val="00986DF2"/>
    <w:rsid w:val="00987E06"/>
    <w:rsid w:val="009B5578"/>
    <w:rsid w:val="009C1292"/>
    <w:rsid w:val="009D0BD8"/>
    <w:rsid w:val="009D4F3C"/>
    <w:rsid w:val="009F6A0A"/>
    <w:rsid w:val="00A033DE"/>
    <w:rsid w:val="00A07B52"/>
    <w:rsid w:val="00A12222"/>
    <w:rsid w:val="00A53D4E"/>
    <w:rsid w:val="00A71686"/>
    <w:rsid w:val="00A732D0"/>
    <w:rsid w:val="00A8351B"/>
    <w:rsid w:val="00A95B63"/>
    <w:rsid w:val="00AB0F91"/>
    <w:rsid w:val="00AB2C78"/>
    <w:rsid w:val="00AC10E3"/>
    <w:rsid w:val="00AC4196"/>
    <w:rsid w:val="00AF4602"/>
    <w:rsid w:val="00B2100C"/>
    <w:rsid w:val="00B248C0"/>
    <w:rsid w:val="00B332F4"/>
    <w:rsid w:val="00B35E53"/>
    <w:rsid w:val="00B41477"/>
    <w:rsid w:val="00B45CE9"/>
    <w:rsid w:val="00B50DA8"/>
    <w:rsid w:val="00B52B39"/>
    <w:rsid w:val="00B70311"/>
    <w:rsid w:val="00B8243E"/>
    <w:rsid w:val="00B82CFE"/>
    <w:rsid w:val="00B94369"/>
    <w:rsid w:val="00BB11C8"/>
    <w:rsid w:val="00BB6F7A"/>
    <w:rsid w:val="00BF2672"/>
    <w:rsid w:val="00BF5E9B"/>
    <w:rsid w:val="00C23DFC"/>
    <w:rsid w:val="00C34FE4"/>
    <w:rsid w:val="00C40ED4"/>
    <w:rsid w:val="00C42BF3"/>
    <w:rsid w:val="00C612FD"/>
    <w:rsid w:val="00C76294"/>
    <w:rsid w:val="00C805AF"/>
    <w:rsid w:val="00C912F2"/>
    <w:rsid w:val="00CA018A"/>
    <w:rsid w:val="00CD264E"/>
    <w:rsid w:val="00D040D6"/>
    <w:rsid w:val="00D20715"/>
    <w:rsid w:val="00D25405"/>
    <w:rsid w:val="00D43B71"/>
    <w:rsid w:val="00D90740"/>
    <w:rsid w:val="00DA1CB3"/>
    <w:rsid w:val="00DA6340"/>
    <w:rsid w:val="00DA65A5"/>
    <w:rsid w:val="00DB658E"/>
    <w:rsid w:val="00DC1B71"/>
    <w:rsid w:val="00E045BB"/>
    <w:rsid w:val="00E11342"/>
    <w:rsid w:val="00E40670"/>
    <w:rsid w:val="00E438E3"/>
    <w:rsid w:val="00E44FE0"/>
    <w:rsid w:val="00E77CC1"/>
    <w:rsid w:val="00E8008F"/>
    <w:rsid w:val="00EA0E7D"/>
    <w:rsid w:val="00EB62DF"/>
    <w:rsid w:val="00EC4E32"/>
    <w:rsid w:val="00ED0855"/>
    <w:rsid w:val="00ED15F8"/>
    <w:rsid w:val="00EE077A"/>
    <w:rsid w:val="00EF26B7"/>
    <w:rsid w:val="00F32D2F"/>
    <w:rsid w:val="00F81A46"/>
    <w:rsid w:val="00F83681"/>
    <w:rsid w:val="00FA3848"/>
    <w:rsid w:val="00FB6480"/>
    <w:rsid w:val="00FD614C"/>
    <w:rsid w:val="00FE3B09"/>
    <w:rsid w:val="015376ED"/>
    <w:rsid w:val="0841144D"/>
    <w:rsid w:val="091F08D3"/>
    <w:rsid w:val="09963DFC"/>
    <w:rsid w:val="09B41767"/>
    <w:rsid w:val="09FB55B8"/>
    <w:rsid w:val="0A05340C"/>
    <w:rsid w:val="0A871046"/>
    <w:rsid w:val="0DE12D82"/>
    <w:rsid w:val="10E574A7"/>
    <w:rsid w:val="12161248"/>
    <w:rsid w:val="14496F20"/>
    <w:rsid w:val="14BF5434"/>
    <w:rsid w:val="14F1386F"/>
    <w:rsid w:val="1C702815"/>
    <w:rsid w:val="221768AF"/>
    <w:rsid w:val="222F22DB"/>
    <w:rsid w:val="268B161A"/>
    <w:rsid w:val="2AFF4867"/>
    <w:rsid w:val="2B6366AD"/>
    <w:rsid w:val="2CD657B7"/>
    <w:rsid w:val="3050521C"/>
    <w:rsid w:val="30AE0EB8"/>
    <w:rsid w:val="30CB1972"/>
    <w:rsid w:val="39B61C11"/>
    <w:rsid w:val="39FD1289"/>
    <w:rsid w:val="3B40040D"/>
    <w:rsid w:val="3F93292C"/>
    <w:rsid w:val="3FBE784C"/>
    <w:rsid w:val="441E370E"/>
    <w:rsid w:val="46790A87"/>
    <w:rsid w:val="476D7938"/>
    <w:rsid w:val="491A3933"/>
    <w:rsid w:val="4BC50D08"/>
    <w:rsid w:val="4C06562A"/>
    <w:rsid w:val="4C2945B1"/>
    <w:rsid w:val="4F2D225D"/>
    <w:rsid w:val="51B1305E"/>
    <w:rsid w:val="521E7185"/>
    <w:rsid w:val="55A05AF2"/>
    <w:rsid w:val="5A7D7405"/>
    <w:rsid w:val="5B69440B"/>
    <w:rsid w:val="5D3B7F27"/>
    <w:rsid w:val="62B47CCE"/>
    <w:rsid w:val="63E87188"/>
    <w:rsid w:val="65DC2B58"/>
    <w:rsid w:val="709B0707"/>
    <w:rsid w:val="723D702D"/>
    <w:rsid w:val="727C3957"/>
    <w:rsid w:val="734B14EC"/>
    <w:rsid w:val="79C332C8"/>
    <w:rsid w:val="7A87037D"/>
    <w:rsid w:val="7ACF4BB5"/>
    <w:rsid w:val="7BA14A38"/>
    <w:rsid w:val="7C8F1F7D"/>
    <w:rsid w:val="7FD73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table of authorities"/>
    <w:basedOn w:val="1"/>
    <w:next w:val="1"/>
    <w:autoRedefine/>
    <w:qFormat/>
    <w:uiPriority w:val="0"/>
    <w:pPr>
      <w:ind w:left="420" w:leftChars="200"/>
    </w:pPr>
    <w:rPr>
      <w:rFonts w:ascii="Calibri" w:hAnsi="Calibri" w:eastAsia="宋体" w:cs="Times New Roman"/>
    </w:rPr>
  </w:style>
  <w:style w:type="paragraph" w:styleId="3">
    <w:name w:val="Balloon Text"/>
    <w:basedOn w:val="1"/>
    <w:link w:val="16"/>
    <w:autoRedefine/>
    <w:semiHidden/>
    <w:unhideWhenUsed/>
    <w:qFormat/>
    <w:uiPriority w:val="99"/>
    <w:rPr>
      <w:sz w:val="18"/>
      <w:szCs w:val="18"/>
    </w:rPr>
  </w:style>
  <w:style w:type="paragraph" w:styleId="4">
    <w:name w:val="footer"/>
    <w:basedOn w:val="1"/>
    <w:link w:val="15"/>
    <w:autoRedefine/>
    <w:unhideWhenUsed/>
    <w:qFormat/>
    <w:uiPriority w:val="99"/>
    <w:pPr>
      <w:tabs>
        <w:tab w:val="center" w:pos="4153"/>
        <w:tab w:val="right" w:pos="8306"/>
      </w:tabs>
      <w:snapToGrid w:val="0"/>
      <w:jc w:val="left"/>
    </w:pPr>
    <w:rPr>
      <w:sz w:val="18"/>
      <w:szCs w:val="18"/>
    </w:rPr>
  </w:style>
  <w:style w:type="paragraph" w:styleId="5">
    <w:name w:val="header"/>
    <w:basedOn w:val="1"/>
    <w:link w:val="14"/>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Title"/>
    <w:basedOn w:val="1"/>
    <w:next w:val="1"/>
    <w:qFormat/>
    <w:uiPriority w:val="0"/>
    <w:pPr>
      <w:spacing w:before="240" w:after="60"/>
      <w:jc w:val="center"/>
      <w:outlineLvl w:val="0"/>
    </w:pPr>
    <w:rPr>
      <w:rFonts w:ascii="等线 Light" w:eastAsia="等线 Light" w:cs="Times New Roman"/>
      <w:b/>
      <w:bCs/>
      <w:sz w:val="32"/>
      <w:szCs w:val="32"/>
    </w:rPr>
  </w:style>
  <w:style w:type="table" w:styleId="9">
    <w:name w:val="Table Grid"/>
    <w:basedOn w:val="8"/>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autoRedefine/>
    <w:qFormat/>
    <w:uiPriority w:val="0"/>
  </w:style>
  <w:style w:type="character" w:styleId="12">
    <w:name w:val="Emphasis"/>
    <w:basedOn w:val="10"/>
    <w:autoRedefine/>
    <w:qFormat/>
    <w:uiPriority w:val="20"/>
    <w:rPr>
      <w:i/>
      <w:iCs/>
    </w:rPr>
  </w:style>
  <w:style w:type="character" w:styleId="13">
    <w:name w:val="Hyperlink"/>
    <w:basedOn w:val="10"/>
    <w:autoRedefine/>
    <w:unhideWhenUsed/>
    <w:qFormat/>
    <w:uiPriority w:val="99"/>
    <w:rPr>
      <w:color w:val="0000FF" w:themeColor="hyperlink"/>
      <w:u w:val="single"/>
      <w14:textFill>
        <w14:solidFill>
          <w14:schemeClr w14:val="hlink"/>
        </w14:solidFill>
      </w14:textFill>
    </w:rPr>
  </w:style>
  <w:style w:type="character" w:customStyle="1" w:styleId="14">
    <w:name w:val="页眉 Char"/>
    <w:basedOn w:val="10"/>
    <w:link w:val="5"/>
    <w:autoRedefine/>
    <w:qFormat/>
    <w:uiPriority w:val="0"/>
    <w:rPr>
      <w:sz w:val="18"/>
      <w:szCs w:val="18"/>
    </w:rPr>
  </w:style>
  <w:style w:type="character" w:customStyle="1" w:styleId="15">
    <w:name w:val="页脚 Char"/>
    <w:basedOn w:val="10"/>
    <w:link w:val="4"/>
    <w:autoRedefine/>
    <w:qFormat/>
    <w:uiPriority w:val="99"/>
    <w:rPr>
      <w:sz w:val="18"/>
      <w:szCs w:val="18"/>
    </w:rPr>
  </w:style>
  <w:style w:type="character" w:customStyle="1" w:styleId="16">
    <w:name w:val="批注框文本 Char"/>
    <w:basedOn w:val="10"/>
    <w:link w:val="3"/>
    <w:autoRedefine/>
    <w:semiHidden/>
    <w:qFormat/>
    <w:uiPriority w:val="99"/>
    <w:rPr>
      <w:rFonts w:asciiTheme="minorHAnsi" w:hAnsiTheme="minorHAnsi" w:eastAsiaTheme="minorEastAsia" w:cstheme="minorBidi"/>
      <w:kern w:val="2"/>
      <w:sz w:val="18"/>
      <w:szCs w:val="18"/>
    </w:rPr>
  </w:style>
  <w:style w:type="paragraph" w:styleId="17">
    <w:name w:val="List Paragraph"/>
    <w:basedOn w:val="1"/>
    <w:autoRedefine/>
    <w:qFormat/>
    <w:uiPriority w:val="99"/>
    <w:pPr>
      <w:ind w:firstLine="420" w:firstLineChars="200"/>
    </w:pPr>
  </w:style>
  <w:style w:type="paragraph" w:customStyle="1" w:styleId="18">
    <w:name w:val="one-p1"/>
    <w:basedOn w:val="1"/>
    <w:autoRedefine/>
    <w:qFormat/>
    <w:uiPriority w:val="0"/>
    <w:pPr>
      <w:widowControl/>
      <w:spacing w:before="100" w:beforeAutospacing="1" w:after="480" w:line="480" w:lineRule="auto"/>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3C85836-7E10-4AFC-8C58-0EDF2878E92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5048</Words>
  <Characters>5174</Characters>
  <Lines>43</Lines>
  <Paragraphs>12</Paragraphs>
  <TotalTime>3</TotalTime>
  <ScaleCrop>false</ScaleCrop>
  <LinksUpToDate>false</LinksUpToDate>
  <CharactersWithSpaces>5221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2021-03-04T06:57:00Z</dcterms:created>
  <dc:creator>CQ</dc:creator>
  <cp:lastModifiedBy>Administrator</cp:lastModifiedBy>
  <cp:lastPrinted>2023-03-23T06:50:00Z</cp:lastPrinted>
  <dcterms:modified xsi:type="dcterms:W3CDTF">2024-05-16T02:24:57Z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D27DD36F85194F01B58B97315FF19321</vt:lpwstr>
  </property>
</Properties>
</file>