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附件2 重庆西永微电园师牛</w:t>
      </w:r>
      <w:bookmarkStart w:id="0" w:name="_GoBack"/>
      <w:bookmarkEnd w:id="0"/>
      <w:r>
        <w:rPr>
          <w:rFonts w:hint="eastAsia"/>
        </w:rPr>
        <w:t>路沿线地块控规一般技术性内容修改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724275"/>
            <wp:effectExtent l="0" t="0" r="12065" b="9525"/>
            <wp:docPr id="1" name="图片 1" descr="附件2 重庆西永微电园师牛路沿线地块控规一般技术性内容修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2 重庆西永微电园师牛路沿线地块控规一般技术性内容修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8A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2020-07-31T09:21:17Z</dcterms:created>
  <dc:creator>Administrator</dc:creator>
  <cp:lastModifiedBy>范兴欣</cp:lastModifiedBy>
  <dcterms:modified xsi:type="dcterms:W3CDTF">2020-07-31T09:21:58Z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