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A1" w:rsidRPr="00E03A96" w:rsidRDefault="007573A1" w:rsidP="007573A1">
      <w:pPr>
        <w:rPr>
          <w:rFonts w:eastAsia="方正黑体_GBK" w:cs="方正黑体_GBK"/>
          <w:bCs/>
          <w:szCs w:val="32"/>
        </w:rPr>
      </w:pPr>
      <w:bookmarkStart w:id="0" w:name="_GoBack"/>
      <w:bookmarkEnd w:id="0"/>
      <w:r w:rsidRPr="00E03A96">
        <w:rPr>
          <w:rFonts w:eastAsia="方正黑体_GBK" w:hAnsi="方正黑体_GBK" w:cs="方正黑体_GBK" w:hint="eastAsia"/>
          <w:bCs/>
          <w:szCs w:val="32"/>
        </w:rPr>
        <w:t>附件</w:t>
      </w:r>
    </w:p>
    <w:p w:rsidR="007573A1" w:rsidRPr="00E03A96" w:rsidRDefault="007573A1" w:rsidP="007573A1">
      <w:pPr>
        <w:spacing w:line="54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 w:rsidR="007573A1" w:rsidRPr="00E03A96" w:rsidRDefault="007573A1" w:rsidP="007573A1">
      <w:pPr>
        <w:jc w:val="center"/>
        <w:rPr>
          <w:rFonts w:eastAsia="方正小标宋_GBK" w:cs="方正小标宋_GBK"/>
          <w:bCs/>
          <w:sz w:val="44"/>
          <w:szCs w:val="44"/>
        </w:rPr>
      </w:pPr>
      <w:r w:rsidRPr="00E03A96">
        <w:rPr>
          <w:rFonts w:eastAsia="方正小标宋_GBK" w:hAnsi="方正小标宋_GBK" w:cs="方正小标宋_GBK" w:hint="eastAsia"/>
          <w:bCs/>
          <w:sz w:val="44"/>
          <w:szCs w:val="44"/>
        </w:rPr>
        <w:t>重庆高新区城镇天然气经营企业安全评估指引</w:t>
      </w:r>
    </w:p>
    <w:tbl>
      <w:tblPr>
        <w:tblW w:w="1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281"/>
        <w:gridCol w:w="4773"/>
        <w:gridCol w:w="3968"/>
        <w:gridCol w:w="2440"/>
      </w:tblGrid>
      <w:tr w:rsidR="007573A1" w:rsidRPr="00E03A96" w:rsidTr="00BE3370">
        <w:trPr>
          <w:trHeight w:val="724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rFonts w:eastAsia="方正黑体_GBK"/>
                <w:bCs/>
                <w:sz w:val="24"/>
                <w:szCs w:val="24"/>
              </w:rPr>
            </w:pPr>
            <w:r w:rsidRPr="00E03A96">
              <w:rPr>
                <w:rFonts w:eastAsia="方正黑体_GBK"/>
                <w:bCs/>
                <w:sz w:val="24"/>
                <w:szCs w:val="24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rFonts w:eastAsia="方正黑体_GBK"/>
                <w:bCs/>
                <w:sz w:val="24"/>
                <w:szCs w:val="24"/>
              </w:rPr>
            </w:pPr>
            <w:r w:rsidRPr="00E03A96">
              <w:rPr>
                <w:rFonts w:eastAsia="方正黑体_GBK"/>
                <w:bCs/>
                <w:sz w:val="24"/>
                <w:szCs w:val="24"/>
              </w:rPr>
              <w:t>评估</w:t>
            </w:r>
          </w:p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rFonts w:eastAsia="方正黑体_GBK"/>
                <w:bCs/>
                <w:sz w:val="24"/>
                <w:szCs w:val="24"/>
              </w:rPr>
            </w:pPr>
            <w:r w:rsidRPr="00E03A96">
              <w:rPr>
                <w:rFonts w:eastAsia="方正黑体_GBK"/>
                <w:bCs/>
                <w:sz w:val="24"/>
                <w:szCs w:val="24"/>
              </w:rPr>
              <w:t>项目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rFonts w:eastAsia="方正黑体_GBK"/>
                <w:bCs/>
                <w:sz w:val="24"/>
                <w:szCs w:val="24"/>
              </w:rPr>
            </w:pPr>
            <w:r w:rsidRPr="00E03A96">
              <w:rPr>
                <w:rFonts w:eastAsia="方正黑体_GBK"/>
                <w:bCs/>
                <w:sz w:val="24"/>
                <w:szCs w:val="24"/>
              </w:rPr>
              <w:t>评估重点内容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rFonts w:eastAsia="方正黑体_GBK"/>
                <w:bCs/>
                <w:sz w:val="24"/>
                <w:szCs w:val="24"/>
              </w:rPr>
            </w:pPr>
            <w:r w:rsidRPr="00E03A96">
              <w:rPr>
                <w:rFonts w:eastAsia="方正黑体_GBK"/>
                <w:bCs/>
                <w:sz w:val="24"/>
                <w:szCs w:val="24"/>
              </w:rPr>
              <w:t>对照标准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rFonts w:eastAsia="方正黑体_GBK"/>
                <w:bCs/>
                <w:sz w:val="24"/>
                <w:szCs w:val="24"/>
              </w:rPr>
            </w:pPr>
            <w:r w:rsidRPr="00E03A96">
              <w:rPr>
                <w:rFonts w:eastAsia="方正黑体_GBK"/>
                <w:bCs/>
                <w:sz w:val="24"/>
                <w:szCs w:val="24"/>
              </w:rPr>
              <w:t>评估方式</w:t>
            </w:r>
          </w:p>
        </w:tc>
      </w:tr>
      <w:tr w:rsidR="007573A1" w:rsidRPr="00E03A96" w:rsidTr="00BE3370">
        <w:trPr>
          <w:trHeight w:val="13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机构职责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包括但不限于：组织机构建立健全情况、从业人员配备和持证上岗情况、安全生产责任制建立落实情况。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《安全生产法》《重庆市天然气管理条例》《重庆市城镇天然气经营许可实施办法》等法律法规、技术规范。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查阅资料、现场核查。</w:t>
            </w:r>
          </w:p>
        </w:tc>
      </w:tr>
      <w:tr w:rsidR="007573A1" w:rsidRPr="00E03A96" w:rsidTr="00BE3370">
        <w:trPr>
          <w:trHeight w:val="22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制度管理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包括但不限于：法律法规及标准规范识别和获取情况、规章制度建立落实情况、与制度配套技术规程标准完备性、合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性、可操作性情况，经营许可有效期内安全管理制度更新完善情况。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《安全生产法》《建筑法》</w:t>
            </w:r>
            <w:r w:rsidR="000F378A">
              <w:rPr>
                <w:sz w:val="24"/>
                <w:szCs w:val="24"/>
              </w:rPr>
              <w:t>《中华人民共和国特种设备安全法》</w:t>
            </w:r>
            <w:r w:rsidRPr="00E03A96">
              <w:rPr>
                <w:sz w:val="24"/>
                <w:szCs w:val="24"/>
              </w:rPr>
              <w:t>《城镇燃气管理条例》《重庆市天然气管理条例》《城镇燃气经营企业安全生产标准化评定标准》《城镇燃气设施运行、维护和抢修安全技术规程》等法律法规、技术规范。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查阅资料、现场核查。</w:t>
            </w:r>
          </w:p>
        </w:tc>
      </w:tr>
      <w:tr w:rsidR="007573A1" w:rsidRPr="00E03A96" w:rsidTr="00BE3370">
        <w:trPr>
          <w:trHeight w:val="24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培训教育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包括但不限于：运行维护抢修类人员专业技术水平情况、从业人员培训教育中长期规划（计划）以及年度计划制订落实情况、从业人员岗位法规技术应知应会掌握情况、经营许可有效期内培训教育。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《城镇燃气行业从业人员专业培训考核管理办法》。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查阅资料、现场核查、实操考核。</w:t>
            </w:r>
          </w:p>
        </w:tc>
      </w:tr>
      <w:tr w:rsidR="007573A1" w:rsidRPr="00E03A96" w:rsidTr="00BE3370">
        <w:trPr>
          <w:trHeight w:val="24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设施管理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包括但不限于：经营许可有效期内设计文件合法合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情况（设计单位资质条件、设计内容符合国家有关标准规范情况、设计文件符合国家有关规定规范情况、设计人员参与现场交底和竣工验收情况）、施工合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情况（施工单位资质条件、符合设计文件和有关标准规范情况、安全设施</w:t>
            </w:r>
            <w:r w:rsidRPr="00E03A96">
              <w:rPr>
                <w:sz w:val="24"/>
                <w:szCs w:val="24"/>
              </w:rPr>
              <w:t>“</w:t>
            </w:r>
            <w:r w:rsidRPr="00E03A96">
              <w:rPr>
                <w:sz w:val="24"/>
                <w:szCs w:val="24"/>
              </w:rPr>
              <w:t>三同时</w:t>
            </w:r>
            <w:r w:rsidRPr="00E03A96">
              <w:rPr>
                <w:sz w:val="24"/>
                <w:szCs w:val="24"/>
              </w:rPr>
              <w:t>”</w:t>
            </w:r>
            <w:r w:rsidRPr="00E03A96">
              <w:rPr>
                <w:sz w:val="24"/>
                <w:szCs w:val="24"/>
              </w:rPr>
              <w:t>、安全评价情况、特种设备监督检验情况、设备采购管理情况）、监理合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情况（监理单位资质条件、监理单位监理责任落实情况、监理资料完善情况）、验收合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情况（验收条件合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情况、验收程序合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情况、验收资料档案管理及测绘合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情况）。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《建筑法》</w:t>
            </w:r>
            <w:r w:rsidR="000F378A">
              <w:rPr>
                <w:sz w:val="24"/>
                <w:szCs w:val="24"/>
              </w:rPr>
              <w:t>《中华人民共和国特种设备安全法》</w:t>
            </w:r>
            <w:r w:rsidRPr="00E03A96">
              <w:rPr>
                <w:sz w:val="24"/>
                <w:szCs w:val="24"/>
              </w:rPr>
              <w:t>《城镇燃气管理条例》《重庆市天然气管理条例》《城镇燃气经营企业安全生产标准化评定标准》《城镇燃气设施运行、维护和抢修安全技术规程》等法律法规、技术规范。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查阅资料、现场核查、实操考核、投诉举报核查。</w:t>
            </w:r>
          </w:p>
        </w:tc>
      </w:tr>
      <w:tr w:rsidR="007573A1" w:rsidRPr="00E03A96" w:rsidTr="00BE3370">
        <w:trPr>
          <w:trHeight w:val="33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站场运行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包括但不限于：出入站安全管理、加</w:t>
            </w:r>
            <w:proofErr w:type="gramStart"/>
            <w:r w:rsidRPr="00E03A96">
              <w:rPr>
                <w:sz w:val="24"/>
                <w:szCs w:val="24"/>
              </w:rPr>
              <w:t>臭设施</w:t>
            </w:r>
            <w:proofErr w:type="gramEnd"/>
            <w:r w:rsidRPr="00E03A96">
              <w:rPr>
                <w:sz w:val="24"/>
                <w:szCs w:val="24"/>
              </w:rPr>
              <w:t>及运行管理合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情况、与</w:t>
            </w:r>
            <w:proofErr w:type="gramStart"/>
            <w:r w:rsidRPr="00E03A96">
              <w:rPr>
                <w:sz w:val="24"/>
                <w:szCs w:val="24"/>
              </w:rPr>
              <w:t>周边建</w:t>
            </w:r>
            <w:proofErr w:type="gramEnd"/>
            <w:r w:rsidRPr="00E03A96">
              <w:rPr>
                <w:sz w:val="24"/>
                <w:szCs w:val="24"/>
              </w:rPr>
              <w:t>构筑物等设施安全间距合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情况、站内消防通道和交通通行条件合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情况、储配工艺设施运行维护保养合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情况及安全平稳运行情况、站内安全设施运行维护保养合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情况及安全平稳运行情况、消防设施运行维护保养合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情况及安全平稳运行情况、压力设备和仪器仪表定期检验情况。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《建筑法》</w:t>
            </w:r>
            <w:r w:rsidR="000F378A">
              <w:rPr>
                <w:sz w:val="24"/>
                <w:szCs w:val="24"/>
              </w:rPr>
              <w:t>《中华人民共和国特种设备安全法》</w:t>
            </w:r>
            <w:r w:rsidRPr="00E03A96">
              <w:rPr>
                <w:sz w:val="24"/>
                <w:szCs w:val="24"/>
              </w:rPr>
              <w:t>《城镇燃气管理条例》《重庆市天然气管理条例》《城镇燃气经营企业安全生产标准化评定标准》《城镇燃气设施运行、维护和抢修安全技术规程》等法律法规、技术规范。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查阅资料、现场核查、实操考核、投诉举报核查、模拟测试。</w:t>
            </w:r>
          </w:p>
        </w:tc>
      </w:tr>
      <w:tr w:rsidR="007573A1" w:rsidRPr="00E03A96" w:rsidTr="00BE3370">
        <w:trPr>
          <w:trHeight w:val="24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管道运行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包括但不限于：中压及以上管道设施</w:t>
            </w:r>
            <w:proofErr w:type="gramStart"/>
            <w:r w:rsidRPr="00E03A96">
              <w:rPr>
                <w:sz w:val="24"/>
                <w:szCs w:val="24"/>
              </w:rPr>
              <w:t>台账及测绘</w:t>
            </w:r>
            <w:proofErr w:type="gramEnd"/>
            <w:r w:rsidRPr="00E03A96">
              <w:rPr>
                <w:sz w:val="24"/>
                <w:szCs w:val="24"/>
              </w:rPr>
              <w:t>情况、管道及附件运行状态及运行维护保养合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情况、定期巡查及第三</w:t>
            </w:r>
            <w:proofErr w:type="gramStart"/>
            <w:r w:rsidRPr="00E03A96">
              <w:rPr>
                <w:sz w:val="24"/>
                <w:szCs w:val="24"/>
              </w:rPr>
              <w:t>方破坏</w:t>
            </w:r>
            <w:proofErr w:type="gramEnd"/>
            <w:r w:rsidRPr="00E03A96">
              <w:rPr>
                <w:sz w:val="24"/>
                <w:szCs w:val="24"/>
              </w:rPr>
              <w:t>防范情况、泄漏和保护性措施检测检验落实及整改情况、压力管道定期检验情况、报废或停用管道处置合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《建筑法》</w:t>
            </w:r>
            <w:r w:rsidR="000F378A">
              <w:rPr>
                <w:sz w:val="24"/>
                <w:szCs w:val="24"/>
              </w:rPr>
              <w:t>《中华人民共和国特种设备安全法》</w:t>
            </w:r>
            <w:r w:rsidRPr="00E03A96">
              <w:rPr>
                <w:sz w:val="24"/>
                <w:szCs w:val="24"/>
              </w:rPr>
              <w:t>《城镇燃气管理条例》《重庆市天然气管理条例》《城镇燃气经营企业安全生产标准化评定标准》《城镇燃气设施运行、维护和抢修安全技术规程》等法律法规、技术规范。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查阅资料、现场核查、实操考核、投诉举报核查、暗访检查、模拟测试。</w:t>
            </w:r>
          </w:p>
        </w:tc>
      </w:tr>
      <w:tr w:rsidR="007573A1" w:rsidRPr="00E03A96" w:rsidTr="00BE3370">
        <w:trPr>
          <w:trHeight w:val="24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作业管理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包括但不限于：作业单位及人员资质资格合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情况、作业活动审批管理及落实情况、作业现场管理情况。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《建筑法》</w:t>
            </w:r>
            <w:r w:rsidR="000F378A">
              <w:rPr>
                <w:sz w:val="24"/>
                <w:szCs w:val="24"/>
              </w:rPr>
              <w:t>《中华人民共和国特种设备安全法》</w:t>
            </w:r>
            <w:r w:rsidRPr="00E03A96">
              <w:rPr>
                <w:sz w:val="24"/>
                <w:szCs w:val="24"/>
              </w:rPr>
              <w:t>《城镇燃气管理条例》《重庆市天然气管理条例》《城镇燃气经营企业安全生产标准化评定标准》《城镇燃气设施运行、维护和抢修安全技术规程》等法律法规、技术规范。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查阅资料、现场核查、实操考核、投诉举报核查。</w:t>
            </w:r>
          </w:p>
        </w:tc>
      </w:tr>
      <w:tr w:rsidR="007573A1" w:rsidRPr="00E03A96" w:rsidTr="00BE3370">
        <w:trPr>
          <w:trHeight w:val="13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用户管理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包括但不限于：单位</w:t>
            </w:r>
            <w:proofErr w:type="gramStart"/>
            <w:r w:rsidRPr="00E03A96">
              <w:rPr>
                <w:sz w:val="24"/>
                <w:szCs w:val="24"/>
              </w:rPr>
              <w:t>用户台</w:t>
            </w:r>
            <w:proofErr w:type="gramEnd"/>
            <w:r w:rsidRPr="00E03A96">
              <w:rPr>
                <w:sz w:val="24"/>
                <w:szCs w:val="24"/>
              </w:rPr>
              <w:t>账清单建立及入户检查落实情况、单位用户户内安全状况、督促指导单位用户建立安全管理制度情况、单位用户安全管理落实情况、高层建筑清单及高层建筑小区庭院管网台账和测绘情况、用户入户检查规程合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合理性、居民用户入户检查计划及落实情况、建立用户隐患分析制度及举一反三落实情况、入户检查操作合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性、为用户安装燃气设施和安全设施的合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性合法性、用气安全宣传</w:t>
            </w:r>
            <w:r w:rsidRPr="00E03A96">
              <w:rPr>
                <w:sz w:val="24"/>
                <w:szCs w:val="24"/>
              </w:rPr>
              <w:t>“</w:t>
            </w:r>
            <w:r w:rsidRPr="00E03A96">
              <w:rPr>
                <w:sz w:val="24"/>
                <w:szCs w:val="24"/>
              </w:rPr>
              <w:t>五进</w:t>
            </w:r>
            <w:r w:rsidRPr="00E03A96">
              <w:rPr>
                <w:sz w:val="24"/>
                <w:szCs w:val="24"/>
              </w:rPr>
              <w:t>”</w:t>
            </w:r>
            <w:r w:rsidRPr="00E03A96">
              <w:rPr>
                <w:sz w:val="24"/>
                <w:szCs w:val="24"/>
              </w:rPr>
              <w:t>及楼栋宣传全覆盖情况、抢险报修服务电话畅通及到位情况。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安全生产法》《消防安全法》《城镇燃气管理条例》《重庆市天然气管理条例》《城镇燃气经营企业安全生产标准化评定标准》《城镇燃气设施运行、维护和抢修安全技术规程》《用户导则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查阅资料、现场检查、暗访检查、模拟测试。</w:t>
            </w:r>
          </w:p>
        </w:tc>
      </w:tr>
      <w:tr w:rsidR="007573A1" w:rsidRPr="00E03A96" w:rsidTr="00BE3370">
        <w:trPr>
          <w:trHeight w:val="22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风险管控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包括但不限于：本企业风险点（源）台账清单完整性及挂牌全覆盖情况、风险评估制度及落实情况、风险防控措施落实情况及合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性合理性、重大危险源辨识管控情况、隐患排查整治情况。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安全生产法》《消防安全法》《城镇燃气管理条例》《重庆市天然气管理条例》《城镇燃气经营企业安全生产标准化评定标准》《城镇燃气设施运行、维护和抢修安全技术规程》《用户导则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查阅资料、现场检查、暗访检查、模拟测试。</w:t>
            </w:r>
          </w:p>
        </w:tc>
      </w:tr>
      <w:tr w:rsidR="007573A1" w:rsidRPr="00E03A96" w:rsidTr="00BE3370">
        <w:trPr>
          <w:trHeight w:val="24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应急管理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包括但不限于：供应和事故应急预案编制及修订、应急预案备案及发布情况、子预案及处置方案编制情况、应急预案演练及评价情况、应急队伍建立及应急处置能力、应急处置外协单位及人员资质资格情况、应急抢险专人专线</w:t>
            </w:r>
            <w:r w:rsidRPr="00E03A96">
              <w:rPr>
                <w:sz w:val="24"/>
                <w:szCs w:val="24"/>
              </w:rPr>
              <w:t>24</w:t>
            </w:r>
            <w:r w:rsidRPr="00E03A96">
              <w:rPr>
                <w:sz w:val="24"/>
                <w:szCs w:val="24"/>
              </w:rPr>
              <w:t>小时值守落实情况、应急物资装备配备管理情况、事故先期处置合</w:t>
            </w:r>
            <w:proofErr w:type="gramStart"/>
            <w:r w:rsidRPr="00E03A96">
              <w:rPr>
                <w:sz w:val="24"/>
                <w:szCs w:val="24"/>
              </w:rPr>
              <w:t>规</w:t>
            </w:r>
            <w:proofErr w:type="gramEnd"/>
            <w:r w:rsidRPr="00E03A96">
              <w:rPr>
                <w:sz w:val="24"/>
                <w:szCs w:val="24"/>
              </w:rPr>
              <w:t>情况、事故现场处置情况、停复气安全措施及落实情况。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《安全生产法》《消防安全法》《突发事件应对法》《城镇燃气管理条例》《重庆市天然气管理条例》《城镇燃气经营企业安全生产标准化评定标准》《城镇燃气设施运行、维护和抢修安全技术规程》《用户导则》等法律法规、技术规范。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A1" w:rsidRPr="00E03A96" w:rsidRDefault="007573A1" w:rsidP="00BE3370">
            <w:pPr>
              <w:tabs>
                <w:tab w:val="right" w:leader="dot" w:pos="8494"/>
              </w:tabs>
              <w:adjustRightInd w:val="0"/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E03A96">
              <w:rPr>
                <w:sz w:val="24"/>
                <w:szCs w:val="24"/>
              </w:rPr>
              <w:t>查阅资料、现场检查、暗访检查、模拟测试。</w:t>
            </w:r>
          </w:p>
        </w:tc>
      </w:tr>
    </w:tbl>
    <w:p w:rsidR="007573A1" w:rsidRPr="00E03A96" w:rsidRDefault="007573A1" w:rsidP="007573A1">
      <w:pPr>
        <w:pStyle w:val="a3"/>
        <w:sectPr w:rsidR="007573A1" w:rsidRPr="00E03A96">
          <w:pgSz w:w="16838" w:h="11906" w:orient="landscape"/>
          <w:pgMar w:top="1531" w:right="2098" w:bottom="1531" w:left="1984" w:header="851" w:footer="992" w:gutter="0"/>
          <w:cols w:space="0"/>
          <w:docGrid w:type="lines" w:linePitch="442"/>
        </w:sectPr>
      </w:pPr>
    </w:p>
    <w:p w:rsidR="005D45E6" w:rsidRDefault="005D45E6"/>
    <w:sectPr w:rsidR="005D45E6" w:rsidSect="007573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3A1"/>
    <w:rsid w:val="000F378A"/>
    <w:rsid w:val="005D45E6"/>
    <w:rsid w:val="007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E3A8A-F16C-49D8-BF6A-E1C50267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573A1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73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7"/>
    <w:link w:val="a4"/>
    <w:qFormat/>
    <w:rsid w:val="007573A1"/>
    <w:pPr>
      <w:spacing w:after="120"/>
    </w:pPr>
    <w:rPr>
      <w:rFonts w:eastAsia="宋体"/>
    </w:rPr>
  </w:style>
  <w:style w:type="character" w:customStyle="1" w:styleId="a4">
    <w:name w:val="正文文本 字符"/>
    <w:basedOn w:val="a0"/>
    <w:link w:val="a3"/>
    <w:rsid w:val="007573A1"/>
    <w:rPr>
      <w:rFonts w:ascii="Times New Roman" w:eastAsia="宋体" w:hAnsi="Times New Roman" w:cs="Times New Roman"/>
      <w:sz w:val="32"/>
      <w:szCs w:val="20"/>
    </w:rPr>
  </w:style>
  <w:style w:type="character" w:customStyle="1" w:styleId="10">
    <w:name w:val="标题 1 字符"/>
    <w:basedOn w:val="a0"/>
    <w:link w:val="1"/>
    <w:uiPriority w:val="9"/>
    <w:rsid w:val="007573A1"/>
    <w:rPr>
      <w:rFonts w:ascii="Times New Roman" w:eastAsia="方正仿宋_GBK" w:hAnsi="Times New Roman" w:cs="Times New Roman"/>
      <w:b/>
      <w:bCs/>
      <w:kern w:val="44"/>
      <w:sz w:val="44"/>
      <w:szCs w:val="44"/>
    </w:rPr>
  </w:style>
  <w:style w:type="paragraph" w:styleId="7">
    <w:name w:val="index 7"/>
    <w:basedOn w:val="a"/>
    <w:next w:val="a"/>
    <w:autoRedefine/>
    <w:uiPriority w:val="99"/>
    <w:semiHidden/>
    <w:unhideWhenUsed/>
    <w:rsid w:val="007573A1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2021-10-22T08:14:00Z</dcterms:created>
  <dcterms:modified xsi:type="dcterms:W3CDTF">2022-02-25T02:47:00Z</dcterms:modified>
</cp:coreProperties>
</file>