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3C" w:rsidRDefault="002B0C3C" w:rsidP="002B0C3C">
      <w:pPr>
        <w:pStyle w:val="a0"/>
      </w:pPr>
      <w:bookmarkStart w:id="0" w:name="_GoBack"/>
      <w:bookmarkEnd w:id="0"/>
    </w:p>
    <w:p w:rsidR="00E9741A" w:rsidRDefault="00E9741A" w:rsidP="002B0C3C">
      <w:pPr>
        <w:pStyle w:val="a0"/>
      </w:pPr>
    </w:p>
    <w:p w:rsidR="00E9741A" w:rsidRDefault="00E9741A" w:rsidP="002B0C3C">
      <w:pPr>
        <w:pStyle w:val="a0"/>
      </w:pPr>
    </w:p>
    <w:p w:rsidR="00E9741A" w:rsidRDefault="00E9741A" w:rsidP="002B0C3C">
      <w:pPr>
        <w:pStyle w:val="a0"/>
      </w:pPr>
    </w:p>
    <w:p w:rsidR="00E9741A" w:rsidRDefault="00E9741A" w:rsidP="002B0C3C">
      <w:pPr>
        <w:pStyle w:val="a0"/>
      </w:pPr>
    </w:p>
    <w:p w:rsidR="00E9741A" w:rsidRDefault="00E9741A" w:rsidP="002B0C3C">
      <w:pPr>
        <w:pStyle w:val="a0"/>
      </w:pPr>
    </w:p>
    <w:p w:rsidR="002B0C3C" w:rsidRDefault="002B0C3C" w:rsidP="002B0C3C">
      <w:pPr>
        <w:pStyle w:val="a0"/>
      </w:pPr>
    </w:p>
    <w:p w:rsidR="002B0C3C" w:rsidRPr="002B0C3C" w:rsidRDefault="002B0C3C" w:rsidP="002B0C3C">
      <w:pPr>
        <w:pStyle w:val="a0"/>
      </w:pPr>
    </w:p>
    <w:p w:rsidR="002B0C3C" w:rsidRDefault="00DE6B50" w:rsidP="002B0C3C">
      <w:pPr>
        <w:jc w:val="center"/>
        <w:rPr>
          <w:rFonts w:ascii="方正小标宋_GBK" w:eastAsia="方正小标宋_GBK" w:hAnsi="黑体"/>
          <w:bCs/>
          <w:sz w:val="52"/>
          <w:szCs w:val="52"/>
        </w:rPr>
      </w:pPr>
      <w:r w:rsidRPr="002B0C3C">
        <w:rPr>
          <w:rFonts w:ascii="方正小标宋_GBK" w:eastAsia="方正小标宋_GBK" w:hAnsi="黑体" w:hint="eastAsia"/>
          <w:bCs/>
          <w:sz w:val="52"/>
          <w:szCs w:val="52"/>
        </w:rPr>
        <w:t>重庆高新区“十四五”高技术服务业</w:t>
      </w:r>
    </w:p>
    <w:p w:rsidR="00F9707F" w:rsidRPr="002B0C3C" w:rsidRDefault="00DE6B50" w:rsidP="002B0C3C">
      <w:pPr>
        <w:jc w:val="center"/>
        <w:rPr>
          <w:rFonts w:ascii="方正小标宋_GBK" w:eastAsia="方正小标宋_GBK" w:hAnsi="黑体"/>
          <w:bCs/>
          <w:sz w:val="52"/>
          <w:szCs w:val="52"/>
        </w:rPr>
      </w:pPr>
      <w:r w:rsidRPr="002B0C3C">
        <w:rPr>
          <w:rFonts w:ascii="方正小标宋_GBK" w:eastAsia="方正小标宋_GBK" w:hAnsi="黑体" w:hint="eastAsia"/>
          <w:bCs/>
          <w:sz w:val="52"/>
          <w:szCs w:val="52"/>
        </w:rPr>
        <w:t>发展规划</w:t>
      </w:r>
    </w:p>
    <w:p w:rsidR="00F9707F" w:rsidRDefault="00F9707F">
      <w:pPr>
        <w:ind w:firstLineChars="200" w:firstLine="640"/>
        <w:jc w:val="center"/>
        <w:rPr>
          <w:rFonts w:eastAsia="楷体"/>
          <w:bCs/>
          <w:szCs w:val="30"/>
        </w:rPr>
      </w:pPr>
    </w:p>
    <w:p w:rsidR="00F9707F" w:rsidRDefault="00F9707F">
      <w:pPr>
        <w:pStyle w:val="a0"/>
        <w:ind w:firstLineChars="200" w:firstLine="360"/>
        <w:jc w:val="center"/>
      </w:pPr>
    </w:p>
    <w:p w:rsidR="00F9707F" w:rsidRDefault="00F9707F">
      <w:pPr>
        <w:ind w:firstLineChars="200" w:firstLine="640"/>
        <w:jc w:val="center"/>
        <w:rPr>
          <w:rFonts w:eastAsia="楷体"/>
          <w:bCs/>
          <w:szCs w:val="30"/>
        </w:rPr>
      </w:pPr>
    </w:p>
    <w:p w:rsidR="00F9707F" w:rsidRDefault="00F9707F">
      <w:pPr>
        <w:ind w:firstLineChars="200" w:firstLine="640"/>
        <w:jc w:val="center"/>
        <w:rPr>
          <w:rFonts w:eastAsia="楷体"/>
          <w:bCs/>
          <w:szCs w:val="30"/>
        </w:rPr>
      </w:pPr>
    </w:p>
    <w:p w:rsidR="00F9707F" w:rsidRDefault="00F9707F">
      <w:pPr>
        <w:ind w:firstLineChars="200" w:firstLine="640"/>
        <w:jc w:val="center"/>
        <w:rPr>
          <w:rFonts w:eastAsia="楷体"/>
          <w:bCs/>
          <w:szCs w:val="30"/>
        </w:rPr>
      </w:pPr>
    </w:p>
    <w:p w:rsidR="00F9707F" w:rsidRDefault="00F9707F">
      <w:pPr>
        <w:ind w:firstLineChars="200" w:firstLine="640"/>
        <w:jc w:val="center"/>
        <w:rPr>
          <w:rFonts w:eastAsia="楷体"/>
          <w:bCs/>
          <w:szCs w:val="30"/>
        </w:rPr>
      </w:pPr>
    </w:p>
    <w:p w:rsidR="00F9707F" w:rsidRDefault="00F9707F">
      <w:pPr>
        <w:ind w:firstLineChars="200" w:firstLine="640"/>
        <w:jc w:val="center"/>
        <w:rPr>
          <w:rFonts w:eastAsia="楷体"/>
          <w:bCs/>
          <w:szCs w:val="30"/>
        </w:rP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ind w:firstLineChars="200" w:firstLine="360"/>
        <w:jc w:val="center"/>
      </w:pPr>
    </w:p>
    <w:p w:rsidR="00F9707F" w:rsidRDefault="00F9707F">
      <w:pPr>
        <w:pStyle w:val="a0"/>
      </w:pPr>
    </w:p>
    <w:p w:rsidR="00F9707F" w:rsidRDefault="00F9707F">
      <w:pPr>
        <w:pStyle w:val="a0"/>
      </w:pPr>
    </w:p>
    <w:p w:rsidR="00F9707F" w:rsidRDefault="00F9707F">
      <w:pPr>
        <w:pStyle w:val="a0"/>
      </w:pPr>
    </w:p>
    <w:p w:rsidR="00F9707F" w:rsidRDefault="00DE6B50">
      <w:pPr>
        <w:jc w:val="center"/>
        <w:rPr>
          <w:rFonts w:ascii="华文新魏" w:eastAsia="华文新魏"/>
          <w:bCs/>
          <w:szCs w:val="30"/>
        </w:rPr>
      </w:pPr>
      <w:r>
        <w:rPr>
          <w:rFonts w:ascii="华文新魏" w:eastAsia="华文新魏" w:hint="eastAsia"/>
          <w:bCs/>
          <w:szCs w:val="30"/>
        </w:rPr>
        <w:t>重庆高新区管委会</w:t>
      </w:r>
    </w:p>
    <w:p w:rsidR="00F9707F" w:rsidRDefault="00DE6B50">
      <w:pPr>
        <w:jc w:val="center"/>
        <w:rPr>
          <w:rFonts w:ascii="华文新魏" w:eastAsia="华文新魏"/>
          <w:bCs/>
          <w:szCs w:val="30"/>
        </w:rPr>
      </w:pPr>
      <w:r>
        <w:rPr>
          <w:rFonts w:ascii="华文新魏" w:eastAsia="华文新魏" w:hint="eastAsia"/>
          <w:bCs/>
          <w:szCs w:val="30"/>
        </w:rPr>
        <w:t>二零二一年五月</w:t>
      </w:r>
    </w:p>
    <w:p w:rsidR="00F9707F" w:rsidRDefault="00DE6B50">
      <w:pPr>
        <w:ind w:firstLineChars="200" w:firstLine="640"/>
        <w:jc w:val="left"/>
        <w:rPr>
          <w:rFonts w:eastAsia="楷体"/>
          <w:bCs/>
          <w:szCs w:val="30"/>
        </w:rPr>
        <w:sectPr w:rsidR="00F9707F">
          <w:headerReference w:type="even" r:id="rId8"/>
          <w:footerReference w:type="even" r:id="rId9"/>
          <w:footerReference w:type="default" r:id="rId10"/>
          <w:footnotePr>
            <w:numRestart w:val="eachPage"/>
          </w:footnotePr>
          <w:pgSz w:w="11900" w:h="16840"/>
          <w:pgMar w:top="1440" w:right="1418" w:bottom="1440" w:left="1418" w:header="851" w:footer="992" w:gutter="0"/>
          <w:pgNumType w:start="0"/>
          <w:cols w:space="425"/>
          <w:docGrid w:type="lines" w:linePitch="435"/>
        </w:sectPr>
      </w:pPr>
      <w:r>
        <w:rPr>
          <w:rFonts w:eastAsia="楷体"/>
          <w:bCs/>
          <w:szCs w:val="30"/>
        </w:rPr>
        <w:br w:type="page"/>
      </w:r>
    </w:p>
    <w:p w:rsidR="00F9707F" w:rsidRDefault="00DE6B50" w:rsidP="00835226">
      <w:pPr>
        <w:spacing w:afterLines="50" w:after="217" w:line="360" w:lineRule="auto"/>
        <w:jc w:val="center"/>
        <w:rPr>
          <w:rFonts w:ascii="黑体" w:eastAsia="黑体" w:hAnsi="黑体" w:cs="黑体"/>
          <w:b/>
          <w:szCs w:val="32"/>
        </w:rPr>
      </w:pPr>
      <w:r>
        <w:rPr>
          <w:rFonts w:ascii="黑体" w:eastAsia="黑体" w:hAnsi="黑体" w:cs="黑体" w:hint="eastAsia"/>
          <w:b/>
          <w:szCs w:val="32"/>
        </w:rPr>
        <w:lastRenderedPageBreak/>
        <w:t>目  录</w:t>
      </w:r>
    </w:p>
    <w:bookmarkStart w:id="1" w:name="_Toc26050"/>
    <w:bookmarkStart w:id="2" w:name="_Toc21616"/>
    <w:p w:rsidR="00F9707F" w:rsidRDefault="000820FA">
      <w:pPr>
        <w:pStyle w:val="13"/>
        <w:tabs>
          <w:tab w:val="right" w:leader="dot" w:pos="9070"/>
        </w:tabs>
      </w:pPr>
      <w:r>
        <w:rPr>
          <w:rFonts w:ascii="Times New Roman" w:eastAsia="楷体" w:hAnsi="Times New Roman"/>
          <w:szCs w:val="28"/>
        </w:rPr>
        <w:fldChar w:fldCharType="begin"/>
      </w:r>
      <w:r w:rsidR="00DE6B50">
        <w:rPr>
          <w:rFonts w:ascii="Times New Roman" w:eastAsia="楷体" w:hAnsi="Times New Roman"/>
          <w:szCs w:val="28"/>
        </w:rPr>
        <w:instrText xml:space="preserve"> TOC \o "1-2" \h \z \u </w:instrText>
      </w:r>
      <w:r>
        <w:rPr>
          <w:rFonts w:ascii="Times New Roman" w:eastAsia="楷体" w:hAnsi="Times New Roman"/>
          <w:szCs w:val="28"/>
        </w:rPr>
        <w:fldChar w:fldCharType="separate"/>
      </w:r>
      <w:hyperlink w:anchor="_Toc22034" w:history="1">
        <w:r w:rsidR="00DE6B50">
          <w:rPr>
            <w:rFonts w:hint="eastAsia"/>
          </w:rPr>
          <w:t>一、环境形势与发展基础</w:t>
        </w:r>
        <w:r w:rsidR="00DE6B50">
          <w:tab/>
        </w:r>
        <w:r>
          <w:fldChar w:fldCharType="begin"/>
        </w:r>
        <w:r w:rsidR="00DE6B50">
          <w:instrText xml:space="preserve"> PAGEREF _Toc22034 </w:instrText>
        </w:r>
        <w:r>
          <w:fldChar w:fldCharType="separate"/>
        </w:r>
        <w:r w:rsidR="000853EB">
          <w:rPr>
            <w:noProof/>
          </w:rPr>
          <w:t>1</w:t>
        </w:r>
        <w:r>
          <w:fldChar w:fldCharType="end"/>
        </w:r>
      </w:hyperlink>
    </w:p>
    <w:p w:rsidR="00F9707F" w:rsidRDefault="008C3158">
      <w:pPr>
        <w:pStyle w:val="21"/>
        <w:tabs>
          <w:tab w:val="clear" w:pos="1050"/>
          <w:tab w:val="clear" w:pos="8296"/>
          <w:tab w:val="right" w:leader="dot" w:pos="9070"/>
        </w:tabs>
        <w:ind w:left="480"/>
      </w:pPr>
      <w:hyperlink w:anchor="_Toc6622" w:history="1">
        <w:r w:rsidR="00DE6B50">
          <w:rPr>
            <w:rFonts w:eastAsia="方正楷体_GBK" w:hint="eastAsia"/>
            <w:bCs/>
            <w:szCs w:val="30"/>
          </w:rPr>
          <w:t>（一）背景</w:t>
        </w:r>
        <w:r w:rsidR="00DE6B50">
          <w:rPr>
            <w:rFonts w:eastAsia="方正楷体_GBK"/>
            <w:bCs/>
            <w:szCs w:val="30"/>
          </w:rPr>
          <w:t>形势</w:t>
        </w:r>
        <w:r w:rsidR="00DE6B50">
          <w:tab/>
        </w:r>
        <w:r w:rsidR="000820FA">
          <w:fldChar w:fldCharType="begin"/>
        </w:r>
        <w:r w:rsidR="00DE6B50">
          <w:instrText xml:space="preserve"> PAGEREF _Toc6622 </w:instrText>
        </w:r>
        <w:r w:rsidR="000820FA">
          <w:fldChar w:fldCharType="separate"/>
        </w:r>
        <w:r w:rsidR="000853EB">
          <w:rPr>
            <w:noProof/>
          </w:rPr>
          <w:t>1</w:t>
        </w:r>
        <w:r w:rsidR="000820FA">
          <w:fldChar w:fldCharType="end"/>
        </w:r>
      </w:hyperlink>
    </w:p>
    <w:p w:rsidR="00F9707F" w:rsidRDefault="008C3158">
      <w:pPr>
        <w:pStyle w:val="21"/>
        <w:tabs>
          <w:tab w:val="clear" w:pos="1050"/>
          <w:tab w:val="clear" w:pos="8296"/>
          <w:tab w:val="right" w:leader="dot" w:pos="9070"/>
        </w:tabs>
        <w:ind w:left="480"/>
      </w:pPr>
      <w:hyperlink w:anchor="_Toc18321" w:history="1">
        <w:r w:rsidR="00DE6B50">
          <w:rPr>
            <w:rFonts w:ascii="方正楷体_GBK" w:hint="eastAsia"/>
          </w:rPr>
          <w:t>（二）发展基础</w:t>
        </w:r>
        <w:r w:rsidR="00DE6B50">
          <w:tab/>
        </w:r>
        <w:r w:rsidR="000820FA">
          <w:fldChar w:fldCharType="begin"/>
        </w:r>
        <w:r w:rsidR="00DE6B50">
          <w:instrText xml:space="preserve"> PAGEREF _Toc18321 </w:instrText>
        </w:r>
        <w:r w:rsidR="000820FA">
          <w:fldChar w:fldCharType="separate"/>
        </w:r>
        <w:r w:rsidR="000853EB">
          <w:rPr>
            <w:noProof/>
          </w:rPr>
          <w:t>4</w:t>
        </w:r>
        <w:r w:rsidR="000820FA">
          <w:fldChar w:fldCharType="end"/>
        </w:r>
      </w:hyperlink>
    </w:p>
    <w:p w:rsidR="00F9707F" w:rsidRDefault="008C3158">
      <w:pPr>
        <w:pStyle w:val="21"/>
        <w:tabs>
          <w:tab w:val="clear" w:pos="1050"/>
          <w:tab w:val="clear" w:pos="8296"/>
          <w:tab w:val="right" w:leader="dot" w:pos="9070"/>
        </w:tabs>
        <w:ind w:left="480"/>
      </w:pPr>
      <w:hyperlink w:anchor="_Toc5089" w:history="1">
        <w:r w:rsidR="00DE6B50">
          <w:rPr>
            <w:rFonts w:eastAsia="方正楷体_GBK" w:hint="eastAsia"/>
            <w:bCs/>
            <w:szCs w:val="30"/>
          </w:rPr>
          <w:t>（三）面临问题</w:t>
        </w:r>
        <w:r w:rsidR="00DE6B50">
          <w:tab/>
        </w:r>
        <w:r w:rsidR="000820FA">
          <w:fldChar w:fldCharType="begin"/>
        </w:r>
        <w:r w:rsidR="00DE6B50">
          <w:instrText xml:space="preserve"> PAGEREF _Toc5089 </w:instrText>
        </w:r>
        <w:r w:rsidR="000820FA">
          <w:fldChar w:fldCharType="separate"/>
        </w:r>
        <w:r w:rsidR="000853EB">
          <w:rPr>
            <w:noProof/>
          </w:rPr>
          <w:t>6</w:t>
        </w:r>
        <w:r w:rsidR="000820FA">
          <w:fldChar w:fldCharType="end"/>
        </w:r>
      </w:hyperlink>
    </w:p>
    <w:p w:rsidR="00F9707F" w:rsidRDefault="008C3158">
      <w:pPr>
        <w:pStyle w:val="21"/>
        <w:tabs>
          <w:tab w:val="clear" w:pos="1050"/>
          <w:tab w:val="clear" w:pos="8296"/>
          <w:tab w:val="right" w:leader="dot" w:pos="9070"/>
        </w:tabs>
        <w:ind w:left="480"/>
      </w:pPr>
      <w:hyperlink w:anchor="_Toc11437" w:history="1">
        <w:r w:rsidR="00DE6B50">
          <w:rPr>
            <w:rFonts w:eastAsia="方正楷体_GBK" w:hint="eastAsia"/>
            <w:bCs/>
            <w:szCs w:val="30"/>
          </w:rPr>
          <w:t>（四）综合评价</w:t>
        </w:r>
        <w:r w:rsidR="00DE6B50">
          <w:tab/>
        </w:r>
        <w:r w:rsidR="000820FA">
          <w:fldChar w:fldCharType="begin"/>
        </w:r>
        <w:r w:rsidR="00DE6B50">
          <w:instrText xml:space="preserve"> PAGEREF _Toc11437 </w:instrText>
        </w:r>
        <w:r w:rsidR="000820FA">
          <w:fldChar w:fldCharType="separate"/>
        </w:r>
        <w:r w:rsidR="000853EB">
          <w:rPr>
            <w:noProof/>
          </w:rPr>
          <w:t>7</w:t>
        </w:r>
        <w:r w:rsidR="000820FA">
          <w:fldChar w:fldCharType="end"/>
        </w:r>
      </w:hyperlink>
    </w:p>
    <w:p w:rsidR="00F9707F" w:rsidRDefault="008C3158">
      <w:pPr>
        <w:pStyle w:val="13"/>
        <w:tabs>
          <w:tab w:val="right" w:leader="dot" w:pos="9070"/>
        </w:tabs>
      </w:pPr>
      <w:hyperlink w:anchor="_Toc12100" w:history="1">
        <w:r w:rsidR="00DE6B50">
          <w:rPr>
            <w:rFonts w:hint="eastAsia"/>
          </w:rPr>
          <w:t>二、总体思路与发展目标</w:t>
        </w:r>
        <w:r w:rsidR="00DE6B50">
          <w:tab/>
        </w:r>
        <w:r w:rsidR="000820FA">
          <w:fldChar w:fldCharType="begin"/>
        </w:r>
        <w:r w:rsidR="00DE6B50">
          <w:instrText xml:space="preserve"> PAGEREF _Toc12100 </w:instrText>
        </w:r>
        <w:r w:rsidR="000820FA">
          <w:fldChar w:fldCharType="separate"/>
        </w:r>
        <w:r w:rsidR="000853EB">
          <w:rPr>
            <w:noProof/>
          </w:rPr>
          <w:t>8</w:t>
        </w:r>
        <w:r w:rsidR="000820FA">
          <w:fldChar w:fldCharType="end"/>
        </w:r>
      </w:hyperlink>
    </w:p>
    <w:p w:rsidR="00F9707F" w:rsidRDefault="008C3158">
      <w:pPr>
        <w:pStyle w:val="21"/>
        <w:tabs>
          <w:tab w:val="clear" w:pos="1050"/>
          <w:tab w:val="clear" w:pos="8296"/>
          <w:tab w:val="right" w:leader="dot" w:pos="9070"/>
        </w:tabs>
        <w:ind w:left="480"/>
      </w:pPr>
      <w:hyperlink w:anchor="_Toc11769" w:history="1">
        <w:r w:rsidR="00DE6B50">
          <w:rPr>
            <w:rFonts w:hint="eastAsia"/>
          </w:rPr>
          <w:t>（一）指导思想</w:t>
        </w:r>
        <w:r w:rsidR="00DE6B50">
          <w:tab/>
        </w:r>
        <w:r w:rsidR="000820FA">
          <w:fldChar w:fldCharType="begin"/>
        </w:r>
        <w:r w:rsidR="00DE6B50">
          <w:instrText xml:space="preserve"> PAGEREF _Toc11769 </w:instrText>
        </w:r>
        <w:r w:rsidR="000820FA">
          <w:fldChar w:fldCharType="separate"/>
        </w:r>
        <w:r w:rsidR="000853EB">
          <w:rPr>
            <w:noProof/>
          </w:rPr>
          <w:t>8</w:t>
        </w:r>
        <w:r w:rsidR="000820FA">
          <w:fldChar w:fldCharType="end"/>
        </w:r>
      </w:hyperlink>
    </w:p>
    <w:p w:rsidR="00F9707F" w:rsidRDefault="008C3158">
      <w:pPr>
        <w:pStyle w:val="21"/>
        <w:tabs>
          <w:tab w:val="clear" w:pos="1050"/>
          <w:tab w:val="clear" w:pos="8296"/>
          <w:tab w:val="right" w:leader="dot" w:pos="9070"/>
        </w:tabs>
        <w:ind w:left="480"/>
      </w:pPr>
      <w:hyperlink w:anchor="_Toc5660" w:history="1">
        <w:r w:rsidR="00DE6B50">
          <w:rPr>
            <w:rFonts w:hint="eastAsia"/>
          </w:rPr>
          <w:t>（二）</w:t>
        </w:r>
        <w:r w:rsidR="00DE6B50">
          <w:t>基本原则</w:t>
        </w:r>
        <w:r w:rsidR="00DE6B50">
          <w:tab/>
        </w:r>
        <w:r w:rsidR="000820FA">
          <w:fldChar w:fldCharType="begin"/>
        </w:r>
        <w:r w:rsidR="00DE6B50">
          <w:instrText xml:space="preserve"> PAGEREF _Toc5660 </w:instrText>
        </w:r>
        <w:r w:rsidR="000820FA">
          <w:fldChar w:fldCharType="separate"/>
        </w:r>
        <w:r w:rsidR="000853EB">
          <w:rPr>
            <w:noProof/>
          </w:rPr>
          <w:t>8</w:t>
        </w:r>
        <w:r w:rsidR="000820FA">
          <w:fldChar w:fldCharType="end"/>
        </w:r>
      </w:hyperlink>
    </w:p>
    <w:p w:rsidR="00F9707F" w:rsidRDefault="008C3158">
      <w:pPr>
        <w:pStyle w:val="21"/>
        <w:tabs>
          <w:tab w:val="clear" w:pos="1050"/>
          <w:tab w:val="clear" w:pos="8296"/>
          <w:tab w:val="right" w:leader="dot" w:pos="9070"/>
        </w:tabs>
        <w:ind w:left="480"/>
      </w:pPr>
      <w:hyperlink w:anchor="_Toc2526" w:history="1">
        <w:r w:rsidR="00DE6B50">
          <w:rPr>
            <w:rFonts w:hint="eastAsia"/>
          </w:rPr>
          <w:t>（三）</w:t>
        </w:r>
        <w:r w:rsidR="00DE6B50">
          <w:t>发展目标</w:t>
        </w:r>
        <w:r w:rsidR="00DE6B50">
          <w:tab/>
        </w:r>
        <w:r w:rsidR="000820FA">
          <w:fldChar w:fldCharType="begin"/>
        </w:r>
        <w:r w:rsidR="00DE6B50">
          <w:instrText xml:space="preserve"> PAGEREF _Toc2526 </w:instrText>
        </w:r>
        <w:r w:rsidR="000820FA">
          <w:fldChar w:fldCharType="separate"/>
        </w:r>
        <w:r w:rsidR="000853EB">
          <w:rPr>
            <w:noProof/>
          </w:rPr>
          <w:t>10</w:t>
        </w:r>
        <w:r w:rsidR="000820FA">
          <w:fldChar w:fldCharType="end"/>
        </w:r>
      </w:hyperlink>
    </w:p>
    <w:p w:rsidR="00F9707F" w:rsidRDefault="008C3158">
      <w:pPr>
        <w:pStyle w:val="21"/>
        <w:tabs>
          <w:tab w:val="clear" w:pos="1050"/>
          <w:tab w:val="clear" w:pos="8296"/>
          <w:tab w:val="right" w:leader="dot" w:pos="9070"/>
        </w:tabs>
        <w:ind w:left="480"/>
      </w:pPr>
      <w:hyperlink w:anchor="_Toc24389" w:history="1">
        <w:r w:rsidR="00DE6B50">
          <w:rPr>
            <w:rFonts w:hint="eastAsia"/>
          </w:rPr>
          <w:t>（四）空间布局</w:t>
        </w:r>
        <w:r w:rsidR="00DE6B50">
          <w:tab/>
        </w:r>
        <w:r w:rsidR="000820FA">
          <w:fldChar w:fldCharType="begin"/>
        </w:r>
        <w:r w:rsidR="00DE6B50">
          <w:instrText xml:space="preserve"> PAGEREF _Toc24389 </w:instrText>
        </w:r>
        <w:r w:rsidR="000820FA">
          <w:fldChar w:fldCharType="separate"/>
        </w:r>
        <w:r w:rsidR="000853EB">
          <w:rPr>
            <w:noProof/>
          </w:rPr>
          <w:t>11</w:t>
        </w:r>
        <w:r w:rsidR="000820FA">
          <w:fldChar w:fldCharType="end"/>
        </w:r>
      </w:hyperlink>
    </w:p>
    <w:p w:rsidR="00F9707F" w:rsidRDefault="008C3158">
      <w:pPr>
        <w:pStyle w:val="13"/>
        <w:tabs>
          <w:tab w:val="right" w:leader="dot" w:pos="9070"/>
        </w:tabs>
      </w:pPr>
      <w:hyperlink w:anchor="_Toc28025" w:history="1">
        <w:r w:rsidR="00DE6B50">
          <w:rPr>
            <w:rFonts w:hint="eastAsia"/>
          </w:rPr>
          <w:t>三、构筑“五大赛道”高质量发展格局</w:t>
        </w:r>
        <w:r w:rsidR="00DE6B50">
          <w:tab/>
        </w:r>
        <w:r w:rsidR="000820FA">
          <w:fldChar w:fldCharType="begin"/>
        </w:r>
        <w:r w:rsidR="00DE6B50">
          <w:instrText xml:space="preserve"> PAGEREF _Toc28025 </w:instrText>
        </w:r>
        <w:r w:rsidR="000820FA">
          <w:fldChar w:fldCharType="separate"/>
        </w:r>
        <w:r w:rsidR="000853EB">
          <w:rPr>
            <w:noProof/>
          </w:rPr>
          <w:t>13</w:t>
        </w:r>
        <w:r w:rsidR="000820FA">
          <w:fldChar w:fldCharType="end"/>
        </w:r>
      </w:hyperlink>
    </w:p>
    <w:p w:rsidR="00F9707F" w:rsidRDefault="008C3158">
      <w:pPr>
        <w:pStyle w:val="21"/>
        <w:tabs>
          <w:tab w:val="clear" w:pos="1050"/>
          <w:tab w:val="clear" w:pos="8296"/>
          <w:tab w:val="right" w:leader="dot" w:pos="9070"/>
        </w:tabs>
        <w:ind w:left="480"/>
      </w:pPr>
      <w:hyperlink w:anchor="_Toc30294" w:history="1">
        <w:r w:rsidR="00DE6B50">
          <w:rPr>
            <w:rFonts w:hint="eastAsia"/>
          </w:rPr>
          <w:t>（一）</w:t>
        </w:r>
        <w:r w:rsidR="00DE6B50">
          <w:t>着力发展</w:t>
        </w:r>
        <w:r w:rsidR="00DE6B50">
          <w:rPr>
            <w:rFonts w:hint="eastAsia"/>
          </w:rPr>
          <w:t>研发孵化</w:t>
        </w:r>
        <w:r w:rsidR="00DE6B50">
          <w:t>，打造西部</w:t>
        </w:r>
        <w:r w:rsidR="00DE6B50">
          <w:rPr>
            <w:rFonts w:hint="eastAsia"/>
          </w:rPr>
          <w:t>科技创新</w:t>
        </w:r>
        <w:r w:rsidR="00DE6B50">
          <w:t>高地</w:t>
        </w:r>
        <w:r w:rsidR="00DE6B50">
          <w:tab/>
        </w:r>
        <w:r w:rsidR="000820FA">
          <w:fldChar w:fldCharType="begin"/>
        </w:r>
        <w:r w:rsidR="00DE6B50">
          <w:instrText xml:space="preserve"> PAGEREF _Toc30294 </w:instrText>
        </w:r>
        <w:r w:rsidR="000820FA">
          <w:fldChar w:fldCharType="separate"/>
        </w:r>
        <w:r w:rsidR="000853EB">
          <w:rPr>
            <w:noProof/>
          </w:rPr>
          <w:t>14</w:t>
        </w:r>
        <w:r w:rsidR="000820FA">
          <w:fldChar w:fldCharType="end"/>
        </w:r>
      </w:hyperlink>
    </w:p>
    <w:p w:rsidR="00F9707F" w:rsidRDefault="008C3158">
      <w:pPr>
        <w:pStyle w:val="21"/>
        <w:tabs>
          <w:tab w:val="clear" w:pos="1050"/>
          <w:tab w:val="clear" w:pos="8296"/>
          <w:tab w:val="right" w:leader="dot" w:pos="9070"/>
        </w:tabs>
        <w:ind w:left="480"/>
      </w:pPr>
      <w:hyperlink w:anchor="_Toc25925" w:history="1">
        <w:r w:rsidR="00DE6B50">
          <w:rPr>
            <w:rFonts w:hint="eastAsia"/>
          </w:rPr>
          <w:t>（二）</w:t>
        </w:r>
        <w:r w:rsidR="00DE6B50">
          <w:t>着力发展软件信息，加快建设西部软件名</w:t>
        </w:r>
        <w:r w:rsidR="00DE6B50">
          <w:rPr>
            <w:rFonts w:hint="eastAsia"/>
          </w:rPr>
          <w:t>园</w:t>
        </w:r>
        <w:r w:rsidR="00DE6B50">
          <w:tab/>
        </w:r>
        <w:r w:rsidR="000820FA">
          <w:fldChar w:fldCharType="begin"/>
        </w:r>
        <w:r w:rsidR="00DE6B50">
          <w:instrText xml:space="preserve"> PAGEREF _Toc25925 </w:instrText>
        </w:r>
        <w:r w:rsidR="000820FA">
          <w:fldChar w:fldCharType="separate"/>
        </w:r>
        <w:r w:rsidR="000853EB">
          <w:rPr>
            <w:noProof/>
          </w:rPr>
          <w:t>17</w:t>
        </w:r>
        <w:r w:rsidR="000820FA">
          <w:fldChar w:fldCharType="end"/>
        </w:r>
      </w:hyperlink>
    </w:p>
    <w:p w:rsidR="00F9707F" w:rsidRDefault="008C3158">
      <w:pPr>
        <w:pStyle w:val="21"/>
        <w:tabs>
          <w:tab w:val="clear" w:pos="1050"/>
          <w:tab w:val="clear" w:pos="8296"/>
          <w:tab w:val="right" w:leader="dot" w:pos="9070"/>
        </w:tabs>
        <w:ind w:left="480"/>
      </w:pPr>
      <w:hyperlink w:anchor="_Toc20497" w:history="1">
        <w:r w:rsidR="00DE6B50">
          <w:rPr>
            <w:rFonts w:hint="eastAsia"/>
          </w:rPr>
          <w:t>（三）</w:t>
        </w:r>
        <w:r w:rsidR="00DE6B50">
          <w:t>着力发展检验检测，打响国家检验检测基地品牌</w:t>
        </w:r>
        <w:r w:rsidR="00DE6B50">
          <w:tab/>
        </w:r>
        <w:r w:rsidR="000820FA">
          <w:fldChar w:fldCharType="begin"/>
        </w:r>
        <w:r w:rsidR="00DE6B50">
          <w:instrText xml:space="preserve"> PAGEREF _Toc20497 </w:instrText>
        </w:r>
        <w:r w:rsidR="000820FA">
          <w:fldChar w:fldCharType="separate"/>
        </w:r>
        <w:r w:rsidR="000853EB">
          <w:rPr>
            <w:noProof/>
          </w:rPr>
          <w:t>20</w:t>
        </w:r>
        <w:r w:rsidR="000820FA">
          <w:fldChar w:fldCharType="end"/>
        </w:r>
      </w:hyperlink>
    </w:p>
    <w:p w:rsidR="00F9707F" w:rsidRDefault="008C3158">
      <w:pPr>
        <w:pStyle w:val="21"/>
        <w:tabs>
          <w:tab w:val="clear" w:pos="1050"/>
          <w:tab w:val="clear" w:pos="8296"/>
          <w:tab w:val="right" w:leader="dot" w:pos="9070"/>
        </w:tabs>
        <w:ind w:left="480"/>
      </w:pPr>
      <w:hyperlink w:anchor="_Toc11344" w:history="1">
        <w:r w:rsidR="00DE6B50">
          <w:rPr>
            <w:rFonts w:hint="eastAsia"/>
          </w:rPr>
          <w:t>（四）</w:t>
        </w:r>
        <w:r w:rsidR="00DE6B50">
          <w:t>着力发展数字文创，塑造特色产业发展名片</w:t>
        </w:r>
        <w:r w:rsidR="00DE6B50">
          <w:tab/>
        </w:r>
        <w:r w:rsidR="000820FA">
          <w:fldChar w:fldCharType="begin"/>
        </w:r>
        <w:r w:rsidR="00DE6B50">
          <w:instrText xml:space="preserve"> PAGEREF _Toc11344 </w:instrText>
        </w:r>
        <w:r w:rsidR="000820FA">
          <w:fldChar w:fldCharType="separate"/>
        </w:r>
        <w:r w:rsidR="000853EB">
          <w:rPr>
            <w:noProof/>
          </w:rPr>
          <w:t>23</w:t>
        </w:r>
        <w:r w:rsidR="000820FA">
          <w:fldChar w:fldCharType="end"/>
        </w:r>
      </w:hyperlink>
    </w:p>
    <w:p w:rsidR="00F9707F" w:rsidRDefault="008C3158">
      <w:pPr>
        <w:pStyle w:val="21"/>
        <w:tabs>
          <w:tab w:val="clear" w:pos="1050"/>
          <w:tab w:val="clear" w:pos="8296"/>
          <w:tab w:val="right" w:leader="dot" w:pos="9070"/>
        </w:tabs>
        <w:ind w:left="480"/>
      </w:pPr>
      <w:hyperlink w:anchor="_Toc14174" w:history="1">
        <w:r w:rsidR="00DE6B50">
          <w:rPr>
            <w:rFonts w:hint="eastAsia"/>
          </w:rPr>
          <w:t>（五）</w:t>
        </w:r>
        <w:r w:rsidR="00DE6B50">
          <w:t>着力发展科技金融，打造创新金融示范区</w:t>
        </w:r>
        <w:r w:rsidR="00DE6B50">
          <w:tab/>
        </w:r>
        <w:r w:rsidR="000820FA">
          <w:fldChar w:fldCharType="begin"/>
        </w:r>
        <w:r w:rsidR="00DE6B50">
          <w:instrText xml:space="preserve"> PAGEREF _Toc14174 </w:instrText>
        </w:r>
        <w:r w:rsidR="000820FA">
          <w:fldChar w:fldCharType="separate"/>
        </w:r>
        <w:r w:rsidR="000853EB">
          <w:rPr>
            <w:noProof/>
          </w:rPr>
          <w:t>27</w:t>
        </w:r>
        <w:r w:rsidR="000820FA">
          <w:fldChar w:fldCharType="end"/>
        </w:r>
      </w:hyperlink>
    </w:p>
    <w:p w:rsidR="00F9707F" w:rsidRDefault="008C3158">
      <w:pPr>
        <w:pStyle w:val="13"/>
        <w:tabs>
          <w:tab w:val="right" w:leader="dot" w:pos="9070"/>
        </w:tabs>
      </w:pPr>
      <w:hyperlink w:anchor="_Toc5572" w:history="1">
        <w:r w:rsidR="00DE6B50">
          <w:rPr>
            <w:rFonts w:eastAsia="方正黑体_GBK" w:hint="eastAsia"/>
            <w:kern w:val="44"/>
            <w:szCs w:val="30"/>
          </w:rPr>
          <w:t>四、大力实施八大重点行动</w:t>
        </w:r>
        <w:r w:rsidR="00DE6B50">
          <w:tab/>
        </w:r>
        <w:r w:rsidR="000820FA">
          <w:fldChar w:fldCharType="begin"/>
        </w:r>
        <w:r w:rsidR="00DE6B50">
          <w:instrText xml:space="preserve"> PAGEREF _Toc5572 </w:instrText>
        </w:r>
        <w:r w:rsidR="000820FA">
          <w:fldChar w:fldCharType="separate"/>
        </w:r>
        <w:r w:rsidR="000853EB">
          <w:rPr>
            <w:noProof/>
          </w:rPr>
          <w:t>29</w:t>
        </w:r>
        <w:r w:rsidR="000820FA">
          <w:fldChar w:fldCharType="end"/>
        </w:r>
      </w:hyperlink>
    </w:p>
    <w:p w:rsidR="00F9707F" w:rsidRDefault="008C3158">
      <w:pPr>
        <w:pStyle w:val="21"/>
        <w:tabs>
          <w:tab w:val="clear" w:pos="1050"/>
          <w:tab w:val="clear" w:pos="8296"/>
          <w:tab w:val="right" w:leader="dot" w:pos="9070"/>
        </w:tabs>
        <w:ind w:left="480"/>
      </w:pPr>
      <w:hyperlink w:anchor="_Toc7956" w:history="1">
        <w:r w:rsidR="00DE6B50">
          <w:rPr>
            <w:rFonts w:eastAsia="方正楷体_GBK" w:hint="eastAsia"/>
            <w:bCs/>
            <w:szCs w:val="30"/>
          </w:rPr>
          <w:t>（一）</w:t>
        </w:r>
        <w:r w:rsidR="00DE6B50">
          <w:rPr>
            <w:rFonts w:eastAsia="方正楷体_GBK"/>
            <w:bCs/>
            <w:szCs w:val="30"/>
          </w:rPr>
          <w:t>实施龙头企业引培行动</w:t>
        </w:r>
        <w:r w:rsidR="00DE6B50">
          <w:tab/>
        </w:r>
        <w:r w:rsidR="000820FA">
          <w:fldChar w:fldCharType="begin"/>
        </w:r>
        <w:r w:rsidR="00DE6B50">
          <w:instrText xml:space="preserve"> PAGEREF _Toc7956 </w:instrText>
        </w:r>
        <w:r w:rsidR="000820FA">
          <w:fldChar w:fldCharType="separate"/>
        </w:r>
        <w:r w:rsidR="000853EB">
          <w:rPr>
            <w:noProof/>
          </w:rPr>
          <w:t>29</w:t>
        </w:r>
        <w:r w:rsidR="000820FA">
          <w:fldChar w:fldCharType="end"/>
        </w:r>
      </w:hyperlink>
    </w:p>
    <w:p w:rsidR="00F9707F" w:rsidRDefault="008C3158">
      <w:pPr>
        <w:pStyle w:val="21"/>
        <w:tabs>
          <w:tab w:val="clear" w:pos="1050"/>
          <w:tab w:val="clear" w:pos="8296"/>
          <w:tab w:val="right" w:leader="dot" w:pos="9070"/>
        </w:tabs>
        <w:ind w:left="480"/>
      </w:pPr>
      <w:hyperlink w:anchor="_Toc27659" w:history="1">
        <w:r w:rsidR="00DE6B50">
          <w:rPr>
            <w:rFonts w:eastAsia="方正楷体_GBK" w:hint="eastAsia"/>
            <w:bCs/>
            <w:szCs w:val="30"/>
          </w:rPr>
          <w:t>（二）</w:t>
        </w:r>
        <w:r w:rsidR="00DE6B50">
          <w:rPr>
            <w:rFonts w:eastAsia="方正楷体_GBK"/>
            <w:bCs/>
            <w:szCs w:val="30"/>
          </w:rPr>
          <w:t>实施跨界融合提升行动</w:t>
        </w:r>
        <w:r w:rsidR="00DE6B50">
          <w:tab/>
        </w:r>
        <w:r w:rsidR="000820FA">
          <w:fldChar w:fldCharType="begin"/>
        </w:r>
        <w:r w:rsidR="00DE6B50">
          <w:instrText xml:space="preserve"> PAGEREF _Toc27659 </w:instrText>
        </w:r>
        <w:r w:rsidR="000820FA">
          <w:fldChar w:fldCharType="separate"/>
        </w:r>
        <w:r w:rsidR="000853EB">
          <w:rPr>
            <w:noProof/>
          </w:rPr>
          <w:t>30</w:t>
        </w:r>
        <w:r w:rsidR="000820FA">
          <w:fldChar w:fldCharType="end"/>
        </w:r>
      </w:hyperlink>
    </w:p>
    <w:p w:rsidR="00F9707F" w:rsidRDefault="008C3158">
      <w:pPr>
        <w:pStyle w:val="21"/>
        <w:tabs>
          <w:tab w:val="clear" w:pos="1050"/>
          <w:tab w:val="clear" w:pos="8296"/>
          <w:tab w:val="right" w:leader="dot" w:pos="9070"/>
        </w:tabs>
        <w:ind w:left="480"/>
      </w:pPr>
      <w:hyperlink w:anchor="_Toc1825" w:history="1">
        <w:r w:rsidR="00DE6B50">
          <w:rPr>
            <w:rFonts w:eastAsia="方正楷体_GBK" w:hint="eastAsia"/>
            <w:bCs/>
            <w:szCs w:val="30"/>
          </w:rPr>
          <w:t>（三）</w:t>
        </w:r>
        <w:r w:rsidR="00DE6B50">
          <w:rPr>
            <w:rFonts w:eastAsia="方正楷体_GBK"/>
            <w:bCs/>
            <w:szCs w:val="30"/>
          </w:rPr>
          <w:t>实施载体</w:t>
        </w:r>
        <w:r w:rsidR="00DE6B50">
          <w:rPr>
            <w:rFonts w:eastAsia="方正楷体_GBK" w:hint="eastAsia"/>
            <w:bCs/>
            <w:szCs w:val="30"/>
          </w:rPr>
          <w:t>集聚建设</w:t>
        </w:r>
        <w:r w:rsidR="00DE6B50">
          <w:rPr>
            <w:rFonts w:eastAsia="方正楷体_GBK"/>
            <w:bCs/>
            <w:szCs w:val="30"/>
          </w:rPr>
          <w:t>行动</w:t>
        </w:r>
        <w:r w:rsidR="00DE6B50">
          <w:tab/>
        </w:r>
        <w:r w:rsidR="000820FA">
          <w:fldChar w:fldCharType="begin"/>
        </w:r>
        <w:r w:rsidR="00DE6B50">
          <w:instrText xml:space="preserve"> PAGEREF _Toc1825 </w:instrText>
        </w:r>
        <w:r w:rsidR="000820FA">
          <w:fldChar w:fldCharType="separate"/>
        </w:r>
        <w:r w:rsidR="000853EB">
          <w:rPr>
            <w:noProof/>
          </w:rPr>
          <w:t>31</w:t>
        </w:r>
        <w:r w:rsidR="000820FA">
          <w:fldChar w:fldCharType="end"/>
        </w:r>
      </w:hyperlink>
    </w:p>
    <w:p w:rsidR="00F9707F" w:rsidRDefault="008C3158">
      <w:pPr>
        <w:pStyle w:val="21"/>
        <w:tabs>
          <w:tab w:val="clear" w:pos="1050"/>
          <w:tab w:val="clear" w:pos="8296"/>
          <w:tab w:val="right" w:leader="dot" w:pos="9070"/>
        </w:tabs>
        <w:ind w:left="480"/>
      </w:pPr>
      <w:hyperlink w:anchor="_Toc14816" w:history="1">
        <w:r w:rsidR="00DE6B50">
          <w:rPr>
            <w:rFonts w:eastAsia="方正楷体_GBK" w:hint="eastAsia"/>
            <w:bCs/>
            <w:szCs w:val="30"/>
          </w:rPr>
          <w:t>（四）实施战略平台增能行动</w:t>
        </w:r>
        <w:r w:rsidR="00DE6B50">
          <w:tab/>
        </w:r>
        <w:r w:rsidR="000820FA">
          <w:fldChar w:fldCharType="begin"/>
        </w:r>
        <w:r w:rsidR="00DE6B50">
          <w:instrText xml:space="preserve"> PAGEREF _Toc14816 </w:instrText>
        </w:r>
        <w:r w:rsidR="000820FA">
          <w:fldChar w:fldCharType="separate"/>
        </w:r>
        <w:r w:rsidR="000853EB">
          <w:rPr>
            <w:noProof/>
          </w:rPr>
          <w:t>32</w:t>
        </w:r>
        <w:r w:rsidR="000820FA">
          <w:fldChar w:fldCharType="end"/>
        </w:r>
      </w:hyperlink>
    </w:p>
    <w:p w:rsidR="00F9707F" w:rsidRDefault="008C3158">
      <w:pPr>
        <w:pStyle w:val="21"/>
        <w:tabs>
          <w:tab w:val="clear" w:pos="1050"/>
          <w:tab w:val="clear" w:pos="8296"/>
          <w:tab w:val="right" w:leader="dot" w:pos="9070"/>
        </w:tabs>
        <w:ind w:left="480"/>
      </w:pPr>
      <w:hyperlink w:anchor="_Toc14283" w:history="1">
        <w:r w:rsidR="00DE6B50">
          <w:rPr>
            <w:rFonts w:eastAsia="方正楷体_GBK" w:hint="eastAsia"/>
            <w:bCs/>
            <w:szCs w:val="30"/>
          </w:rPr>
          <w:t>（五）</w:t>
        </w:r>
        <w:r w:rsidR="00DE6B50">
          <w:rPr>
            <w:rFonts w:eastAsia="方正楷体_GBK"/>
            <w:bCs/>
            <w:szCs w:val="30"/>
          </w:rPr>
          <w:t>实施服务品牌</w:t>
        </w:r>
        <w:r w:rsidR="00DE6B50">
          <w:rPr>
            <w:rFonts w:eastAsia="方正楷体_GBK" w:hint="eastAsia"/>
            <w:bCs/>
            <w:szCs w:val="30"/>
          </w:rPr>
          <w:t>创优</w:t>
        </w:r>
        <w:r w:rsidR="00DE6B50">
          <w:rPr>
            <w:rFonts w:eastAsia="方正楷体_GBK"/>
            <w:bCs/>
            <w:szCs w:val="30"/>
          </w:rPr>
          <w:t>行动</w:t>
        </w:r>
        <w:r w:rsidR="00DE6B50">
          <w:tab/>
        </w:r>
        <w:r w:rsidR="000820FA">
          <w:fldChar w:fldCharType="begin"/>
        </w:r>
        <w:r w:rsidR="00DE6B50">
          <w:instrText xml:space="preserve"> PAGEREF _Toc14283 </w:instrText>
        </w:r>
        <w:r w:rsidR="000820FA">
          <w:fldChar w:fldCharType="separate"/>
        </w:r>
        <w:r w:rsidR="000853EB">
          <w:rPr>
            <w:noProof/>
          </w:rPr>
          <w:t>33</w:t>
        </w:r>
        <w:r w:rsidR="000820FA">
          <w:fldChar w:fldCharType="end"/>
        </w:r>
      </w:hyperlink>
    </w:p>
    <w:p w:rsidR="00F9707F" w:rsidRDefault="008C3158">
      <w:pPr>
        <w:pStyle w:val="21"/>
        <w:tabs>
          <w:tab w:val="clear" w:pos="1050"/>
          <w:tab w:val="clear" w:pos="8296"/>
          <w:tab w:val="right" w:leader="dot" w:pos="9070"/>
        </w:tabs>
        <w:ind w:left="480"/>
      </w:pPr>
      <w:hyperlink w:anchor="_Toc21763" w:history="1">
        <w:r w:rsidR="00DE6B50">
          <w:rPr>
            <w:rFonts w:eastAsia="方正楷体_GBK" w:hint="eastAsia"/>
            <w:bCs/>
            <w:szCs w:val="30"/>
          </w:rPr>
          <w:t>（六）</w:t>
        </w:r>
        <w:r w:rsidR="00DE6B50">
          <w:rPr>
            <w:rFonts w:eastAsia="方正楷体_GBK"/>
            <w:bCs/>
            <w:szCs w:val="30"/>
          </w:rPr>
          <w:t>实施专业人才凝聚行动</w:t>
        </w:r>
        <w:r w:rsidR="00DE6B50">
          <w:tab/>
        </w:r>
        <w:r w:rsidR="000820FA">
          <w:fldChar w:fldCharType="begin"/>
        </w:r>
        <w:r w:rsidR="00DE6B50">
          <w:instrText xml:space="preserve"> PAGEREF _Toc21763 </w:instrText>
        </w:r>
        <w:r w:rsidR="000820FA">
          <w:fldChar w:fldCharType="separate"/>
        </w:r>
        <w:r w:rsidR="000853EB">
          <w:rPr>
            <w:noProof/>
          </w:rPr>
          <w:t>34</w:t>
        </w:r>
        <w:r w:rsidR="000820FA">
          <w:fldChar w:fldCharType="end"/>
        </w:r>
      </w:hyperlink>
    </w:p>
    <w:p w:rsidR="00F9707F" w:rsidRDefault="008C3158">
      <w:pPr>
        <w:pStyle w:val="21"/>
        <w:tabs>
          <w:tab w:val="clear" w:pos="1050"/>
          <w:tab w:val="clear" w:pos="8296"/>
          <w:tab w:val="right" w:leader="dot" w:pos="9070"/>
        </w:tabs>
        <w:ind w:left="480"/>
      </w:pPr>
      <w:hyperlink w:anchor="_Toc27681" w:history="1">
        <w:r w:rsidR="00DE6B50">
          <w:rPr>
            <w:rFonts w:eastAsia="方正楷体_GBK" w:hint="eastAsia"/>
            <w:bCs/>
            <w:szCs w:val="30"/>
          </w:rPr>
          <w:t>（七）</w:t>
        </w:r>
        <w:r w:rsidR="00DE6B50">
          <w:rPr>
            <w:rFonts w:eastAsia="方正楷体_GBK"/>
            <w:bCs/>
            <w:szCs w:val="30"/>
          </w:rPr>
          <w:t>实施服务</w:t>
        </w:r>
        <w:r w:rsidR="00DE6B50">
          <w:rPr>
            <w:rFonts w:eastAsia="方正楷体_GBK" w:hint="eastAsia"/>
            <w:bCs/>
            <w:szCs w:val="30"/>
          </w:rPr>
          <w:t>联动协同</w:t>
        </w:r>
        <w:r w:rsidR="00DE6B50">
          <w:rPr>
            <w:rFonts w:eastAsia="方正楷体_GBK"/>
            <w:bCs/>
            <w:szCs w:val="30"/>
          </w:rPr>
          <w:t>行动</w:t>
        </w:r>
        <w:r w:rsidR="00DE6B50">
          <w:tab/>
        </w:r>
        <w:r w:rsidR="000820FA">
          <w:fldChar w:fldCharType="begin"/>
        </w:r>
        <w:r w:rsidR="00DE6B50">
          <w:instrText xml:space="preserve"> PAGEREF _Toc27681 </w:instrText>
        </w:r>
        <w:r w:rsidR="000820FA">
          <w:fldChar w:fldCharType="separate"/>
        </w:r>
        <w:r w:rsidR="000853EB">
          <w:rPr>
            <w:noProof/>
          </w:rPr>
          <w:t>35</w:t>
        </w:r>
        <w:r w:rsidR="000820FA">
          <w:fldChar w:fldCharType="end"/>
        </w:r>
      </w:hyperlink>
    </w:p>
    <w:p w:rsidR="00F9707F" w:rsidRDefault="008C3158">
      <w:pPr>
        <w:pStyle w:val="21"/>
        <w:tabs>
          <w:tab w:val="clear" w:pos="1050"/>
          <w:tab w:val="clear" w:pos="8296"/>
          <w:tab w:val="right" w:leader="dot" w:pos="9070"/>
        </w:tabs>
        <w:ind w:left="480"/>
      </w:pPr>
      <w:hyperlink w:anchor="_Toc32618" w:history="1">
        <w:r w:rsidR="00DE6B50">
          <w:rPr>
            <w:rFonts w:eastAsia="方正楷体_GBK" w:hint="eastAsia"/>
            <w:bCs/>
            <w:szCs w:val="30"/>
          </w:rPr>
          <w:t>（八）</w:t>
        </w:r>
        <w:r w:rsidR="00DE6B50">
          <w:rPr>
            <w:rFonts w:eastAsia="方正楷体_GBK"/>
            <w:bCs/>
            <w:szCs w:val="30"/>
          </w:rPr>
          <w:t>实施</w:t>
        </w:r>
        <w:r w:rsidR="00DE6B50">
          <w:rPr>
            <w:rFonts w:eastAsia="方正楷体_GBK" w:hint="eastAsia"/>
            <w:bCs/>
            <w:szCs w:val="30"/>
          </w:rPr>
          <w:t>综合</w:t>
        </w:r>
        <w:r w:rsidR="00DE6B50">
          <w:rPr>
            <w:rFonts w:eastAsia="方正楷体_GBK"/>
            <w:bCs/>
            <w:szCs w:val="30"/>
          </w:rPr>
          <w:t>环境</w:t>
        </w:r>
        <w:r w:rsidR="00DE6B50">
          <w:rPr>
            <w:rFonts w:eastAsia="方正楷体_GBK" w:hint="eastAsia"/>
            <w:bCs/>
            <w:szCs w:val="30"/>
          </w:rPr>
          <w:t>优化</w:t>
        </w:r>
        <w:r w:rsidR="00DE6B50">
          <w:rPr>
            <w:rFonts w:eastAsia="方正楷体_GBK"/>
            <w:bCs/>
            <w:szCs w:val="30"/>
          </w:rPr>
          <w:t>行动</w:t>
        </w:r>
        <w:r w:rsidR="00DE6B50">
          <w:tab/>
        </w:r>
        <w:r w:rsidR="000820FA">
          <w:fldChar w:fldCharType="begin"/>
        </w:r>
        <w:r w:rsidR="00DE6B50">
          <w:instrText xml:space="preserve"> PAGEREF _Toc32618 </w:instrText>
        </w:r>
        <w:r w:rsidR="000820FA">
          <w:fldChar w:fldCharType="separate"/>
        </w:r>
        <w:r w:rsidR="000853EB">
          <w:rPr>
            <w:noProof/>
          </w:rPr>
          <w:t>36</w:t>
        </w:r>
        <w:r w:rsidR="000820FA">
          <w:fldChar w:fldCharType="end"/>
        </w:r>
      </w:hyperlink>
    </w:p>
    <w:p w:rsidR="00F9707F" w:rsidRDefault="008C3158">
      <w:pPr>
        <w:pStyle w:val="13"/>
        <w:tabs>
          <w:tab w:val="right" w:leader="dot" w:pos="9070"/>
        </w:tabs>
      </w:pPr>
      <w:hyperlink w:anchor="_Toc3287" w:history="1">
        <w:r w:rsidR="00DE6B50">
          <w:rPr>
            <w:rFonts w:eastAsia="方正黑体_GBK" w:hint="eastAsia"/>
            <w:kern w:val="44"/>
            <w:szCs w:val="30"/>
          </w:rPr>
          <w:t>五、强化实施保障</w:t>
        </w:r>
        <w:r w:rsidR="00DE6B50">
          <w:tab/>
        </w:r>
        <w:r w:rsidR="000820FA">
          <w:fldChar w:fldCharType="begin"/>
        </w:r>
        <w:r w:rsidR="00DE6B50">
          <w:instrText xml:space="preserve"> PAGEREF _Toc3287 </w:instrText>
        </w:r>
        <w:r w:rsidR="000820FA">
          <w:fldChar w:fldCharType="separate"/>
        </w:r>
        <w:r w:rsidR="000853EB">
          <w:rPr>
            <w:noProof/>
          </w:rPr>
          <w:t>37</w:t>
        </w:r>
        <w:r w:rsidR="000820FA">
          <w:fldChar w:fldCharType="end"/>
        </w:r>
      </w:hyperlink>
    </w:p>
    <w:p w:rsidR="00F9707F" w:rsidRDefault="008C3158">
      <w:pPr>
        <w:pStyle w:val="21"/>
        <w:tabs>
          <w:tab w:val="clear" w:pos="1050"/>
          <w:tab w:val="clear" w:pos="8296"/>
          <w:tab w:val="right" w:leader="dot" w:pos="9070"/>
        </w:tabs>
        <w:ind w:left="480"/>
      </w:pPr>
      <w:hyperlink w:anchor="_Toc23335" w:history="1">
        <w:r w:rsidR="00DE6B50">
          <w:rPr>
            <w:rFonts w:eastAsia="方正楷体_GBK" w:hint="eastAsia"/>
            <w:bCs/>
            <w:szCs w:val="30"/>
          </w:rPr>
          <w:t>（一）</w:t>
        </w:r>
        <w:r w:rsidR="00DE6B50">
          <w:rPr>
            <w:rFonts w:eastAsia="方正楷体_GBK"/>
            <w:bCs/>
            <w:szCs w:val="30"/>
          </w:rPr>
          <w:t>加强组织领导</w:t>
        </w:r>
        <w:r w:rsidR="00DE6B50">
          <w:tab/>
        </w:r>
        <w:r w:rsidR="000820FA">
          <w:fldChar w:fldCharType="begin"/>
        </w:r>
        <w:r w:rsidR="00DE6B50">
          <w:instrText xml:space="preserve"> PAGEREF _Toc23335 </w:instrText>
        </w:r>
        <w:r w:rsidR="000820FA">
          <w:fldChar w:fldCharType="separate"/>
        </w:r>
        <w:r w:rsidR="000853EB">
          <w:rPr>
            <w:noProof/>
          </w:rPr>
          <w:t>37</w:t>
        </w:r>
        <w:r w:rsidR="000820FA">
          <w:fldChar w:fldCharType="end"/>
        </w:r>
      </w:hyperlink>
    </w:p>
    <w:p w:rsidR="00F9707F" w:rsidRDefault="008C3158">
      <w:pPr>
        <w:pStyle w:val="21"/>
        <w:tabs>
          <w:tab w:val="clear" w:pos="1050"/>
          <w:tab w:val="clear" w:pos="8296"/>
          <w:tab w:val="right" w:leader="dot" w:pos="9070"/>
        </w:tabs>
        <w:ind w:left="480"/>
      </w:pPr>
      <w:hyperlink w:anchor="_Toc26402" w:history="1">
        <w:r w:rsidR="00DE6B50">
          <w:rPr>
            <w:rFonts w:eastAsia="方正楷体_GBK" w:hint="eastAsia"/>
            <w:bCs/>
            <w:szCs w:val="30"/>
          </w:rPr>
          <w:t>（二）</w:t>
        </w:r>
        <w:r w:rsidR="00DE6B50">
          <w:rPr>
            <w:rFonts w:eastAsia="方正楷体_GBK"/>
            <w:bCs/>
            <w:szCs w:val="30"/>
          </w:rPr>
          <w:t>加强政策支持</w:t>
        </w:r>
        <w:r w:rsidR="00DE6B50">
          <w:tab/>
        </w:r>
        <w:r w:rsidR="000820FA">
          <w:fldChar w:fldCharType="begin"/>
        </w:r>
        <w:r w:rsidR="00DE6B50">
          <w:instrText xml:space="preserve"> PAGEREF _Toc26402 </w:instrText>
        </w:r>
        <w:r w:rsidR="000820FA">
          <w:fldChar w:fldCharType="separate"/>
        </w:r>
        <w:r w:rsidR="000853EB">
          <w:rPr>
            <w:noProof/>
          </w:rPr>
          <w:t>37</w:t>
        </w:r>
        <w:r w:rsidR="000820FA">
          <w:fldChar w:fldCharType="end"/>
        </w:r>
      </w:hyperlink>
    </w:p>
    <w:p w:rsidR="00F9707F" w:rsidRDefault="008C3158">
      <w:pPr>
        <w:pStyle w:val="21"/>
        <w:tabs>
          <w:tab w:val="clear" w:pos="1050"/>
          <w:tab w:val="clear" w:pos="8296"/>
          <w:tab w:val="right" w:leader="dot" w:pos="9070"/>
        </w:tabs>
        <w:ind w:left="480"/>
      </w:pPr>
      <w:hyperlink w:anchor="_Toc3678" w:history="1">
        <w:r w:rsidR="00DE6B50">
          <w:rPr>
            <w:rFonts w:eastAsia="方正楷体_GBK" w:hint="eastAsia"/>
            <w:bCs/>
            <w:szCs w:val="30"/>
          </w:rPr>
          <w:t>（三）</w:t>
        </w:r>
        <w:r w:rsidR="00DE6B50">
          <w:rPr>
            <w:rFonts w:eastAsia="方正楷体_GBK"/>
            <w:bCs/>
            <w:szCs w:val="30"/>
          </w:rPr>
          <w:t>加强投资促进</w:t>
        </w:r>
        <w:r w:rsidR="00DE6B50">
          <w:tab/>
        </w:r>
        <w:r w:rsidR="000820FA">
          <w:fldChar w:fldCharType="begin"/>
        </w:r>
        <w:r w:rsidR="00DE6B50">
          <w:instrText xml:space="preserve"> PAGEREF _Toc3678 </w:instrText>
        </w:r>
        <w:r w:rsidR="000820FA">
          <w:fldChar w:fldCharType="separate"/>
        </w:r>
        <w:r w:rsidR="000853EB">
          <w:rPr>
            <w:noProof/>
          </w:rPr>
          <w:t>38</w:t>
        </w:r>
        <w:r w:rsidR="000820FA">
          <w:fldChar w:fldCharType="end"/>
        </w:r>
      </w:hyperlink>
    </w:p>
    <w:p w:rsidR="00F9707F" w:rsidRDefault="008C3158">
      <w:pPr>
        <w:pStyle w:val="21"/>
        <w:tabs>
          <w:tab w:val="clear" w:pos="1050"/>
          <w:tab w:val="clear" w:pos="8296"/>
          <w:tab w:val="right" w:leader="dot" w:pos="9070"/>
        </w:tabs>
        <w:ind w:left="480"/>
      </w:pPr>
      <w:hyperlink w:anchor="_Toc26448" w:history="1">
        <w:r w:rsidR="00DE6B50">
          <w:rPr>
            <w:rFonts w:eastAsia="方正楷体_GBK" w:hint="eastAsia"/>
            <w:bCs/>
            <w:szCs w:val="30"/>
          </w:rPr>
          <w:t>（四）加强监测评估</w:t>
        </w:r>
        <w:r w:rsidR="00DE6B50">
          <w:tab/>
        </w:r>
        <w:r w:rsidR="000820FA">
          <w:fldChar w:fldCharType="begin"/>
        </w:r>
        <w:r w:rsidR="00DE6B50">
          <w:instrText xml:space="preserve"> PAGEREF _Toc26448 </w:instrText>
        </w:r>
        <w:r w:rsidR="000820FA">
          <w:fldChar w:fldCharType="separate"/>
        </w:r>
        <w:r w:rsidR="000853EB">
          <w:rPr>
            <w:noProof/>
          </w:rPr>
          <w:t>38</w:t>
        </w:r>
        <w:r w:rsidR="000820FA">
          <w:fldChar w:fldCharType="end"/>
        </w:r>
      </w:hyperlink>
    </w:p>
    <w:p w:rsidR="00F9707F" w:rsidRDefault="000820FA">
      <w:pPr>
        <w:spacing w:line="640" w:lineRule="exact"/>
        <w:ind w:firstLineChars="200" w:firstLine="640"/>
        <w:rPr>
          <w:rFonts w:eastAsia="楷体"/>
          <w:bCs/>
          <w:szCs w:val="28"/>
        </w:rPr>
        <w:sectPr w:rsidR="00F9707F">
          <w:headerReference w:type="default" r:id="rId11"/>
          <w:footerReference w:type="even" r:id="rId12"/>
          <w:footerReference w:type="default" r:id="rId13"/>
          <w:footnotePr>
            <w:numRestart w:val="eachPage"/>
          </w:footnotePr>
          <w:type w:val="nextColumn"/>
          <w:pgSz w:w="11906" w:h="16838"/>
          <w:pgMar w:top="1440" w:right="1418" w:bottom="1440" w:left="1418" w:header="851" w:footer="992" w:gutter="0"/>
          <w:pgNumType w:fmt="upperRoman" w:start="1"/>
          <w:cols w:space="425"/>
          <w:docGrid w:type="lines" w:linePitch="435"/>
        </w:sectPr>
      </w:pPr>
      <w:r>
        <w:rPr>
          <w:rFonts w:eastAsia="楷体"/>
          <w:bCs/>
          <w:szCs w:val="28"/>
        </w:rPr>
        <w:fldChar w:fldCharType="end"/>
      </w:r>
      <w:bookmarkEnd w:id="1"/>
      <w:bookmarkEnd w:id="2"/>
    </w:p>
    <w:p w:rsidR="00F9707F" w:rsidRDefault="00DE6B50">
      <w:pPr>
        <w:spacing w:line="640" w:lineRule="exact"/>
        <w:ind w:firstLineChars="200" w:firstLine="640"/>
      </w:pPr>
      <w:r>
        <w:rPr>
          <w:rFonts w:hint="eastAsia"/>
        </w:rPr>
        <w:lastRenderedPageBreak/>
        <w:t>加快高技术服务业发展不仅是高新区顺应技术新产业革命趋势、抢抓疫情催生新经济机遇、引领主导产业集群能级跃升、促进高新区高质量发展的必然要求，也是高新区完善创新生态、集聚创新要素，建设科学之城、创新高地的重要支撑。《重庆高新区“十四五”高技术服务业发展规划》围绕落实全市服务业高质量发展的指示要求，根据《重庆高新区“十四五”国民经济社会发展规划和二〇三五远景目标纲要》编制，明确未来五年高新区高技术服务业发展的目标愿景、战略定位、功能布局、发展重点和关键路径，是引领未来高新区高技术服务业发展的旗帜纲领。规划</w:t>
      </w:r>
      <w:bookmarkStart w:id="3" w:name="_Toc1257"/>
      <w:bookmarkStart w:id="4" w:name="_Toc24228"/>
      <w:r>
        <w:rPr>
          <w:rFonts w:hint="eastAsia"/>
        </w:rPr>
        <w:t>期限为</w:t>
      </w:r>
      <w:r>
        <w:rPr>
          <w:rFonts w:hint="eastAsia"/>
        </w:rPr>
        <w:t>2021-2025</w:t>
      </w:r>
      <w:r>
        <w:rPr>
          <w:rFonts w:hint="eastAsia"/>
        </w:rPr>
        <w:t>年，远景展望到</w:t>
      </w:r>
      <w:r>
        <w:rPr>
          <w:rFonts w:hint="eastAsia"/>
        </w:rPr>
        <w:t>2035</w:t>
      </w:r>
      <w:r>
        <w:rPr>
          <w:rFonts w:hint="eastAsia"/>
        </w:rPr>
        <w:t>年。</w:t>
      </w:r>
    </w:p>
    <w:p w:rsidR="00F9707F" w:rsidRDefault="00DE6B50">
      <w:pPr>
        <w:pStyle w:val="1"/>
        <w:spacing w:line="640" w:lineRule="exact"/>
        <w:ind w:firstLine="602"/>
        <w:rPr>
          <w:b/>
          <w:sz w:val="30"/>
        </w:rPr>
      </w:pPr>
      <w:bookmarkStart w:id="5" w:name="_Toc61271766"/>
      <w:bookmarkStart w:id="6" w:name="_Toc54568958"/>
      <w:bookmarkStart w:id="7" w:name="_Toc22034"/>
      <w:r>
        <w:rPr>
          <w:rFonts w:hint="eastAsia"/>
          <w:b/>
          <w:sz w:val="30"/>
        </w:rPr>
        <w:t>一、</w:t>
      </w:r>
      <w:bookmarkEnd w:id="5"/>
      <w:bookmarkEnd w:id="6"/>
      <w:r>
        <w:rPr>
          <w:rFonts w:hint="eastAsia"/>
          <w:b/>
          <w:sz w:val="30"/>
        </w:rPr>
        <w:t>环境形势与发展基础</w:t>
      </w:r>
      <w:bookmarkEnd w:id="7"/>
    </w:p>
    <w:p w:rsidR="00F9707F" w:rsidRDefault="00DE6B50">
      <w:pPr>
        <w:adjustRightInd w:val="0"/>
        <w:snapToGrid w:val="0"/>
        <w:spacing w:line="640" w:lineRule="exact"/>
        <w:ind w:firstLineChars="200" w:firstLine="640"/>
        <w:jc w:val="left"/>
        <w:outlineLvl w:val="1"/>
        <w:rPr>
          <w:rFonts w:eastAsia="方正楷体_GBK"/>
          <w:bCs/>
          <w:szCs w:val="30"/>
        </w:rPr>
      </w:pPr>
      <w:bookmarkStart w:id="8" w:name="_Toc61271770"/>
      <w:bookmarkStart w:id="9" w:name="_Toc6622"/>
      <w:r>
        <w:rPr>
          <w:rFonts w:eastAsia="方正楷体_GBK" w:hint="eastAsia"/>
          <w:bCs/>
          <w:szCs w:val="30"/>
        </w:rPr>
        <w:t>（一）背景</w:t>
      </w:r>
      <w:r>
        <w:rPr>
          <w:rFonts w:eastAsia="方正楷体_GBK"/>
          <w:bCs/>
          <w:szCs w:val="30"/>
        </w:rPr>
        <w:t>形势</w:t>
      </w:r>
      <w:bookmarkEnd w:id="8"/>
      <w:bookmarkEnd w:id="9"/>
    </w:p>
    <w:p w:rsidR="00F9707F" w:rsidRDefault="00DE6B50">
      <w:pPr>
        <w:spacing w:line="640" w:lineRule="exact"/>
        <w:ind w:firstLineChars="200" w:firstLine="640"/>
        <w:rPr>
          <w:szCs w:val="30"/>
        </w:rPr>
      </w:pPr>
      <w:r>
        <w:rPr>
          <w:rFonts w:hint="eastAsia"/>
        </w:rPr>
        <w:t>高技术服务业是采用高技术手段为社会提供高质量服务活动的产业集合，是现代服务业的重要内容和高端环节，具备技术含量和附加值高、创新性强、发展潜力大、辐射带动作用突出等优势特征。</w:t>
      </w:r>
      <w:r>
        <w:rPr>
          <w:rFonts w:hint="eastAsia"/>
          <w:szCs w:val="30"/>
        </w:rPr>
        <w:t>当前，高新区产业发展正处于着力补短板、寻求新突破的关键时期，加快</w:t>
      </w:r>
      <w:r>
        <w:rPr>
          <w:szCs w:val="30"/>
        </w:rPr>
        <w:t>构建与</w:t>
      </w:r>
      <w:r>
        <w:rPr>
          <w:rFonts w:hint="eastAsia"/>
          <w:szCs w:val="30"/>
        </w:rPr>
        <w:t>科学城战略定位相匹配的高技术服务业体系，</w:t>
      </w:r>
      <w:r>
        <w:rPr>
          <w:szCs w:val="30"/>
        </w:rPr>
        <w:t>既是</w:t>
      </w:r>
      <w:r>
        <w:rPr>
          <w:rFonts w:hint="eastAsia"/>
          <w:szCs w:val="30"/>
        </w:rPr>
        <w:t>高新区加快转型升级、实现高质量发展的迫切需要，也是树立高新区服务业特色竞争优势的必然选择。</w:t>
      </w:r>
      <w:bookmarkStart w:id="10" w:name="_Toc1429"/>
      <w:bookmarkStart w:id="11" w:name="_Toc61271771"/>
      <w:bookmarkStart w:id="12" w:name="_Toc9369"/>
    </w:p>
    <w:p w:rsidR="00F9707F" w:rsidRDefault="00DE6B50">
      <w:pPr>
        <w:spacing w:line="640" w:lineRule="exact"/>
        <w:ind w:firstLineChars="200" w:firstLine="643"/>
        <w:rPr>
          <w:b/>
          <w:bCs/>
        </w:rPr>
      </w:pPr>
      <w:r>
        <w:rPr>
          <w:rFonts w:hint="eastAsia"/>
          <w:b/>
          <w:bCs/>
        </w:rPr>
        <w:lastRenderedPageBreak/>
        <w:t>1</w:t>
      </w:r>
      <w:r>
        <w:rPr>
          <w:rFonts w:hint="eastAsia"/>
          <w:b/>
          <w:bCs/>
        </w:rPr>
        <w:t>、</w:t>
      </w:r>
      <w:bookmarkEnd w:id="10"/>
      <w:bookmarkEnd w:id="11"/>
      <w:bookmarkEnd w:id="12"/>
      <w:r>
        <w:rPr>
          <w:rFonts w:hint="eastAsia"/>
          <w:b/>
          <w:bCs/>
        </w:rPr>
        <w:t>顺应高技术服务产业趋势的发展需要</w:t>
      </w:r>
    </w:p>
    <w:p w:rsidR="00F9707F" w:rsidRDefault="00DE6B50">
      <w:pPr>
        <w:spacing w:line="640" w:lineRule="exact"/>
        <w:ind w:firstLineChars="200" w:firstLine="640"/>
        <w:rPr>
          <w:rFonts w:ascii="黑体" w:eastAsia="黑体" w:hAnsi="黑体"/>
          <w:szCs w:val="30"/>
        </w:rPr>
      </w:pPr>
      <w:r>
        <w:rPr>
          <w:rFonts w:hint="eastAsia"/>
          <w:szCs w:val="30"/>
        </w:rPr>
        <w:t>以云计算、大数据、移动互联网、工业互联网等为代表的新一代信息技术的深度应用，为高技术服务业发展提供了良好的技术基础和广阔的发展空间，高技术服务业发展全面加速。四经普期间（</w:t>
      </w:r>
      <w:r>
        <w:rPr>
          <w:rFonts w:hint="eastAsia"/>
          <w:szCs w:val="30"/>
        </w:rPr>
        <w:t>2</w:t>
      </w:r>
      <w:r>
        <w:rPr>
          <w:szCs w:val="30"/>
        </w:rPr>
        <w:t>014-2018</w:t>
      </w:r>
      <w:r>
        <w:rPr>
          <w:szCs w:val="30"/>
        </w:rPr>
        <w:t>年</w:t>
      </w:r>
      <w:r>
        <w:rPr>
          <w:rFonts w:hint="eastAsia"/>
          <w:szCs w:val="30"/>
        </w:rPr>
        <w:t>）规模以上软件信息、研发服务、检验检测等高技术服务业企业营业收入年均增速分别达到</w:t>
      </w:r>
      <w:r>
        <w:rPr>
          <w:rFonts w:hint="eastAsia"/>
          <w:szCs w:val="30"/>
        </w:rPr>
        <w:t>21.2%</w:t>
      </w:r>
      <w:r>
        <w:rPr>
          <w:rFonts w:hint="eastAsia"/>
          <w:szCs w:val="30"/>
        </w:rPr>
        <w:t>、</w:t>
      </w:r>
      <w:r>
        <w:rPr>
          <w:rFonts w:hint="eastAsia"/>
          <w:szCs w:val="30"/>
        </w:rPr>
        <w:t>15.5%</w:t>
      </w:r>
      <w:r>
        <w:rPr>
          <w:rFonts w:hint="eastAsia"/>
          <w:szCs w:val="30"/>
        </w:rPr>
        <w:t>、</w:t>
      </w:r>
      <w:r>
        <w:rPr>
          <w:rFonts w:hint="eastAsia"/>
          <w:szCs w:val="30"/>
        </w:rPr>
        <w:t>74.5%</w:t>
      </w:r>
      <w:r>
        <w:rPr>
          <w:rFonts w:hint="eastAsia"/>
          <w:szCs w:val="30"/>
        </w:rPr>
        <w:t>，远高于同期服务业增速。先进制造业和现代服务业呈现出“跨界融合”的新态势；新冠疫情进一步催生了在线经济、平台经济、无接触经济、直播经济、共享经济等新业态新模式。国家级开发区进入制造业和服务业双轮驱动发展阶段。各地高新区把发展高技术服务业提到重要地位。中关村科技园、东湖高新区等一批国家级高新区被纳入现代服务业试点，高技术服务业已成为当地服务业主导领域。为此，</w:t>
      </w:r>
      <w:r>
        <w:rPr>
          <w:rFonts w:ascii="黑体" w:eastAsia="黑体" w:hAnsi="黑体" w:hint="eastAsia"/>
          <w:szCs w:val="30"/>
        </w:rPr>
        <w:t>重庆高新区应当主动顺应高技术服务业以及制造业与服务业深度融合的趋势，加速培育有利于提升制造业核心竞争力的高技术服务业，重点完善高技术服务供给体系，推动高新区产业链水平的整体提升。</w:t>
      </w:r>
    </w:p>
    <w:p w:rsidR="00F9707F" w:rsidRDefault="00DE6B50">
      <w:pPr>
        <w:spacing w:line="640" w:lineRule="exact"/>
        <w:ind w:firstLineChars="200" w:firstLine="643"/>
        <w:rPr>
          <w:rFonts w:ascii="黑体" w:eastAsia="黑体" w:hAnsi="黑体"/>
          <w:b/>
          <w:szCs w:val="30"/>
        </w:rPr>
      </w:pPr>
      <w:bookmarkStart w:id="13" w:name="_Toc27949"/>
      <w:bookmarkStart w:id="14" w:name="_Toc30455"/>
      <w:bookmarkStart w:id="15" w:name="_Toc61271773"/>
      <w:r>
        <w:rPr>
          <w:b/>
          <w:bCs/>
        </w:rPr>
        <w:t>2</w:t>
      </w:r>
      <w:r>
        <w:rPr>
          <w:rFonts w:hint="eastAsia"/>
          <w:b/>
          <w:bCs/>
        </w:rPr>
        <w:t>、</w:t>
      </w:r>
      <w:bookmarkEnd w:id="13"/>
      <w:bookmarkEnd w:id="14"/>
      <w:bookmarkEnd w:id="15"/>
      <w:r>
        <w:rPr>
          <w:rFonts w:hint="eastAsia"/>
          <w:b/>
          <w:bCs/>
        </w:rPr>
        <w:t>引领成渝双城经济圈蝶变的时代需要</w:t>
      </w:r>
    </w:p>
    <w:p w:rsidR="00F9707F" w:rsidRDefault="00DE6B50">
      <w:pPr>
        <w:spacing w:line="640" w:lineRule="exact"/>
        <w:ind w:firstLineChars="200" w:firstLine="640"/>
        <w:rPr>
          <w:rFonts w:ascii="黑体" w:eastAsia="黑体" w:hAnsi="黑体"/>
          <w:szCs w:val="30"/>
        </w:rPr>
      </w:pPr>
      <w:r>
        <w:rPr>
          <w:szCs w:val="30"/>
        </w:rPr>
        <w:t>2020</w:t>
      </w:r>
      <w:r>
        <w:rPr>
          <w:rFonts w:hint="eastAsia"/>
          <w:szCs w:val="30"/>
        </w:rPr>
        <w:t>年</w:t>
      </w:r>
      <w:r>
        <w:rPr>
          <w:szCs w:val="30"/>
        </w:rPr>
        <w:t>1</w:t>
      </w:r>
      <w:r>
        <w:rPr>
          <w:rFonts w:hint="eastAsia"/>
          <w:szCs w:val="30"/>
        </w:rPr>
        <w:t>月</w:t>
      </w:r>
      <w:r>
        <w:rPr>
          <w:szCs w:val="30"/>
        </w:rPr>
        <w:t>3</w:t>
      </w:r>
      <w:r>
        <w:rPr>
          <w:rFonts w:hint="eastAsia"/>
          <w:szCs w:val="30"/>
        </w:rPr>
        <w:t>日，习近平总书记主持召开中央财经委员会第六次会议，会议指出，推动成渝地区双城经济圈建设，有利于在西部形成高质量发展的重要增长极，打造内陆开放</w:t>
      </w:r>
      <w:r>
        <w:rPr>
          <w:rFonts w:hint="eastAsia"/>
          <w:szCs w:val="30"/>
        </w:rPr>
        <w:lastRenderedPageBreak/>
        <w:t>战略高地，对于推动高质量发展具有重要意义</w:t>
      </w:r>
      <w:r>
        <w:rPr>
          <w:szCs w:val="30"/>
        </w:rPr>
        <w:t>。习近平总书记</w:t>
      </w:r>
      <w:r>
        <w:rPr>
          <w:rFonts w:hint="eastAsia"/>
          <w:szCs w:val="30"/>
        </w:rPr>
        <w:t>对推动成渝地区双城经济圈建设提出“两中心两地”的目标。</w:t>
      </w:r>
      <w:r>
        <w:rPr>
          <w:szCs w:val="30"/>
        </w:rPr>
        <w:t>成渝地区双城经济圈建设上升为国家战略，前所未有地强化了</w:t>
      </w:r>
      <w:r>
        <w:rPr>
          <w:rFonts w:hint="eastAsia"/>
          <w:szCs w:val="30"/>
        </w:rPr>
        <w:t>重庆</w:t>
      </w:r>
      <w:r>
        <w:rPr>
          <w:szCs w:val="30"/>
        </w:rPr>
        <w:t>引领西部乃至全国高质量发展的使命担当。</w:t>
      </w:r>
      <w:r>
        <w:rPr>
          <w:rFonts w:ascii="仿宋_GB2312" w:hAnsi="黑体" w:hint="eastAsia"/>
          <w:szCs w:val="30"/>
        </w:rPr>
        <w:t>作为重庆主城区西向桥头堡、双城经济圈建设主阵地，</w:t>
      </w:r>
      <w:r>
        <w:rPr>
          <w:rFonts w:ascii="黑体" w:eastAsia="黑体" w:hAnsi="黑体" w:hint="eastAsia"/>
          <w:szCs w:val="30"/>
        </w:rPr>
        <w:t>重庆高新区迫切需要发挥与成都高新区“双区联动”优势，大力推进高技术服务业跨越式发展，在助力成渝地</w:t>
      </w:r>
      <w:bookmarkStart w:id="16" w:name="_Toc61271774"/>
      <w:bookmarkStart w:id="17" w:name="_Toc21465"/>
      <w:bookmarkStart w:id="18" w:name="_Toc8121"/>
      <w:r>
        <w:rPr>
          <w:rFonts w:ascii="黑体" w:eastAsia="黑体" w:hAnsi="黑体" w:hint="eastAsia"/>
          <w:szCs w:val="30"/>
        </w:rPr>
        <w:t>区建设“两中心两地”定位中发挥好支撑作用和示范带动作用。</w:t>
      </w:r>
    </w:p>
    <w:p w:rsidR="00F9707F" w:rsidRDefault="00DE6B50">
      <w:pPr>
        <w:spacing w:line="640" w:lineRule="exact"/>
        <w:ind w:firstLineChars="200" w:firstLine="643"/>
        <w:rPr>
          <w:b/>
          <w:bCs/>
        </w:rPr>
      </w:pPr>
      <w:r>
        <w:rPr>
          <w:b/>
          <w:bCs/>
        </w:rPr>
        <w:t>3</w:t>
      </w:r>
      <w:r>
        <w:rPr>
          <w:rFonts w:hint="eastAsia"/>
          <w:b/>
          <w:bCs/>
        </w:rPr>
        <w:t>、</w:t>
      </w:r>
      <w:bookmarkEnd w:id="16"/>
      <w:bookmarkEnd w:id="17"/>
      <w:bookmarkEnd w:id="18"/>
      <w:r>
        <w:rPr>
          <w:rFonts w:hint="eastAsia"/>
          <w:b/>
          <w:bCs/>
        </w:rPr>
        <w:t>支撑全市服务业高质量发展的功能需要</w:t>
      </w:r>
    </w:p>
    <w:p w:rsidR="00F9707F" w:rsidRDefault="00DE6B50">
      <w:pPr>
        <w:spacing w:line="640" w:lineRule="exact"/>
        <w:ind w:firstLineChars="200" w:firstLine="640"/>
        <w:rPr>
          <w:rFonts w:ascii="黑体" w:eastAsia="黑体" w:hAnsi="黑体"/>
          <w:szCs w:val="30"/>
        </w:rPr>
      </w:pPr>
      <w:r>
        <w:rPr>
          <w:rFonts w:hint="eastAsia"/>
          <w:szCs w:val="30"/>
        </w:rPr>
        <w:t>近年来，重庆市高度重视现代服务业发展，</w:t>
      </w:r>
      <w:r>
        <w:rPr>
          <w:szCs w:val="30"/>
        </w:rPr>
        <w:t>2020</w:t>
      </w:r>
      <w:r>
        <w:rPr>
          <w:szCs w:val="30"/>
        </w:rPr>
        <w:t>年第三产业实现增加值</w:t>
      </w:r>
      <w:r>
        <w:rPr>
          <w:szCs w:val="30"/>
        </w:rPr>
        <w:t>13207.3</w:t>
      </w:r>
      <w:r>
        <w:rPr>
          <w:szCs w:val="30"/>
        </w:rPr>
        <w:t>亿元，</w:t>
      </w:r>
      <w:r>
        <w:rPr>
          <w:rFonts w:hint="eastAsia"/>
          <w:szCs w:val="30"/>
        </w:rPr>
        <w:t>居西部城市第二位，但</w:t>
      </w:r>
      <w:r>
        <w:rPr>
          <w:szCs w:val="30"/>
        </w:rPr>
        <w:t>服务业发展整体水平还不高，服务业占</w:t>
      </w:r>
      <w:r>
        <w:rPr>
          <w:szCs w:val="30"/>
        </w:rPr>
        <w:t>GDP</w:t>
      </w:r>
      <w:r>
        <w:rPr>
          <w:szCs w:val="30"/>
        </w:rPr>
        <w:t>比重明显低于其他</w:t>
      </w:r>
      <w:r>
        <w:rPr>
          <w:szCs w:val="30"/>
        </w:rPr>
        <w:t>3</w:t>
      </w:r>
      <w:r>
        <w:rPr>
          <w:szCs w:val="30"/>
        </w:rPr>
        <w:t>个直辖市，传统服务业增加值占服务业比重近</w:t>
      </w:r>
      <w:r>
        <w:rPr>
          <w:szCs w:val="30"/>
        </w:rPr>
        <w:t>40%</w:t>
      </w:r>
      <w:r>
        <w:rPr>
          <w:szCs w:val="30"/>
        </w:rPr>
        <w:t>，新兴高端服务业总量规模不大、发展不够充分。为此，</w:t>
      </w:r>
      <w:r>
        <w:rPr>
          <w:rFonts w:hint="eastAsia"/>
          <w:szCs w:val="30"/>
        </w:rPr>
        <w:t>2</w:t>
      </w:r>
      <w:r>
        <w:rPr>
          <w:szCs w:val="30"/>
        </w:rPr>
        <w:t>020</w:t>
      </w:r>
      <w:r>
        <w:rPr>
          <w:rFonts w:hint="eastAsia"/>
          <w:szCs w:val="30"/>
        </w:rPr>
        <w:t>年</w:t>
      </w:r>
      <w:r>
        <w:rPr>
          <w:szCs w:val="30"/>
        </w:rPr>
        <w:t>，</w:t>
      </w:r>
      <w:r>
        <w:rPr>
          <w:rFonts w:hint="eastAsia"/>
          <w:szCs w:val="30"/>
        </w:rPr>
        <w:t>全市发布实施《重庆市人民政府关于新形势下推动服务业高质量发展的意见》，提出要“推动生产性服务业向专业化和价值链高端延伸级”。</w:t>
      </w:r>
      <w:r>
        <w:rPr>
          <w:rFonts w:ascii="黑体" w:eastAsia="黑体" w:hAnsi="黑体" w:hint="eastAsia"/>
          <w:szCs w:val="30"/>
        </w:rPr>
        <w:t>高新区必须着力优化服务业内部结构，</w:t>
      </w:r>
      <w:r>
        <w:rPr>
          <w:rFonts w:ascii="黑体" w:eastAsia="黑体" w:hAnsi="黑体"/>
          <w:szCs w:val="30"/>
        </w:rPr>
        <w:t>提升高技术服务业</w:t>
      </w:r>
      <w:r>
        <w:rPr>
          <w:rFonts w:ascii="黑体" w:eastAsia="黑体" w:hAnsi="黑体" w:hint="eastAsia"/>
          <w:szCs w:val="30"/>
        </w:rPr>
        <w:t>发展</w:t>
      </w:r>
      <w:r>
        <w:rPr>
          <w:rFonts w:ascii="黑体" w:eastAsia="黑体" w:hAnsi="黑体"/>
          <w:szCs w:val="30"/>
        </w:rPr>
        <w:t>能级</w:t>
      </w:r>
      <w:r>
        <w:rPr>
          <w:rFonts w:ascii="黑体" w:eastAsia="黑体" w:hAnsi="黑体" w:hint="eastAsia"/>
          <w:szCs w:val="30"/>
        </w:rPr>
        <w:t>，凸显在全市服务业发展格局中最具科创属性的独特地位，更好地发挥全市服务业高质量发展增长极和创新驱动新引擎作用。</w:t>
      </w:r>
    </w:p>
    <w:p w:rsidR="00F9707F" w:rsidRDefault="00DE6B50">
      <w:pPr>
        <w:spacing w:line="640" w:lineRule="exact"/>
        <w:ind w:firstLineChars="200" w:firstLine="643"/>
        <w:rPr>
          <w:b/>
          <w:bCs/>
        </w:rPr>
      </w:pPr>
      <w:bookmarkStart w:id="19" w:name="_Toc8176"/>
      <w:bookmarkStart w:id="20" w:name="_Toc11208"/>
      <w:bookmarkStart w:id="21" w:name="_Toc61271775"/>
      <w:r>
        <w:rPr>
          <w:b/>
          <w:bCs/>
        </w:rPr>
        <w:t>4</w:t>
      </w:r>
      <w:r>
        <w:rPr>
          <w:rFonts w:hint="eastAsia"/>
          <w:b/>
          <w:bCs/>
        </w:rPr>
        <w:t>、</w:t>
      </w:r>
      <w:bookmarkEnd w:id="19"/>
      <w:bookmarkEnd w:id="20"/>
      <w:bookmarkEnd w:id="21"/>
      <w:r>
        <w:rPr>
          <w:rFonts w:hint="eastAsia"/>
          <w:b/>
          <w:bCs/>
        </w:rPr>
        <w:t>服务西部（重庆）科学城建设的战略需要</w:t>
      </w:r>
    </w:p>
    <w:p w:rsidR="00F9707F" w:rsidRDefault="00DE6B50">
      <w:pPr>
        <w:spacing w:line="640" w:lineRule="exact"/>
        <w:ind w:firstLineChars="200" w:firstLine="640"/>
        <w:rPr>
          <w:rFonts w:ascii="黑体" w:eastAsia="黑体" w:hAnsi="黑体"/>
          <w:szCs w:val="30"/>
        </w:rPr>
      </w:pPr>
      <w:r>
        <w:rPr>
          <w:rFonts w:hint="eastAsia"/>
          <w:szCs w:val="30"/>
        </w:rPr>
        <w:lastRenderedPageBreak/>
        <w:t>20</w:t>
      </w:r>
      <w:r>
        <w:rPr>
          <w:szCs w:val="30"/>
        </w:rPr>
        <w:t>20</w:t>
      </w:r>
      <w:r>
        <w:rPr>
          <w:rFonts w:hint="eastAsia"/>
          <w:szCs w:val="30"/>
        </w:rPr>
        <w:t>年</w:t>
      </w:r>
      <w:r>
        <w:rPr>
          <w:rFonts w:hint="eastAsia"/>
          <w:szCs w:val="30"/>
        </w:rPr>
        <w:t>4</w:t>
      </w:r>
      <w:r>
        <w:rPr>
          <w:rFonts w:hint="eastAsia"/>
          <w:szCs w:val="30"/>
        </w:rPr>
        <w:t>月，市委市政府作出“举全市之力、集全市之智，高起点高标准规划建设西部（重庆）科学城”重大举措</w:t>
      </w:r>
      <w:r>
        <w:rPr>
          <w:szCs w:val="30"/>
        </w:rPr>
        <w:t>。</w:t>
      </w:r>
      <w:r>
        <w:rPr>
          <w:rFonts w:hint="eastAsia"/>
          <w:szCs w:val="30"/>
        </w:rPr>
        <w:t>科学城国土空间规划（</w:t>
      </w:r>
      <w:r>
        <w:rPr>
          <w:rFonts w:hint="eastAsia"/>
          <w:szCs w:val="30"/>
        </w:rPr>
        <w:t>2020-2035</w:t>
      </w:r>
      <w:r>
        <w:rPr>
          <w:rFonts w:hint="eastAsia"/>
          <w:szCs w:val="30"/>
        </w:rPr>
        <w:t>年）</w:t>
      </w:r>
      <w:r>
        <w:rPr>
          <w:szCs w:val="30"/>
        </w:rPr>
        <w:t>，明确了</w:t>
      </w:r>
      <w:r>
        <w:rPr>
          <w:rFonts w:hint="eastAsia"/>
          <w:szCs w:val="30"/>
        </w:rPr>
        <w:t>科学城</w:t>
      </w:r>
      <w:r>
        <w:rPr>
          <w:szCs w:val="30"/>
        </w:rPr>
        <w:t>加快建设</w:t>
      </w:r>
      <w:r>
        <w:rPr>
          <w:rFonts w:hint="eastAsia"/>
          <w:szCs w:val="30"/>
        </w:rPr>
        <w:t>“</w:t>
      </w:r>
      <w:r>
        <w:rPr>
          <w:szCs w:val="30"/>
        </w:rPr>
        <w:t>面向未来产业、未来生活、未来风景的未来之城，鼓励创新、开放包容、追逐梦想的梦想之城，科学家的家、创业者的城</w:t>
      </w:r>
      <w:r>
        <w:rPr>
          <w:rFonts w:hint="eastAsia"/>
          <w:szCs w:val="30"/>
        </w:rPr>
        <w:t>”的战略定位。高新区“十四五”规划，进一步围绕“科学之城、创新高地”总体定位，提出聚焦科学主题“铸魂”、面向未来发展“筑城”、联动全域创新“赋能”的思路，加快推进科学城建设。</w:t>
      </w:r>
      <w:r>
        <w:rPr>
          <w:rFonts w:ascii="黑体" w:eastAsia="黑体" w:hAnsi="黑体" w:hint="eastAsia"/>
          <w:szCs w:val="30"/>
        </w:rPr>
        <w:t>重庆高新区应当充分发挥好国家自主创新示范区、自由贸易试验区核心区等重大战略叠加优势，最大限度激发高技术服务业发展活力和创造力，着力打造高技术服务业新高地，为科学城建设提供强大助力。</w:t>
      </w:r>
    </w:p>
    <w:p w:rsidR="00F9707F" w:rsidRDefault="00DE6B50">
      <w:pPr>
        <w:pStyle w:val="2"/>
        <w:spacing w:line="640" w:lineRule="exact"/>
        <w:ind w:firstLine="640"/>
        <w:rPr>
          <w:rFonts w:ascii="方正楷体_GBK"/>
          <w:b w:val="0"/>
        </w:rPr>
      </w:pPr>
      <w:bookmarkStart w:id="22" w:name="_Toc54568959"/>
      <w:bookmarkStart w:id="23" w:name="_Toc61271767"/>
      <w:bookmarkStart w:id="24" w:name="_Toc18321"/>
      <w:r>
        <w:rPr>
          <w:rFonts w:ascii="方正楷体_GBK" w:hint="eastAsia"/>
          <w:b w:val="0"/>
        </w:rPr>
        <w:t>（二）发展基础</w:t>
      </w:r>
      <w:bookmarkEnd w:id="22"/>
      <w:bookmarkEnd w:id="23"/>
      <w:bookmarkEnd w:id="24"/>
    </w:p>
    <w:p w:rsidR="00F9707F" w:rsidRDefault="00DE6B50">
      <w:pPr>
        <w:spacing w:line="640" w:lineRule="exact"/>
        <w:ind w:firstLineChars="200" w:firstLine="640"/>
      </w:pPr>
      <w:r>
        <w:rPr>
          <w:rFonts w:hint="eastAsia"/>
        </w:rPr>
        <w:t>依托制造业基础和科技创新资源，聚焦大学城、西永</w:t>
      </w:r>
      <w:r>
        <w:rPr>
          <w:rFonts w:ascii="仿宋_GB2312" w:hint="eastAsia"/>
        </w:rPr>
        <w:t>微电园、金凤片区等产业载体，高新区高技术服务业发展正展现出朝气蓬勃、欣欣向荣的新气象。</w:t>
      </w:r>
    </w:p>
    <w:p w:rsidR="00F9707F" w:rsidRDefault="00DE6B50">
      <w:pPr>
        <w:spacing w:line="640" w:lineRule="exact"/>
        <w:ind w:firstLineChars="200" w:firstLine="643"/>
      </w:pPr>
      <w:r>
        <w:rPr>
          <w:rFonts w:hint="eastAsia"/>
          <w:b/>
        </w:rPr>
        <w:t>产业发展初显特色优势。</w:t>
      </w:r>
      <w:r>
        <w:rPr>
          <w:rFonts w:hint="eastAsia"/>
        </w:rPr>
        <w:t>检验检测初步形成集聚特色，</w:t>
      </w:r>
      <w:r>
        <w:t>2018</w:t>
      </w:r>
      <w:r>
        <w:t>年高新区获批建设西部省市唯一的国家检验检测高技术服务业集聚区（重庆）</w:t>
      </w:r>
      <w:r>
        <w:rPr>
          <w:rFonts w:hint="eastAsia"/>
        </w:rPr>
        <w:t>。</w:t>
      </w:r>
      <w:r w:rsidR="0057288C">
        <w:t>截至目前</w:t>
      </w:r>
      <w:r>
        <w:t>，集聚区内已入驻重庆车辆检测研究院、赛宝实验室等检验检测机构</w:t>
      </w:r>
      <w:r>
        <w:t>25</w:t>
      </w:r>
      <w:r>
        <w:t>家</w:t>
      </w:r>
      <w:r>
        <w:rPr>
          <w:rFonts w:hint="eastAsia"/>
        </w:rPr>
        <w:t>。研发孵化拥有丰富资源基础，高新区所辖重庆大学城集聚</w:t>
      </w:r>
      <w:r>
        <w:t>14</w:t>
      </w:r>
      <w:r>
        <w:t>所</w:t>
      </w:r>
      <w:r>
        <w:lastRenderedPageBreak/>
        <w:t>高等院校</w:t>
      </w:r>
      <w:r>
        <w:rPr>
          <w:rFonts w:hint="eastAsia"/>
        </w:rPr>
        <w:t>，超瞬态物质科学实验装置、长江上游种质创制大科学装置等重大科学基础设施项目加紧推进。</w:t>
      </w:r>
      <w:r>
        <w:t>拥有国家重点实验室、国家应用数学中心、新型高端研发机构等市级及以上研发平台</w:t>
      </w:r>
      <w:r>
        <w:t>225</w:t>
      </w:r>
      <w:r>
        <w:t>个，国家高新技术企业</w:t>
      </w:r>
      <w:r>
        <w:t>137</w:t>
      </w:r>
      <w:r>
        <w:t>家，市级及以上孵化器和众创空间</w:t>
      </w:r>
      <w:r>
        <w:t>14</w:t>
      </w:r>
      <w:r>
        <w:t>个、其中国家级</w:t>
      </w:r>
      <w:r>
        <w:t>5</w:t>
      </w:r>
      <w:r>
        <w:t>个，</w:t>
      </w:r>
      <w:r>
        <w:t>A</w:t>
      </w:r>
      <w:r>
        <w:t>类评价国家级孵化器</w:t>
      </w:r>
      <w:r>
        <w:t>2</w:t>
      </w:r>
      <w:r>
        <w:t>家。全社会研发经费支出占地区生产总值比重</w:t>
      </w:r>
      <w:r>
        <w:t>4.8%</w:t>
      </w:r>
      <w:r>
        <w:t>，万人发明专利拥有量达</w:t>
      </w:r>
      <w:r>
        <w:t>42.3</w:t>
      </w:r>
      <w:r>
        <w:t>件。</w:t>
      </w:r>
      <w:r>
        <w:rPr>
          <w:rFonts w:hint="eastAsia"/>
        </w:rPr>
        <w:t>四川美术学院作为高新区数字文创产业摇篮，数字文创企业孵化和专业人才培养日益形成品牌特色。</w:t>
      </w:r>
    </w:p>
    <w:p w:rsidR="00F9707F" w:rsidRDefault="00DE6B50">
      <w:pPr>
        <w:spacing w:line="640" w:lineRule="exact"/>
        <w:ind w:firstLineChars="200" w:firstLine="643"/>
        <w:rPr>
          <w:rFonts w:ascii="等线" w:hAnsi="等线"/>
        </w:rPr>
      </w:pPr>
      <w:r>
        <w:rPr>
          <w:rFonts w:ascii="等线" w:hAnsi="等线" w:hint="eastAsia"/>
          <w:b/>
        </w:rPr>
        <w:t>产业载体初具承载能力。</w:t>
      </w:r>
      <w:r>
        <w:rPr>
          <w:rFonts w:ascii="等线" w:hAnsi="等线" w:hint="eastAsia"/>
        </w:rPr>
        <w:t>高新区服务业初步形成大学城、西永微电园、金凤园区三大片区为主体，特色街区和商务楼宇镶嵌其中的空间格局。大学城科技产业园、金凤检验检测集聚区成功入围重庆市第一批战略性新兴服务业集聚示范区名单。金凤片区已成为西部地区检测企业最集聚、基础设施最完善、产业增长最迅速的检验检测基地。西永微电园正致力于打造集成电路领域研孵化基地。</w:t>
      </w:r>
      <w:r>
        <w:rPr>
          <w:rFonts w:hint="eastAsia"/>
        </w:rPr>
        <w:t>截至</w:t>
      </w:r>
      <w:r>
        <w:t>2020</w:t>
      </w:r>
      <w:r>
        <w:t>年，重庆大学城累计在孵企业</w:t>
      </w:r>
      <w:r>
        <w:t>468</w:t>
      </w:r>
      <w:r>
        <w:t>家，培育</w:t>
      </w:r>
      <w:r>
        <w:t>3</w:t>
      </w:r>
      <w:r>
        <w:t>个国家级孵化器和众创空间，</w:t>
      </w:r>
      <w:r>
        <w:t>6</w:t>
      </w:r>
      <w:r>
        <w:t>个市级孵化器和众创空间。</w:t>
      </w:r>
    </w:p>
    <w:p w:rsidR="00F9707F" w:rsidRDefault="00DE6B50">
      <w:pPr>
        <w:spacing w:line="640" w:lineRule="exact"/>
        <w:ind w:firstLineChars="200" w:firstLine="643"/>
      </w:pPr>
      <w:r>
        <w:rPr>
          <w:rFonts w:hint="eastAsia"/>
          <w:b/>
        </w:rPr>
        <w:t>新业态新模式加速涌现。</w:t>
      </w:r>
      <w:r>
        <w:rPr>
          <w:rFonts w:hint="eastAsia"/>
        </w:rPr>
        <w:t>产业云平台加速构建，英业达、华润微电子、索为网络、重庆赛宝等结合自身优势领域在高新区布局产业云平台，加快促进制造业信息化智能化升级。</w:t>
      </w:r>
      <w:r>
        <w:rPr>
          <w:rFonts w:hint="eastAsia"/>
        </w:rPr>
        <w:lastRenderedPageBreak/>
        <w:t>大数据平台加快集聚，施耐德智能制造重庆创新中心、华为鲲鹏计算产业生态重庆中心、中国移动（西永）数据中心、腾讯西部数据中心等纷纷入驻，为高新区成为我国西部地区数字核心枢纽奠定了坚实的产业基础。</w:t>
      </w:r>
    </w:p>
    <w:p w:rsidR="00F9707F" w:rsidRDefault="00DE6B50">
      <w:pPr>
        <w:spacing w:line="640" w:lineRule="exact"/>
        <w:ind w:firstLineChars="200" w:firstLine="643"/>
        <w:rPr>
          <w:rFonts w:ascii="等线" w:hAnsi="等线"/>
        </w:rPr>
      </w:pPr>
      <w:r>
        <w:rPr>
          <w:b/>
        </w:rPr>
        <w:t>综合</w:t>
      </w:r>
      <w:r>
        <w:rPr>
          <w:rFonts w:hint="eastAsia"/>
          <w:b/>
        </w:rPr>
        <w:t>发展</w:t>
      </w:r>
      <w:r>
        <w:rPr>
          <w:b/>
        </w:rPr>
        <w:t>环境</w:t>
      </w:r>
      <w:r>
        <w:rPr>
          <w:rFonts w:hint="eastAsia"/>
          <w:b/>
        </w:rPr>
        <w:t>持续优化。</w:t>
      </w:r>
      <w:r>
        <w:rPr>
          <w:rFonts w:ascii="等线" w:hAnsi="等线" w:hint="eastAsia"/>
        </w:rPr>
        <w:t>高新区体制机制改革卓有成效，行政层级升格、隶属关系理顺，市级行政资源倾力支持，行政效率和管理能力大幅提升。自创区、自贸区、综保区多重战略叠加，机制政策先行先试优势日益凸显。营商环境持续优化，实施营商环境行动计划，在全市率先实现“一件事一次办一张证”，在全国率先推出“三评合一”环评审批改革，在全市首创政府投资项目“以函代证”、社会投资分段办理施工许可等制度。综合配套不断完善，科学大道等</w:t>
      </w:r>
      <w:r>
        <w:t>40</w:t>
      </w:r>
      <w:r>
        <w:rPr>
          <w:rFonts w:ascii="等线" w:hAnsi="等线" w:hint="eastAsia"/>
        </w:rPr>
        <w:t>个重点项目开工，科学城高铁站、</w:t>
      </w:r>
      <w:r>
        <w:t>地铁</w:t>
      </w:r>
      <w:r>
        <w:rPr>
          <w:rFonts w:eastAsia="等线"/>
        </w:rPr>
        <w:t>7</w:t>
      </w:r>
      <w:r>
        <w:t>号线、</w:t>
      </w:r>
      <w:r>
        <w:t>15</w:t>
      </w:r>
      <w:r>
        <w:t>号线、</w:t>
      </w:r>
      <w:r>
        <w:rPr>
          <w:rFonts w:eastAsia="等线"/>
        </w:rPr>
        <w:t>17</w:t>
      </w:r>
      <w:r>
        <w:rPr>
          <w:rFonts w:ascii="等线" w:hAnsi="等线" w:hint="eastAsia"/>
        </w:rPr>
        <w:t>号线、</w:t>
      </w:r>
      <w:r>
        <w:rPr>
          <w:rFonts w:eastAsia="等线" w:hint="eastAsia"/>
        </w:rPr>
        <w:t>27</w:t>
      </w:r>
      <w:r>
        <w:rPr>
          <w:rFonts w:ascii="等线" w:hAnsi="等线" w:hint="eastAsia"/>
        </w:rPr>
        <w:t>号线，金凤隧道、大学城复线隧道、白市驿隧道等高能级交通设施建设加快推进。新基建加快布局，建成</w:t>
      </w:r>
      <w:r>
        <w:t>5G</w:t>
      </w:r>
      <w:r>
        <w:rPr>
          <w:rFonts w:hint="eastAsia"/>
        </w:rPr>
        <w:t>基站</w:t>
      </w:r>
      <w:r>
        <w:t>1300</w:t>
      </w:r>
      <w:r>
        <w:rPr>
          <w:rFonts w:hint="eastAsia"/>
        </w:rPr>
        <w:t>余个</w:t>
      </w:r>
      <w:r>
        <w:rPr>
          <w:rFonts w:ascii="等线" w:hAnsi="等线" w:hint="eastAsia"/>
        </w:rPr>
        <w:t>。基础教育、医疗卫生、文化体育等公共服务配套设施和高等级商业设施正加快落地，生活配套环境不断改善。</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25" w:name="_Toc5089"/>
      <w:r>
        <w:rPr>
          <w:rFonts w:eastAsia="方正楷体_GBK" w:hint="eastAsia"/>
          <w:bCs/>
          <w:szCs w:val="30"/>
        </w:rPr>
        <w:t>（三）面临问题</w:t>
      </w:r>
      <w:bookmarkEnd w:id="25"/>
    </w:p>
    <w:p w:rsidR="00F9707F" w:rsidRDefault="00DE6B50">
      <w:pPr>
        <w:spacing w:line="640" w:lineRule="exact"/>
        <w:ind w:firstLineChars="200" w:firstLine="643"/>
        <w:rPr>
          <w:rFonts w:ascii="等线" w:hAnsi="等线"/>
        </w:rPr>
      </w:pPr>
      <w:r>
        <w:rPr>
          <w:rFonts w:ascii="等线" w:hAnsi="等线" w:hint="eastAsia"/>
          <w:b/>
        </w:rPr>
        <w:t>从历史发展来看，</w:t>
      </w:r>
      <w:r>
        <w:rPr>
          <w:rFonts w:ascii="等线" w:hAnsi="等线" w:hint="eastAsia"/>
        </w:rPr>
        <w:t>高新区</w:t>
      </w:r>
      <w:r>
        <w:rPr>
          <w:rFonts w:hint="eastAsia"/>
        </w:rPr>
        <w:t>体制机制调整前作为工业集聚区，服务业主要以生活生产配套为主，高技术服务业未处于</w:t>
      </w:r>
      <w:r>
        <w:rPr>
          <w:rFonts w:hint="eastAsia"/>
        </w:rPr>
        <w:lastRenderedPageBreak/>
        <w:t>经济发展的主力地位。地处三区交界，人口聚集度、城市化程度偏低，客观上限制了高技术服务业多元化、高端化发展。</w:t>
      </w:r>
      <w:r>
        <w:rPr>
          <w:rFonts w:hint="eastAsia"/>
          <w:b/>
        </w:rPr>
        <w:t>从现状基础来看，</w:t>
      </w:r>
      <w:r>
        <w:rPr>
          <w:rFonts w:ascii="等线" w:hAnsi="等线" w:hint="eastAsia"/>
        </w:rPr>
        <w:t>高技术服务业在总量规模、内部结构、功能能级、配套环境等方面仍存在诸多短板。</w:t>
      </w:r>
      <w:r>
        <w:rPr>
          <w:rFonts w:ascii="等线" w:hAnsi="等线" w:hint="eastAsia"/>
          <w:b/>
        </w:rPr>
        <w:t>一是</w:t>
      </w:r>
      <w:r>
        <w:rPr>
          <w:rFonts w:ascii="等线" w:hAnsi="等线" w:hint="eastAsia"/>
        </w:rPr>
        <w:t>总量规模偏小，缺乏体量支撑型主导领域。高技术服务业细分领域普遍规模较小，目前尚没有一个超过百亿规模。</w:t>
      </w:r>
      <w:r>
        <w:rPr>
          <w:rFonts w:ascii="等线" w:hAnsi="等线"/>
          <w:b/>
        </w:rPr>
        <w:t>二是</w:t>
      </w:r>
      <w:r>
        <w:rPr>
          <w:rFonts w:ascii="等线" w:hAnsi="等线" w:hint="eastAsia"/>
        </w:rPr>
        <w:t>发展能级不高，缺乏标志性品牌竞争</w:t>
      </w:r>
      <w:r>
        <w:rPr>
          <w:rFonts w:hint="eastAsia"/>
        </w:rPr>
        <w:t>优势。</w:t>
      </w:r>
      <w:r>
        <w:t>代表新兴业态的信息服务、商务服务增加值占第三产业增加值的比重仅为</w:t>
      </w:r>
      <w:r>
        <w:rPr>
          <w:rFonts w:hint="eastAsia"/>
        </w:rPr>
        <w:t>5</w:t>
      </w:r>
      <w:r>
        <w:t>.2%</w:t>
      </w:r>
      <w:r>
        <w:t>。</w:t>
      </w:r>
      <w:r>
        <w:rPr>
          <w:rFonts w:ascii="等线" w:hAnsi="等线" w:hint="eastAsia"/>
        </w:rPr>
        <w:t>制造服务融合延伸不够，龙头企业、标志性项目和高等级平台集聚不足。</w:t>
      </w:r>
      <w:r>
        <w:rPr>
          <w:rFonts w:ascii="等线" w:hAnsi="等线"/>
          <w:b/>
        </w:rPr>
        <w:t>三是</w:t>
      </w:r>
      <w:r>
        <w:rPr>
          <w:rFonts w:hint="eastAsia"/>
        </w:rPr>
        <w:t>综合配套支撑不足，缺乏吸引高端要素的发展环境。</w:t>
      </w:r>
      <w:r>
        <w:rPr>
          <w:rFonts w:ascii="等线" w:hAnsi="等线" w:hint="eastAsia"/>
        </w:rPr>
        <w:t>高新区中南部区域城市化程度偏低，公共设施建设总体滞后，生活配套数量不足、质量不高、布局失衡。</w:t>
      </w:r>
      <w:r>
        <w:rPr>
          <w:rFonts w:ascii="等线" w:hAnsi="等线" w:hint="eastAsia"/>
          <w:b/>
        </w:rPr>
        <w:t>四是</w:t>
      </w:r>
      <w:r>
        <w:t>营商环境有待优化</w:t>
      </w:r>
      <w:r>
        <w:rPr>
          <w:rFonts w:hint="eastAsia"/>
        </w:rPr>
        <w:t>，缺乏高技术</w:t>
      </w:r>
      <w:r>
        <w:rPr>
          <w:rFonts w:ascii="等线" w:hAnsi="等线" w:hint="eastAsia"/>
        </w:rPr>
        <w:t>服务业发展顶层设计。</w:t>
      </w:r>
      <w:r>
        <w:rPr>
          <w:rFonts w:hint="eastAsia"/>
        </w:rPr>
        <w:t>适应高技术服务业发展的体制机制、政策支持、市场准入、服务监管等还有待完善</w:t>
      </w:r>
      <w:r>
        <w:rPr>
          <w:rFonts w:ascii="等线" w:hAnsi="等线" w:hint="eastAsia"/>
        </w:rPr>
        <w:t>。</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26" w:name="_Toc11437"/>
      <w:r>
        <w:rPr>
          <w:rFonts w:eastAsia="方正楷体_GBK" w:hint="eastAsia"/>
          <w:bCs/>
          <w:szCs w:val="30"/>
        </w:rPr>
        <w:t>（四）综合评价</w:t>
      </w:r>
      <w:bookmarkEnd w:id="26"/>
    </w:p>
    <w:p w:rsidR="00F9707F" w:rsidRDefault="00DE6B50">
      <w:pPr>
        <w:spacing w:line="640" w:lineRule="exact"/>
        <w:ind w:firstLineChars="200" w:firstLine="640"/>
        <w:rPr>
          <w:rFonts w:ascii="等线" w:hAnsi="等线"/>
          <w:szCs w:val="30"/>
        </w:rPr>
      </w:pPr>
      <w:r>
        <w:rPr>
          <w:rFonts w:ascii="等线" w:hAnsi="等线" w:hint="eastAsia"/>
          <w:szCs w:val="30"/>
        </w:rPr>
        <w:t>总体来看，</w:t>
      </w:r>
      <w:r>
        <w:rPr>
          <w:rFonts w:ascii="黑体" w:eastAsia="黑体" w:hAnsi="黑体" w:hint="eastAsia"/>
          <w:szCs w:val="30"/>
        </w:rPr>
        <w:t>高新区目前高技术服务业发展处于扩规模、强基础、培优势、蓄动能的关键阶段</w:t>
      </w:r>
      <w:r>
        <w:rPr>
          <w:rFonts w:ascii="等线" w:hAnsi="等线" w:hint="eastAsia"/>
          <w:szCs w:val="30"/>
        </w:rPr>
        <w:t>，优势与劣势并存，机遇与挑战同在。</w:t>
      </w:r>
      <w:r>
        <w:rPr>
          <w:rFonts w:ascii="黑体" w:eastAsia="黑体" w:hAnsi="黑体"/>
          <w:szCs w:val="30"/>
        </w:rPr>
        <w:t>服务业整体发展水平与高新区制造业优势基础还不平衡，与高新区拥有的特色资源</w:t>
      </w:r>
      <w:r>
        <w:rPr>
          <w:rFonts w:ascii="黑体" w:eastAsia="黑体" w:hAnsi="黑体" w:hint="eastAsia"/>
          <w:szCs w:val="30"/>
        </w:rPr>
        <w:t>和作为自贸区、自创区的制度创新优势</w:t>
      </w:r>
      <w:r>
        <w:rPr>
          <w:rFonts w:ascii="黑体" w:eastAsia="黑体" w:hAnsi="黑体"/>
          <w:szCs w:val="30"/>
        </w:rPr>
        <w:t>还不匹配，与打造“升级版”、建设科学</w:t>
      </w:r>
      <w:r>
        <w:rPr>
          <w:rFonts w:ascii="黑体" w:eastAsia="黑体" w:hAnsi="黑体"/>
          <w:szCs w:val="30"/>
        </w:rPr>
        <w:lastRenderedPageBreak/>
        <w:t>城的定位还不适应，与</w:t>
      </w:r>
      <w:r>
        <w:rPr>
          <w:rFonts w:ascii="黑体" w:eastAsia="黑体" w:hAnsi="黑体" w:hint="eastAsia"/>
          <w:szCs w:val="30"/>
        </w:rPr>
        <w:t>全市</w:t>
      </w:r>
      <w:r>
        <w:rPr>
          <w:rFonts w:ascii="黑体" w:eastAsia="黑体" w:hAnsi="黑体"/>
          <w:szCs w:val="30"/>
        </w:rPr>
        <w:t>服务业高质量发展要求</w:t>
      </w:r>
      <w:r>
        <w:rPr>
          <w:rFonts w:ascii="黑体" w:eastAsia="黑体" w:hAnsi="黑体" w:hint="eastAsia"/>
          <w:szCs w:val="30"/>
        </w:rPr>
        <w:t>和成渝双城经济圈战略定位</w:t>
      </w:r>
      <w:r>
        <w:rPr>
          <w:rFonts w:ascii="黑体" w:eastAsia="黑体" w:hAnsi="黑体"/>
          <w:szCs w:val="30"/>
        </w:rPr>
        <w:t>还有落差。</w:t>
      </w:r>
      <w:r>
        <w:rPr>
          <w:rFonts w:ascii="等线" w:hAnsi="等线" w:hint="eastAsia"/>
          <w:szCs w:val="30"/>
        </w:rPr>
        <w:t>当然也要看到，高新区正处于多重战略叠加、多种资源倾斜的蓄势发力期，伴随着高新区战略定位的提升、基础配套支撑的强化、体制机制政策的完善，高技术服务业发展必将迈上新台阶、实现新跨越。</w:t>
      </w:r>
    </w:p>
    <w:p w:rsidR="00F9707F" w:rsidRDefault="00DE6B50">
      <w:pPr>
        <w:pStyle w:val="1"/>
        <w:spacing w:line="640" w:lineRule="exact"/>
        <w:ind w:firstLine="640"/>
      </w:pPr>
      <w:bookmarkStart w:id="27" w:name="_Toc8931"/>
      <w:bookmarkStart w:id="28" w:name="_Toc61271776"/>
      <w:bookmarkStart w:id="29" w:name="_Toc16373"/>
      <w:bookmarkStart w:id="30" w:name="_Toc12100"/>
      <w:bookmarkEnd w:id="3"/>
      <w:bookmarkEnd w:id="4"/>
      <w:r>
        <w:rPr>
          <w:rFonts w:hint="eastAsia"/>
        </w:rPr>
        <w:t>二、总体思路与发展目标</w:t>
      </w:r>
      <w:bookmarkEnd w:id="27"/>
      <w:bookmarkEnd w:id="28"/>
      <w:bookmarkEnd w:id="29"/>
      <w:bookmarkEnd w:id="30"/>
    </w:p>
    <w:p w:rsidR="00F9707F" w:rsidRDefault="00DE6B50">
      <w:pPr>
        <w:pStyle w:val="2"/>
        <w:spacing w:line="640" w:lineRule="exact"/>
        <w:ind w:firstLine="640"/>
        <w:rPr>
          <w:b w:val="0"/>
        </w:rPr>
      </w:pPr>
      <w:bookmarkStart w:id="31" w:name="_Toc30224"/>
      <w:bookmarkStart w:id="32" w:name="_Toc12306"/>
      <w:bookmarkStart w:id="33" w:name="_Toc61271777"/>
      <w:bookmarkStart w:id="34" w:name="_Toc11769"/>
      <w:r>
        <w:rPr>
          <w:rFonts w:hint="eastAsia"/>
          <w:b w:val="0"/>
        </w:rPr>
        <w:t>（一）</w:t>
      </w:r>
      <w:bookmarkEnd w:id="31"/>
      <w:bookmarkEnd w:id="32"/>
      <w:r>
        <w:rPr>
          <w:rFonts w:hint="eastAsia"/>
          <w:b w:val="0"/>
        </w:rPr>
        <w:t>指导思想</w:t>
      </w:r>
      <w:bookmarkEnd w:id="33"/>
      <w:bookmarkEnd w:id="34"/>
    </w:p>
    <w:p w:rsidR="00F9707F" w:rsidRDefault="00DE6B50">
      <w:pPr>
        <w:spacing w:line="640" w:lineRule="exact"/>
        <w:ind w:firstLineChars="200" w:firstLine="640"/>
        <w:rPr>
          <w:rFonts w:ascii="仿宋_GB2312" w:hAnsi="黑体"/>
          <w:szCs w:val="30"/>
        </w:rPr>
      </w:pPr>
      <w:r>
        <w:rPr>
          <w:rFonts w:ascii="仿宋_GB2312" w:hAnsi="仿宋" w:hint="eastAsia"/>
          <w:szCs w:val="30"/>
        </w:rPr>
        <w:t>坚持以习近平新时代中国特色社会主义思想为指导，落实市委、市政府对服务业发展的战略部署，立足重庆高新区打造科学之城、创新高地的总体定位，坚持高端化、品牌化、专业化、国际化发展方向，着力引进高技术服务业总部机构、领军企业、旗舰项目、功能平台、创新要素，</w:t>
      </w:r>
      <w:r>
        <w:rPr>
          <w:rFonts w:ascii="黑体" w:eastAsia="黑体" w:hAnsi="黑体" w:hint="eastAsia"/>
          <w:szCs w:val="30"/>
        </w:rPr>
        <w:t>优先布局研发孵化、软件信息、检验检测、数字文创、科技金融“五大赛道”，</w:t>
      </w:r>
      <w:r>
        <w:rPr>
          <w:rFonts w:ascii="仿宋_GB2312" w:hAnsi="黑体" w:hint="eastAsia"/>
          <w:szCs w:val="30"/>
        </w:rPr>
        <w:t>基本形成覆盖科技创新关键链条的高技术服务体系和匹配西部（重庆）科学城地位的创新生态圈，为增强科学城创新驱动发展能力提供强大支撑，</w:t>
      </w:r>
      <w:r>
        <w:rPr>
          <w:rFonts w:ascii="黑体" w:eastAsia="黑体" w:hAnsi="黑体" w:hint="eastAsia"/>
          <w:szCs w:val="30"/>
        </w:rPr>
        <w:t>建成立足重庆、联动成渝经济圈、辐射长江经济带和中国西部地区的高技术服务高地。</w:t>
      </w:r>
    </w:p>
    <w:p w:rsidR="00F9707F" w:rsidRDefault="00DE6B50">
      <w:pPr>
        <w:pStyle w:val="2"/>
        <w:spacing w:line="640" w:lineRule="exact"/>
        <w:ind w:firstLine="640"/>
        <w:rPr>
          <w:b w:val="0"/>
        </w:rPr>
      </w:pPr>
      <w:bookmarkStart w:id="35" w:name="_Toc5660"/>
      <w:bookmarkStart w:id="36" w:name="_Toc6336"/>
      <w:bookmarkStart w:id="37" w:name="_Toc61271779"/>
      <w:bookmarkStart w:id="38" w:name="_Toc29543"/>
      <w:r>
        <w:rPr>
          <w:rFonts w:hint="eastAsia"/>
          <w:b w:val="0"/>
        </w:rPr>
        <w:t>（二）</w:t>
      </w:r>
      <w:r>
        <w:rPr>
          <w:b w:val="0"/>
        </w:rPr>
        <w:t>基本原则</w:t>
      </w:r>
      <w:bookmarkEnd w:id="35"/>
      <w:bookmarkEnd w:id="36"/>
      <w:bookmarkEnd w:id="37"/>
      <w:bookmarkEnd w:id="38"/>
    </w:p>
    <w:p w:rsidR="00F9707F" w:rsidRDefault="00DE6B50">
      <w:pPr>
        <w:spacing w:line="640" w:lineRule="exact"/>
        <w:ind w:firstLineChars="200" w:firstLine="643"/>
        <w:rPr>
          <w:rFonts w:ascii="仿宋_GB2312" w:hAnsi="仿宋"/>
          <w:bCs/>
          <w:szCs w:val="30"/>
        </w:rPr>
      </w:pPr>
      <w:r>
        <w:rPr>
          <w:rFonts w:ascii="仿宋_GB2312" w:hAnsi="仿宋" w:hint="eastAsia"/>
          <w:b/>
          <w:bCs/>
          <w:szCs w:val="30"/>
        </w:rPr>
        <w:t>——高端引领、创新发展。</w:t>
      </w:r>
      <w:r>
        <w:rPr>
          <w:rFonts w:ascii="仿宋_GB2312" w:hAnsi="仿宋" w:hint="eastAsia"/>
          <w:bCs/>
          <w:szCs w:val="30"/>
        </w:rPr>
        <w:t>坚持按照科学城的目标定位高起点谋划高技术服务业发展，集聚各类旗舰型项目、功能性平台、龙头型企业、创新型要素，提升服务业高端化发展</w:t>
      </w:r>
      <w:r>
        <w:rPr>
          <w:rFonts w:ascii="仿宋_GB2312" w:hAnsi="仿宋" w:hint="eastAsia"/>
          <w:bCs/>
          <w:szCs w:val="30"/>
        </w:rPr>
        <w:lastRenderedPageBreak/>
        <w:t>水平。把握新技术革命以及疫情催生服务经济新业态新模式的机遇，前瞻培育高成长性的产业新领域，保持高技术服务业创新发展动能与活力。</w:t>
      </w:r>
    </w:p>
    <w:p w:rsidR="00F9707F" w:rsidRDefault="00DE6B50">
      <w:pPr>
        <w:spacing w:line="640" w:lineRule="exact"/>
        <w:ind w:firstLineChars="200" w:firstLine="643"/>
        <w:rPr>
          <w:rFonts w:ascii="仿宋_GB2312" w:hAnsi="仿宋"/>
          <w:szCs w:val="30"/>
        </w:rPr>
      </w:pPr>
      <w:r>
        <w:rPr>
          <w:rFonts w:ascii="仿宋_GB2312" w:hAnsi="仿宋" w:hint="eastAsia"/>
          <w:b/>
          <w:bCs/>
          <w:szCs w:val="30"/>
        </w:rPr>
        <w:t>——增量驱动、集聚发展。</w:t>
      </w:r>
      <w:r>
        <w:rPr>
          <w:rFonts w:ascii="仿宋_GB2312" w:hAnsi="仿宋" w:hint="eastAsia"/>
          <w:szCs w:val="30"/>
        </w:rPr>
        <w:t>坚持旗舰项目引领和功能性大平台双轮驱动的资源导入思路，以超常规的机制路径和高含金量的政策引导，带动高新区各类高技术服务业发展主体、机构、平台和要素的集聚，做大产业规模，增强高技术服务业的集聚度和显示度，促进高技术服务业快速集聚发展。</w:t>
      </w:r>
    </w:p>
    <w:p w:rsidR="00F9707F" w:rsidRDefault="00DE6B50">
      <w:pPr>
        <w:spacing w:line="640" w:lineRule="exact"/>
        <w:ind w:firstLineChars="200" w:firstLine="643"/>
        <w:rPr>
          <w:rFonts w:ascii="仿宋_GB2312" w:hAnsi="仿宋"/>
          <w:bCs/>
          <w:szCs w:val="30"/>
        </w:rPr>
      </w:pPr>
      <w:r>
        <w:rPr>
          <w:rFonts w:ascii="仿宋_GB2312" w:hAnsi="仿宋" w:hint="eastAsia"/>
          <w:b/>
          <w:szCs w:val="30"/>
        </w:rPr>
        <w:t>——强化品牌、特色发展。</w:t>
      </w:r>
      <w:r>
        <w:rPr>
          <w:rFonts w:ascii="仿宋_GB2312" w:hAnsi="仿宋" w:hint="eastAsia"/>
          <w:bCs/>
          <w:szCs w:val="30"/>
        </w:rPr>
        <w:t>坚持走品牌化发展道路，打响高新区研发孵化、软件信息、检验检测、数字文创、科技金融等高技术服务业具有竞争力的服务品牌。打造一批专业化、品牌化的服务业示范性园区基地、示范性特色街区与专业特色楼宇，打响一批具有“西部（重庆）科学城”标识的高技术服务业集聚区品牌。</w:t>
      </w:r>
    </w:p>
    <w:p w:rsidR="00F9707F" w:rsidRDefault="00DE6B50">
      <w:pPr>
        <w:spacing w:line="640" w:lineRule="exact"/>
        <w:ind w:firstLineChars="200" w:firstLine="643"/>
        <w:rPr>
          <w:rFonts w:ascii="仿宋_GB2312" w:hAnsi="黑体"/>
          <w:color w:val="FF0000"/>
          <w:szCs w:val="30"/>
        </w:rPr>
      </w:pPr>
      <w:r>
        <w:rPr>
          <w:rFonts w:ascii="仿宋_GB2312" w:hAnsi="仿宋" w:hint="eastAsia"/>
          <w:b/>
          <w:bCs/>
          <w:szCs w:val="30"/>
        </w:rPr>
        <w:t>——数字赋能、融合发展。</w:t>
      </w:r>
      <w:r>
        <w:rPr>
          <w:rFonts w:ascii="仿宋_GB2312" w:hAnsi="仿宋" w:hint="eastAsia"/>
          <w:szCs w:val="30"/>
        </w:rPr>
        <w:t>顺应新技术革命发展新趋势，坚持数字赋能推动服务业创新增值，</w:t>
      </w:r>
      <w:r>
        <w:rPr>
          <w:rFonts w:ascii="仿宋_GB2312" w:hAnsi="仿宋" w:hint="eastAsia"/>
          <w:bCs/>
          <w:szCs w:val="30"/>
        </w:rPr>
        <w:t>推动人工智能、云计算、</w:t>
      </w:r>
      <w:r>
        <w:rPr>
          <w:bCs/>
          <w:szCs w:val="30"/>
        </w:rPr>
        <w:t>5G</w:t>
      </w:r>
      <w:r>
        <w:rPr>
          <w:rFonts w:ascii="仿宋_GB2312" w:hAnsi="仿宋" w:hint="eastAsia"/>
          <w:bCs/>
          <w:szCs w:val="30"/>
        </w:rPr>
        <w:t>等现</w:t>
      </w:r>
      <w:r>
        <w:rPr>
          <w:rFonts w:ascii="仿宋_GB2312" w:hAnsi="仿宋" w:hint="eastAsia"/>
          <w:szCs w:val="30"/>
        </w:rPr>
        <w:t>代信息技术嵌入服务业发展，促进服务经济线上线下融合，前瞻布局引领数字服务、智慧服务的新经济领域，在人工智能、工业互联网、大数据云计算、新一代移动互联网等领域持续发力，打造面向未来的融合型服务新经济的先锋引擎。</w:t>
      </w:r>
    </w:p>
    <w:p w:rsidR="00F9707F" w:rsidRDefault="00DE6B50">
      <w:pPr>
        <w:spacing w:line="640" w:lineRule="exact"/>
        <w:ind w:firstLineChars="200" w:firstLine="643"/>
        <w:rPr>
          <w:rFonts w:ascii="仿宋_GB2312" w:hAnsi="仿宋"/>
          <w:szCs w:val="30"/>
        </w:rPr>
      </w:pPr>
      <w:r>
        <w:rPr>
          <w:rFonts w:ascii="仿宋_GB2312" w:hAnsi="仿宋" w:hint="eastAsia"/>
          <w:b/>
          <w:bCs/>
          <w:szCs w:val="30"/>
        </w:rPr>
        <w:lastRenderedPageBreak/>
        <w:t>——积极融入、联动发展。</w:t>
      </w:r>
      <w:r>
        <w:rPr>
          <w:rFonts w:ascii="仿宋_GB2312" w:hAnsi="仿宋" w:hint="eastAsia"/>
          <w:szCs w:val="30"/>
        </w:rPr>
        <w:t>坚持从全局谋划一域，以一域服务全局，推动高新区服务业的发展全面融入“一带一路”、西部大开发、长江经济带发展和成渝地区双城经济圈建设，深化区域联动、双城联动、市区联动、校区园区社区等多层次联动，在融入大局、耦合联动中拓展高技术服务业发展空间、增强服务业集聚辐射能力和开放发展水平，凸显高新区服务经济的地位与能级。</w:t>
      </w:r>
    </w:p>
    <w:p w:rsidR="00F9707F" w:rsidRDefault="00DE6B50">
      <w:pPr>
        <w:pStyle w:val="2"/>
        <w:spacing w:line="640" w:lineRule="exact"/>
        <w:ind w:firstLine="640"/>
        <w:rPr>
          <w:b w:val="0"/>
        </w:rPr>
      </w:pPr>
      <w:bookmarkStart w:id="39" w:name="_Toc13817"/>
      <w:bookmarkStart w:id="40" w:name="_Toc61271780"/>
      <w:bookmarkStart w:id="41" w:name="_Toc14033"/>
      <w:bookmarkStart w:id="42" w:name="_Toc2526"/>
      <w:r>
        <w:rPr>
          <w:rFonts w:hint="eastAsia"/>
          <w:b w:val="0"/>
        </w:rPr>
        <w:t>（三）</w:t>
      </w:r>
      <w:r>
        <w:rPr>
          <w:b w:val="0"/>
        </w:rPr>
        <w:t>发展目标</w:t>
      </w:r>
      <w:bookmarkEnd w:id="39"/>
      <w:bookmarkEnd w:id="40"/>
      <w:bookmarkEnd w:id="41"/>
      <w:bookmarkEnd w:id="42"/>
    </w:p>
    <w:p w:rsidR="00F9707F" w:rsidRDefault="00DE6B50">
      <w:pPr>
        <w:spacing w:line="640" w:lineRule="exact"/>
        <w:ind w:firstLineChars="200" w:firstLine="640"/>
        <w:rPr>
          <w:rFonts w:ascii="仿宋_GB2312" w:hAnsi="仿宋"/>
          <w:szCs w:val="30"/>
        </w:rPr>
      </w:pPr>
      <w:r>
        <w:rPr>
          <w:rFonts w:ascii="仿宋_GB2312" w:hAnsi="仿宋" w:hint="eastAsia"/>
          <w:szCs w:val="30"/>
        </w:rPr>
        <w:t>到</w:t>
      </w:r>
      <w:r>
        <w:rPr>
          <w:szCs w:val="30"/>
        </w:rPr>
        <w:t>2025</w:t>
      </w:r>
      <w:r>
        <w:rPr>
          <w:szCs w:val="30"/>
        </w:rPr>
        <w:t>年</w:t>
      </w:r>
      <w:r>
        <w:rPr>
          <w:rFonts w:ascii="仿宋_GB2312" w:hAnsi="仿宋" w:hint="eastAsia"/>
          <w:szCs w:val="30"/>
        </w:rPr>
        <w:t>，高新区高技术服务业集聚一批高层次主体、高能级项目，发展规模快速扩张、内部结构显著优化，高技术服务业的集聚度显示度大幅提升，品牌进一步打响，经济贡献度、创新活力度、服务辐射力明显增强。</w:t>
      </w:r>
      <w:r>
        <w:rPr>
          <w:szCs w:val="30"/>
        </w:rPr>
        <w:t>到</w:t>
      </w:r>
      <w:r>
        <w:rPr>
          <w:szCs w:val="30"/>
        </w:rPr>
        <w:t>203</w:t>
      </w:r>
      <w:r>
        <w:rPr>
          <w:rFonts w:hint="eastAsia"/>
          <w:szCs w:val="30"/>
        </w:rPr>
        <w:t>5</w:t>
      </w:r>
      <w:r>
        <w:rPr>
          <w:rFonts w:ascii="仿宋_GB2312" w:hAnsi="仿宋" w:hint="eastAsia"/>
          <w:szCs w:val="30"/>
        </w:rPr>
        <w:t>年，基本形成以高技术服务为主体的服务业高质量发展格局，基本建成高技术服务的西部高地和数智赋能融合发展示范区。</w:t>
      </w:r>
    </w:p>
    <w:p w:rsidR="00F9707F" w:rsidRDefault="00DE6B50">
      <w:pPr>
        <w:spacing w:line="640" w:lineRule="exact"/>
        <w:ind w:firstLineChars="200" w:firstLine="643"/>
        <w:rPr>
          <w:szCs w:val="30"/>
        </w:rPr>
      </w:pPr>
      <w:r>
        <w:rPr>
          <w:rFonts w:ascii="仿宋_GB2312" w:hAnsi="仿宋" w:hint="eastAsia"/>
          <w:b/>
          <w:bCs/>
          <w:szCs w:val="30"/>
        </w:rPr>
        <w:t>——产业规模实现新跨越。</w:t>
      </w:r>
      <w:r>
        <w:rPr>
          <w:szCs w:val="30"/>
        </w:rPr>
        <w:t>服务业规模实现跨越式赶超，服务业增加值年均增速超过</w:t>
      </w:r>
      <w:r>
        <w:rPr>
          <w:szCs w:val="30"/>
        </w:rPr>
        <w:t>14%</w:t>
      </w:r>
      <w:r>
        <w:rPr>
          <w:szCs w:val="30"/>
        </w:rPr>
        <w:t>，到</w:t>
      </w:r>
      <w:r>
        <w:rPr>
          <w:szCs w:val="30"/>
        </w:rPr>
        <w:t>2025</w:t>
      </w:r>
      <w:r>
        <w:rPr>
          <w:szCs w:val="30"/>
        </w:rPr>
        <w:t>年服务业增加值占高新区</w:t>
      </w:r>
      <w:r>
        <w:rPr>
          <w:szCs w:val="30"/>
        </w:rPr>
        <w:t>GDP</w:t>
      </w:r>
      <w:r>
        <w:rPr>
          <w:szCs w:val="30"/>
        </w:rPr>
        <w:t>比重</w:t>
      </w:r>
      <w:r>
        <w:rPr>
          <w:rFonts w:hint="eastAsia"/>
          <w:szCs w:val="30"/>
        </w:rPr>
        <w:t>达到</w:t>
      </w:r>
      <w:r>
        <w:rPr>
          <w:rFonts w:hint="eastAsia"/>
          <w:szCs w:val="30"/>
        </w:rPr>
        <w:t>5</w:t>
      </w:r>
      <w:r>
        <w:rPr>
          <w:szCs w:val="30"/>
        </w:rPr>
        <w:t>0%</w:t>
      </w:r>
      <w:r>
        <w:rPr>
          <w:szCs w:val="30"/>
        </w:rPr>
        <w:t>，</w:t>
      </w:r>
      <w:r>
        <w:rPr>
          <w:rFonts w:hint="eastAsia"/>
          <w:szCs w:val="30"/>
        </w:rPr>
        <w:t>服务业从业人员占比达到</w:t>
      </w:r>
      <w:r>
        <w:rPr>
          <w:rFonts w:hint="eastAsia"/>
          <w:szCs w:val="30"/>
        </w:rPr>
        <w:t>50%</w:t>
      </w:r>
      <w:r>
        <w:rPr>
          <w:rFonts w:hint="eastAsia"/>
          <w:szCs w:val="30"/>
        </w:rPr>
        <w:t>，服务业对经济增长的贡献率达到</w:t>
      </w:r>
      <w:r>
        <w:rPr>
          <w:szCs w:val="30"/>
        </w:rPr>
        <w:t>50</w:t>
      </w:r>
      <w:r>
        <w:rPr>
          <w:rFonts w:hint="eastAsia"/>
          <w:szCs w:val="30"/>
        </w:rPr>
        <w:t>%</w:t>
      </w:r>
      <w:r>
        <w:rPr>
          <w:rFonts w:hint="eastAsia"/>
          <w:szCs w:val="30"/>
        </w:rPr>
        <w:t>。高技术服务业增加值达</w:t>
      </w:r>
      <w:r>
        <w:rPr>
          <w:rFonts w:hint="eastAsia"/>
          <w:szCs w:val="30"/>
        </w:rPr>
        <w:t>3</w:t>
      </w:r>
      <w:r>
        <w:rPr>
          <w:szCs w:val="30"/>
        </w:rPr>
        <w:t>00</w:t>
      </w:r>
      <w:r>
        <w:rPr>
          <w:szCs w:val="30"/>
        </w:rPr>
        <w:t>亿</w:t>
      </w:r>
      <w:r>
        <w:rPr>
          <w:rFonts w:hint="eastAsia"/>
          <w:szCs w:val="30"/>
        </w:rPr>
        <w:t>，</w:t>
      </w:r>
      <w:r>
        <w:rPr>
          <w:szCs w:val="30"/>
        </w:rPr>
        <w:t>其中</w:t>
      </w:r>
      <w:r>
        <w:rPr>
          <w:rFonts w:hint="eastAsia"/>
          <w:szCs w:val="30"/>
        </w:rPr>
        <w:t>金融服务业增加值达</w:t>
      </w:r>
      <w:r>
        <w:rPr>
          <w:rFonts w:hint="eastAsia"/>
          <w:szCs w:val="30"/>
        </w:rPr>
        <w:t>150</w:t>
      </w:r>
      <w:r>
        <w:rPr>
          <w:rFonts w:hint="eastAsia"/>
          <w:szCs w:val="30"/>
        </w:rPr>
        <w:t>亿。研发孵化、软件信息、检验检测、数字文创四大产业实现营收</w:t>
      </w:r>
      <w:r>
        <w:rPr>
          <w:szCs w:val="30"/>
        </w:rPr>
        <w:t>300</w:t>
      </w:r>
      <w:r>
        <w:rPr>
          <w:szCs w:val="30"/>
        </w:rPr>
        <w:t>亿元</w:t>
      </w:r>
      <w:r>
        <w:rPr>
          <w:rFonts w:hint="eastAsia"/>
          <w:szCs w:val="30"/>
        </w:rPr>
        <w:t>，其中规上营收达</w:t>
      </w:r>
      <w:r>
        <w:rPr>
          <w:szCs w:val="30"/>
        </w:rPr>
        <w:t>150</w:t>
      </w:r>
      <w:r>
        <w:rPr>
          <w:szCs w:val="30"/>
        </w:rPr>
        <w:t>亿元</w:t>
      </w:r>
      <w:r>
        <w:rPr>
          <w:rFonts w:hint="eastAsia"/>
          <w:szCs w:val="30"/>
        </w:rPr>
        <w:t>，占规上服务业比重</w:t>
      </w:r>
      <w:r>
        <w:rPr>
          <w:szCs w:val="30"/>
        </w:rPr>
        <w:t>70%</w:t>
      </w:r>
      <w:r>
        <w:rPr>
          <w:szCs w:val="30"/>
        </w:rPr>
        <w:t>以上</w:t>
      </w:r>
      <w:r>
        <w:rPr>
          <w:rFonts w:hint="eastAsia"/>
          <w:szCs w:val="30"/>
        </w:rPr>
        <w:t>。</w:t>
      </w:r>
    </w:p>
    <w:p w:rsidR="00F9707F" w:rsidRDefault="00DE6B50">
      <w:pPr>
        <w:spacing w:line="640" w:lineRule="exact"/>
        <w:ind w:firstLineChars="200" w:firstLine="643"/>
        <w:rPr>
          <w:bCs/>
          <w:szCs w:val="30"/>
        </w:rPr>
      </w:pPr>
      <w:r>
        <w:rPr>
          <w:rFonts w:ascii="仿宋_GB2312" w:hAnsi="仿宋" w:hint="eastAsia"/>
          <w:b/>
          <w:bCs/>
          <w:szCs w:val="30"/>
        </w:rPr>
        <w:lastRenderedPageBreak/>
        <w:t>——能级水平迈上新台阶。</w:t>
      </w:r>
      <w:r>
        <w:rPr>
          <w:rFonts w:ascii="仿宋_GB2312" w:hAnsi="仿宋" w:hint="eastAsia"/>
          <w:bCs/>
          <w:szCs w:val="30"/>
        </w:rPr>
        <w:t>高技术服务业在集聚龙头企业、重大项目、功能平台、高端人才方面取得突破性进展，技术驱动型、知识密集型、智慧赋能型、跨界融合型服务业领域加快发展，服务业发展能级和竞争力不断提升。</w:t>
      </w:r>
      <w:r>
        <w:rPr>
          <w:bCs/>
          <w:szCs w:val="30"/>
        </w:rPr>
        <w:t>力争到</w:t>
      </w:r>
      <w:r>
        <w:rPr>
          <w:bCs/>
          <w:szCs w:val="30"/>
        </w:rPr>
        <w:t>2025</w:t>
      </w:r>
      <w:r>
        <w:rPr>
          <w:bCs/>
          <w:szCs w:val="30"/>
        </w:rPr>
        <w:t>年，引入和培育一批</w:t>
      </w:r>
      <w:r>
        <w:rPr>
          <w:rFonts w:hint="eastAsia"/>
          <w:bCs/>
          <w:szCs w:val="30"/>
        </w:rPr>
        <w:t>高技术服务业企业，其中入选重庆</w:t>
      </w:r>
      <w:r>
        <w:rPr>
          <w:bCs/>
          <w:szCs w:val="30"/>
        </w:rPr>
        <w:t>100</w:t>
      </w:r>
      <w:r>
        <w:rPr>
          <w:bCs/>
          <w:szCs w:val="30"/>
        </w:rPr>
        <w:t>强企业</w:t>
      </w:r>
      <w:r>
        <w:rPr>
          <w:bCs/>
          <w:szCs w:val="30"/>
        </w:rPr>
        <w:t>10</w:t>
      </w:r>
      <w:r>
        <w:rPr>
          <w:bCs/>
          <w:szCs w:val="30"/>
        </w:rPr>
        <w:t>家，</w:t>
      </w:r>
      <w:r>
        <w:rPr>
          <w:rFonts w:hint="eastAsia"/>
          <w:bCs/>
          <w:szCs w:val="30"/>
        </w:rPr>
        <w:t>入选全国</w:t>
      </w:r>
      <w:r>
        <w:rPr>
          <w:bCs/>
          <w:szCs w:val="30"/>
        </w:rPr>
        <w:t>服务业</w:t>
      </w:r>
      <w:r>
        <w:rPr>
          <w:rFonts w:hint="eastAsia"/>
          <w:bCs/>
          <w:szCs w:val="30"/>
        </w:rPr>
        <w:t>5</w:t>
      </w:r>
      <w:r>
        <w:rPr>
          <w:bCs/>
          <w:szCs w:val="30"/>
        </w:rPr>
        <w:t>00</w:t>
      </w:r>
      <w:r>
        <w:rPr>
          <w:bCs/>
          <w:szCs w:val="30"/>
        </w:rPr>
        <w:t>强企业</w:t>
      </w:r>
      <w:r>
        <w:rPr>
          <w:bCs/>
          <w:szCs w:val="30"/>
        </w:rPr>
        <w:t>3</w:t>
      </w:r>
      <w:r>
        <w:rPr>
          <w:bCs/>
          <w:szCs w:val="30"/>
        </w:rPr>
        <w:t>家</w:t>
      </w:r>
      <w:r>
        <w:rPr>
          <w:rFonts w:hint="eastAsia"/>
          <w:bCs/>
          <w:szCs w:val="30"/>
        </w:rPr>
        <w:t>，区域性总部</w:t>
      </w:r>
      <w:r>
        <w:rPr>
          <w:rFonts w:hint="eastAsia"/>
          <w:bCs/>
          <w:szCs w:val="30"/>
        </w:rPr>
        <w:t>20</w:t>
      </w:r>
      <w:r>
        <w:rPr>
          <w:rFonts w:hint="eastAsia"/>
          <w:bCs/>
          <w:szCs w:val="30"/>
        </w:rPr>
        <w:t>家</w:t>
      </w:r>
      <w:r>
        <w:rPr>
          <w:bCs/>
          <w:szCs w:val="30"/>
        </w:rPr>
        <w:t>。</w:t>
      </w:r>
    </w:p>
    <w:p w:rsidR="00F9707F" w:rsidRDefault="00DE6B50">
      <w:pPr>
        <w:spacing w:line="640" w:lineRule="exact"/>
        <w:ind w:firstLineChars="200" w:firstLine="643"/>
        <w:rPr>
          <w:szCs w:val="30"/>
        </w:rPr>
      </w:pPr>
      <w:r>
        <w:rPr>
          <w:rFonts w:ascii="仿宋_GB2312" w:hAnsi="仿宋" w:hint="eastAsia"/>
          <w:b/>
          <w:bCs/>
          <w:szCs w:val="30"/>
        </w:rPr>
        <w:t>——主导领域打响新品牌。</w:t>
      </w:r>
      <w:r>
        <w:rPr>
          <w:rFonts w:ascii="仿宋_GB2312" w:hAnsi="仿宋" w:hint="eastAsia"/>
          <w:szCs w:val="30"/>
        </w:rPr>
        <w:t>将研发孵化、软件信息、检验检测、数字文创、科技金融等</w:t>
      </w:r>
      <w:r>
        <w:rPr>
          <w:rFonts w:ascii="仿宋_GB2312" w:hAnsi="仿宋" w:hint="eastAsia"/>
          <w:bCs/>
          <w:szCs w:val="30"/>
        </w:rPr>
        <w:t>打造</w:t>
      </w:r>
      <w:r>
        <w:rPr>
          <w:rFonts w:ascii="仿宋_GB2312" w:hAnsi="仿宋" w:hint="eastAsia"/>
          <w:szCs w:val="30"/>
        </w:rPr>
        <w:t>为具有区域影响力的服务业主导产业，形成一批发展潜力大的新兴服务业领域。</w:t>
      </w:r>
      <w:r>
        <w:rPr>
          <w:szCs w:val="30"/>
        </w:rPr>
        <w:t>到</w:t>
      </w:r>
      <w:r>
        <w:rPr>
          <w:szCs w:val="30"/>
        </w:rPr>
        <w:t>2025</w:t>
      </w:r>
      <w:r>
        <w:rPr>
          <w:szCs w:val="30"/>
        </w:rPr>
        <w:t>年</w:t>
      </w:r>
      <w:r>
        <w:rPr>
          <w:rFonts w:hint="eastAsia"/>
          <w:szCs w:val="30"/>
        </w:rPr>
        <w:t>检验检测机构营收超亿元企业集聚</w:t>
      </w:r>
      <w:r>
        <w:rPr>
          <w:szCs w:val="30"/>
        </w:rPr>
        <w:t>10</w:t>
      </w:r>
      <w:r>
        <w:rPr>
          <w:rFonts w:hint="eastAsia"/>
          <w:szCs w:val="30"/>
        </w:rPr>
        <w:t>家，引进和</w:t>
      </w:r>
      <w:r>
        <w:rPr>
          <w:szCs w:val="30"/>
        </w:rPr>
        <w:t>培育集聚</w:t>
      </w:r>
      <w:r>
        <w:rPr>
          <w:rFonts w:hint="eastAsia"/>
          <w:szCs w:val="30"/>
        </w:rPr>
        <w:t>新型（高端）研发机构</w:t>
      </w:r>
      <w:r>
        <w:rPr>
          <w:rFonts w:hint="eastAsia"/>
          <w:szCs w:val="30"/>
        </w:rPr>
        <w:t>1</w:t>
      </w:r>
      <w:r>
        <w:rPr>
          <w:szCs w:val="30"/>
        </w:rPr>
        <w:t>0</w:t>
      </w:r>
      <w:r>
        <w:rPr>
          <w:szCs w:val="30"/>
        </w:rPr>
        <w:t>家</w:t>
      </w:r>
      <w:r>
        <w:rPr>
          <w:rFonts w:hint="eastAsia"/>
          <w:szCs w:val="30"/>
        </w:rPr>
        <w:t>、软件信息服务百强企业</w:t>
      </w:r>
      <w:r>
        <w:rPr>
          <w:rFonts w:hint="eastAsia"/>
          <w:szCs w:val="30"/>
        </w:rPr>
        <w:t>5</w:t>
      </w:r>
      <w:r>
        <w:rPr>
          <w:rFonts w:hint="eastAsia"/>
          <w:szCs w:val="30"/>
        </w:rPr>
        <w:t>家、数字文创龙头企业</w:t>
      </w:r>
      <w:r>
        <w:rPr>
          <w:rFonts w:hint="eastAsia"/>
          <w:szCs w:val="30"/>
        </w:rPr>
        <w:t>5</w:t>
      </w:r>
      <w:r>
        <w:rPr>
          <w:rFonts w:hint="eastAsia"/>
          <w:szCs w:val="30"/>
        </w:rPr>
        <w:t>家</w:t>
      </w:r>
      <w:r>
        <w:rPr>
          <w:szCs w:val="30"/>
        </w:rPr>
        <w:t>。</w:t>
      </w:r>
    </w:p>
    <w:p w:rsidR="00F9707F" w:rsidRDefault="00DE6B50">
      <w:pPr>
        <w:spacing w:line="640" w:lineRule="exact"/>
        <w:ind w:firstLineChars="200" w:firstLine="643"/>
        <w:rPr>
          <w:rFonts w:ascii="仿宋_GB2312" w:hAnsi="仿宋"/>
          <w:szCs w:val="30"/>
        </w:rPr>
      </w:pPr>
      <w:r>
        <w:rPr>
          <w:rFonts w:ascii="仿宋_GB2312" w:hAnsi="仿宋" w:hint="eastAsia"/>
          <w:b/>
          <w:bCs/>
          <w:szCs w:val="30"/>
        </w:rPr>
        <w:t>——发展环境形成新生态。</w:t>
      </w:r>
      <w:r>
        <w:rPr>
          <w:rFonts w:ascii="仿宋_GB2312" w:hAnsi="仿宋" w:hint="eastAsia"/>
          <w:szCs w:val="30"/>
        </w:rPr>
        <w:t>形成适应新时代服务经济创新发展、开放发展、融合发展的体制机制与政策环境，市场准入合理宽松、行业监管审慎包容、政府服务便利高效，服务业载体支撑不断加强、配套环境不断完善，形成高新区服务业发展“硬环境更优、软环境更暖”的全新生态。</w:t>
      </w:r>
    </w:p>
    <w:p w:rsidR="00F9707F" w:rsidRDefault="00DE6B50">
      <w:pPr>
        <w:pStyle w:val="2"/>
        <w:spacing w:line="640" w:lineRule="exact"/>
        <w:ind w:firstLine="640"/>
        <w:rPr>
          <w:b w:val="0"/>
        </w:rPr>
      </w:pPr>
      <w:bookmarkStart w:id="43" w:name="_Toc24389"/>
      <w:r>
        <w:rPr>
          <w:rFonts w:hint="eastAsia"/>
          <w:b w:val="0"/>
        </w:rPr>
        <w:t>（四）空间布局</w:t>
      </w:r>
      <w:bookmarkEnd w:id="43"/>
    </w:p>
    <w:p w:rsidR="00F9707F" w:rsidRDefault="00DE6B50">
      <w:pPr>
        <w:spacing w:line="640" w:lineRule="exact"/>
        <w:ind w:firstLineChars="200" w:firstLine="640"/>
        <w:rPr>
          <w:rFonts w:ascii="仿宋_GB2312" w:hAnsi="仿宋"/>
          <w:bCs/>
          <w:szCs w:val="30"/>
        </w:rPr>
      </w:pPr>
      <w:r>
        <w:rPr>
          <w:rFonts w:ascii="仿宋_GB2312" w:hAnsi="仿宋" w:hint="eastAsia"/>
          <w:bCs/>
          <w:szCs w:val="30"/>
        </w:rPr>
        <w:t>根据高新区高技术服务业发展基础、资源禀赋、交通区位、综合配套等各种条件，结合西部（重庆）科学城国土空</w:t>
      </w:r>
      <w:r>
        <w:rPr>
          <w:rFonts w:ascii="仿宋_GB2312" w:hAnsi="仿宋" w:hint="eastAsia"/>
          <w:bCs/>
          <w:szCs w:val="30"/>
        </w:rPr>
        <w:lastRenderedPageBreak/>
        <w:t>间规划和“十四五”高新区空间布局的总体部署，加快构筑“一核引领、双圈发力、两片支撑”高技术服务业空间格局。</w:t>
      </w:r>
    </w:p>
    <w:p w:rsidR="00F9707F" w:rsidRDefault="00DE6B50">
      <w:pPr>
        <w:spacing w:line="640" w:lineRule="exact"/>
        <w:ind w:firstLineChars="200" w:firstLine="643"/>
        <w:rPr>
          <w:rFonts w:ascii="仿宋_GB2312" w:hAnsi="仿宋"/>
          <w:bCs/>
          <w:szCs w:val="30"/>
        </w:rPr>
      </w:pPr>
      <w:r>
        <w:rPr>
          <w:rFonts w:ascii="仿宋_GB2312" w:hAnsi="仿宋" w:hint="eastAsia"/>
          <w:b/>
          <w:bCs/>
          <w:szCs w:val="30"/>
        </w:rPr>
        <w:t>“一核”：科创中央商务核。</w:t>
      </w:r>
      <w:r>
        <w:rPr>
          <w:rFonts w:ascii="仿宋_GB2312" w:hAnsi="仿宋"/>
          <w:bCs/>
          <w:szCs w:val="30"/>
        </w:rPr>
        <w:t>围绕高新区管委会周边核心地块，高品质高起点规划建设金融街，打造以科创和金融为特色的总部集聚的</w:t>
      </w:r>
      <w:r>
        <w:rPr>
          <w:rFonts w:ascii="仿宋_GB2312" w:hAnsi="仿宋" w:hint="eastAsia"/>
          <w:bCs/>
          <w:szCs w:val="30"/>
        </w:rPr>
        <w:t>科创中央商务核，打造高新区最高能级的服务集聚区，发挥对高新区服务业的核心辐射和带动作用。</w:t>
      </w:r>
    </w:p>
    <w:p w:rsidR="00F9707F" w:rsidRDefault="00DE6B50">
      <w:pPr>
        <w:spacing w:line="640" w:lineRule="exact"/>
        <w:ind w:firstLineChars="200" w:firstLine="643"/>
        <w:rPr>
          <w:rFonts w:ascii="仿宋_GB2312" w:hAnsi="仿宋"/>
          <w:bCs/>
          <w:szCs w:val="30"/>
        </w:rPr>
      </w:pPr>
      <w:r>
        <w:rPr>
          <w:rFonts w:ascii="仿宋_GB2312" w:hAnsi="仿宋" w:hint="eastAsia"/>
          <w:b/>
          <w:bCs/>
          <w:szCs w:val="30"/>
        </w:rPr>
        <w:t>“双圈”：研发创新生态圈。</w:t>
      </w:r>
      <w:r>
        <w:rPr>
          <w:rFonts w:ascii="仿宋_GB2312" w:hAnsi="仿宋" w:hint="eastAsia"/>
          <w:bCs/>
          <w:szCs w:val="30"/>
        </w:rPr>
        <w:t>依托</w:t>
      </w:r>
      <w:r>
        <w:rPr>
          <w:rFonts w:ascii="仿宋_GB2312" w:hAnsi="仿宋"/>
          <w:bCs/>
          <w:szCs w:val="30"/>
        </w:rPr>
        <w:t>环绕科学公园（寨山坪），加快推进科创要素与生态优势融合发展，全力建设以前沿研发孵化为重点的科学谷片区，</w:t>
      </w:r>
      <w:r>
        <w:rPr>
          <w:rFonts w:ascii="仿宋_GB2312" w:hAnsi="仿宋" w:hint="eastAsia"/>
          <w:bCs/>
          <w:szCs w:val="30"/>
        </w:rPr>
        <w:t>鼓励新型研发机构集聚，</w:t>
      </w:r>
      <w:r>
        <w:rPr>
          <w:rFonts w:ascii="仿宋_GB2312" w:hAnsi="仿宋"/>
          <w:bCs/>
          <w:szCs w:val="30"/>
        </w:rPr>
        <w:t>打造研发孵化和基础研究为主导的</w:t>
      </w:r>
      <w:r>
        <w:rPr>
          <w:rFonts w:ascii="仿宋_GB2312" w:hAnsi="仿宋" w:hint="eastAsia"/>
          <w:bCs/>
          <w:szCs w:val="30"/>
        </w:rPr>
        <w:t>研发创新生态圈</w:t>
      </w:r>
      <w:r>
        <w:rPr>
          <w:rFonts w:ascii="仿宋_GB2312" w:hAnsi="仿宋"/>
          <w:bCs/>
          <w:szCs w:val="30"/>
        </w:rPr>
        <w:t>。</w:t>
      </w:r>
      <w:r>
        <w:rPr>
          <w:rFonts w:ascii="仿宋_GB2312" w:hAnsi="仿宋" w:hint="eastAsia"/>
          <w:b/>
          <w:bCs/>
          <w:szCs w:val="30"/>
        </w:rPr>
        <w:t>大学城活力创意圈。</w:t>
      </w:r>
      <w:r>
        <w:rPr>
          <w:rFonts w:ascii="仿宋_GB2312" w:hAnsi="仿宋"/>
          <w:bCs/>
          <w:szCs w:val="30"/>
        </w:rPr>
        <w:t>充分发挥大学城创新资源集聚优势，嵌入式布局创新载体，打造以</w:t>
      </w:r>
      <w:r>
        <w:rPr>
          <w:rFonts w:ascii="仿宋_GB2312" w:hAnsi="仿宋" w:hint="eastAsia"/>
          <w:bCs/>
          <w:szCs w:val="30"/>
        </w:rPr>
        <w:t>信创</w:t>
      </w:r>
      <w:r>
        <w:rPr>
          <w:rFonts w:ascii="仿宋_GB2312" w:hAnsi="仿宋"/>
          <w:bCs/>
          <w:szCs w:val="30"/>
        </w:rPr>
        <w:t>软件和数字文创为重点的</w:t>
      </w:r>
      <w:r>
        <w:rPr>
          <w:rFonts w:ascii="仿宋_GB2312" w:hAnsi="仿宋" w:hint="eastAsia"/>
          <w:bCs/>
          <w:szCs w:val="30"/>
        </w:rPr>
        <w:t>大学城活力创意圈，全面彰显服务业创新活力。</w:t>
      </w:r>
    </w:p>
    <w:p w:rsidR="00F9707F" w:rsidRDefault="00DE6B50">
      <w:pPr>
        <w:spacing w:line="640" w:lineRule="exact"/>
        <w:ind w:firstLineChars="200" w:firstLine="643"/>
        <w:rPr>
          <w:rFonts w:ascii="仿宋_GB2312" w:hAnsi="仿宋"/>
          <w:bCs/>
          <w:szCs w:val="30"/>
        </w:rPr>
      </w:pPr>
      <w:r>
        <w:rPr>
          <w:rFonts w:ascii="仿宋_GB2312" w:hAnsi="仿宋" w:hint="eastAsia"/>
          <w:b/>
          <w:bCs/>
          <w:szCs w:val="30"/>
        </w:rPr>
        <w:t>“两片”：</w:t>
      </w:r>
      <w:r>
        <w:rPr>
          <w:rFonts w:ascii="仿宋_GB2312" w:hAnsi="仿宋"/>
          <w:b/>
          <w:bCs/>
          <w:szCs w:val="30"/>
        </w:rPr>
        <w:t>金凤</w:t>
      </w:r>
      <w:r>
        <w:rPr>
          <w:rFonts w:ascii="仿宋_GB2312" w:hAnsi="仿宋" w:hint="eastAsia"/>
          <w:b/>
          <w:bCs/>
          <w:szCs w:val="30"/>
        </w:rPr>
        <w:t>检验检测</w:t>
      </w:r>
      <w:r>
        <w:rPr>
          <w:rFonts w:ascii="仿宋_GB2312" w:hAnsi="仿宋"/>
          <w:b/>
          <w:bCs/>
          <w:szCs w:val="30"/>
        </w:rPr>
        <w:t>片区</w:t>
      </w:r>
      <w:r>
        <w:rPr>
          <w:rFonts w:ascii="仿宋_GB2312" w:hAnsi="仿宋" w:hint="eastAsia"/>
          <w:b/>
          <w:bCs/>
          <w:szCs w:val="30"/>
        </w:rPr>
        <w:t>。</w:t>
      </w:r>
      <w:r>
        <w:rPr>
          <w:rFonts w:ascii="仿宋_GB2312" w:hAnsi="仿宋" w:hint="eastAsia"/>
          <w:bCs/>
          <w:szCs w:val="30"/>
        </w:rPr>
        <w:t>依托金凤国家质检基地，</w:t>
      </w:r>
      <w:r>
        <w:rPr>
          <w:rFonts w:ascii="仿宋_GB2312" w:hAnsi="仿宋"/>
          <w:bCs/>
          <w:szCs w:val="30"/>
        </w:rPr>
        <w:t>聚焦新能源及智能网联汽车、电子器件等领域，打造中</w:t>
      </w:r>
      <w:r>
        <w:rPr>
          <w:rFonts w:ascii="仿宋_GB2312" w:hAnsi="仿宋" w:hint="eastAsia"/>
          <w:bCs/>
          <w:szCs w:val="30"/>
        </w:rPr>
        <w:t>国检验检测西部核心极；依托金凤生物医药产业园等重点载体，大力发展生物医药领域的研发孵化服务。</w:t>
      </w:r>
      <w:r>
        <w:rPr>
          <w:rFonts w:ascii="仿宋_GB2312" w:hAnsi="仿宋" w:hint="eastAsia"/>
          <w:b/>
          <w:bCs/>
          <w:szCs w:val="30"/>
        </w:rPr>
        <w:t>西永集成电路设计片区。</w:t>
      </w:r>
      <w:r>
        <w:rPr>
          <w:rFonts w:ascii="仿宋_GB2312" w:hAnsi="仿宋" w:hint="eastAsia"/>
          <w:bCs/>
          <w:szCs w:val="30"/>
        </w:rPr>
        <w:t>以微电子科创街和微电园研发群楼为重点，打造以集成电路（</w:t>
      </w:r>
      <w:r>
        <w:rPr>
          <w:rFonts w:ascii="仿宋_GB2312" w:hAnsi="仿宋" w:hint="eastAsia"/>
          <w:bCs/>
          <w:szCs w:val="30"/>
        </w:rPr>
        <w:t>IC</w:t>
      </w:r>
      <w:r>
        <w:rPr>
          <w:rFonts w:ascii="仿宋_GB2312" w:hAnsi="仿宋" w:hint="eastAsia"/>
          <w:bCs/>
          <w:szCs w:val="30"/>
        </w:rPr>
        <w:t>）研发设计为特色的软件信息</w:t>
      </w:r>
      <w:r>
        <w:rPr>
          <w:rFonts w:ascii="仿宋_GB2312" w:hAnsi="仿宋"/>
          <w:bCs/>
          <w:szCs w:val="30"/>
        </w:rPr>
        <w:t>类</w:t>
      </w:r>
      <w:r>
        <w:rPr>
          <w:rFonts w:ascii="仿宋_GB2312" w:hAnsi="仿宋" w:hint="eastAsia"/>
          <w:bCs/>
          <w:szCs w:val="30"/>
        </w:rPr>
        <w:t>高技术服务业片区。</w:t>
      </w:r>
    </w:p>
    <w:p w:rsidR="00DA5C7F" w:rsidRDefault="00DA5C7F" w:rsidP="00DA5C7F">
      <w:pPr>
        <w:pStyle w:val="a0"/>
      </w:pPr>
    </w:p>
    <w:p w:rsidR="00DA5C7F" w:rsidRDefault="00DA5C7F" w:rsidP="00DA5C7F">
      <w:pPr>
        <w:pStyle w:val="a0"/>
      </w:pPr>
    </w:p>
    <w:p w:rsidR="00DA5C7F" w:rsidRPr="00DA5C7F" w:rsidRDefault="00DA5C7F" w:rsidP="00DA5C7F">
      <w:pPr>
        <w:pStyle w:val="a0"/>
      </w:pPr>
    </w:p>
    <w:p w:rsidR="00F9707F" w:rsidRDefault="00DE6B50">
      <w:pPr>
        <w:pStyle w:val="1"/>
        <w:spacing w:line="640" w:lineRule="exact"/>
        <w:ind w:firstLine="640"/>
      </w:pPr>
      <w:bookmarkStart w:id="44" w:name="_Toc28025"/>
      <w:r>
        <w:rPr>
          <w:rFonts w:hint="eastAsia"/>
        </w:rPr>
        <w:lastRenderedPageBreak/>
        <w:t>三、构筑“五大赛道”高质量发展格局</w:t>
      </w:r>
      <w:bookmarkEnd w:id="44"/>
    </w:p>
    <w:p w:rsidR="00F9707F" w:rsidRDefault="00DE6B50">
      <w:pPr>
        <w:spacing w:line="640" w:lineRule="exact"/>
        <w:ind w:firstLineChars="200" w:firstLine="640"/>
        <w:rPr>
          <w:rFonts w:ascii="仿宋_GB2312" w:hAnsi="楷体"/>
          <w:szCs w:val="30"/>
        </w:rPr>
      </w:pPr>
      <w:r>
        <w:rPr>
          <w:rFonts w:ascii="仿宋_GB2312" w:hAnsi="楷体" w:hint="eastAsia"/>
          <w:szCs w:val="30"/>
        </w:rPr>
        <w:t>立足西部（重庆）科学城的核心定位，着眼高新区制造业升级与增强创新动能，大力发展研发孵化、软件信息、检验检测、数字文创、科技金融等高技术服务业，积极培育细分领域新业态新模式，加快形成优势赛道、特色品牌。</w:t>
      </w:r>
    </w:p>
    <w:p w:rsidR="00F9707F" w:rsidRDefault="00DE6B50">
      <w:pPr>
        <w:pStyle w:val="a0"/>
        <w:spacing w:line="360" w:lineRule="auto"/>
        <w:jc w:val="center"/>
        <w:rPr>
          <w:rFonts w:ascii="宋体" w:eastAsia="宋体" w:hAnsi="宋体"/>
          <w:sz w:val="24"/>
        </w:rPr>
      </w:pPr>
      <w:r>
        <w:rPr>
          <w:rFonts w:ascii="宋体" w:eastAsia="宋体" w:hAnsi="宋体" w:hint="eastAsia"/>
          <w:sz w:val="24"/>
        </w:rPr>
        <w:t>表</w:t>
      </w:r>
      <w:r>
        <w:rPr>
          <w:rFonts w:ascii="宋体" w:eastAsia="宋体" w:hAnsi="宋体"/>
          <w:sz w:val="24"/>
        </w:rPr>
        <w:t>1</w:t>
      </w:r>
      <w:r>
        <w:rPr>
          <w:rFonts w:ascii="宋体" w:eastAsia="宋体" w:hAnsi="宋体" w:hint="eastAsia"/>
          <w:sz w:val="24"/>
        </w:rPr>
        <w:t>：重庆高新区高技术服务业“五大赛道”细分领域</w:t>
      </w:r>
    </w:p>
    <w:tbl>
      <w:tblPr>
        <w:tblW w:w="7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5692"/>
      </w:tblGrid>
      <w:tr w:rsidR="00F9707F">
        <w:trPr>
          <w:trHeight w:val="369"/>
          <w:tblHeader/>
          <w:jc w:val="center"/>
        </w:trPr>
        <w:tc>
          <w:tcPr>
            <w:tcW w:w="2132" w:type="dxa"/>
            <w:shd w:val="clear" w:color="auto" w:fill="auto"/>
            <w:vAlign w:val="center"/>
          </w:tcPr>
          <w:p w:rsidR="00F9707F" w:rsidRDefault="00DE6B50">
            <w:pPr>
              <w:pStyle w:val="aff1"/>
              <w:keepNext w:val="0"/>
              <w:keepLines w:val="0"/>
              <w:jc w:val="center"/>
              <w:rPr>
                <w:b/>
                <w:sz w:val="24"/>
              </w:rPr>
            </w:pPr>
            <w:bookmarkStart w:id="45" w:name="_Hlk68542297"/>
            <w:r>
              <w:rPr>
                <w:rFonts w:hint="eastAsia"/>
                <w:b/>
                <w:sz w:val="24"/>
              </w:rPr>
              <w:t>重点赛道</w:t>
            </w:r>
          </w:p>
        </w:tc>
        <w:tc>
          <w:tcPr>
            <w:tcW w:w="5692" w:type="dxa"/>
            <w:shd w:val="clear" w:color="auto" w:fill="auto"/>
            <w:vAlign w:val="center"/>
          </w:tcPr>
          <w:p w:rsidR="00F9707F" w:rsidRDefault="00DE6B50">
            <w:pPr>
              <w:pStyle w:val="aff1"/>
              <w:keepNext w:val="0"/>
              <w:keepLines w:val="0"/>
              <w:jc w:val="center"/>
              <w:rPr>
                <w:b/>
                <w:sz w:val="24"/>
              </w:rPr>
            </w:pPr>
            <w:r>
              <w:rPr>
                <w:rFonts w:hint="eastAsia"/>
                <w:b/>
                <w:sz w:val="24"/>
              </w:rPr>
              <w:t>细分领域</w:t>
            </w:r>
          </w:p>
        </w:tc>
      </w:tr>
      <w:tr w:rsidR="00F9707F">
        <w:trPr>
          <w:trHeight w:val="369"/>
          <w:jc w:val="center"/>
        </w:trPr>
        <w:tc>
          <w:tcPr>
            <w:tcW w:w="2132" w:type="dxa"/>
            <w:vMerge w:val="restart"/>
            <w:shd w:val="clear" w:color="auto" w:fill="auto"/>
            <w:vAlign w:val="center"/>
          </w:tcPr>
          <w:p w:rsidR="00F9707F" w:rsidRDefault="00DE6B50">
            <w:pPr>
              <w:pStyle w:val="aff1"/>
              <w:keepNext w:val="0"/>
              <w:keepLines w:val="0"/>
              <w:jc w:val="center"/>
            </w:pPr>
            <w:r>
              <w:rPr>
                <w:rFonts w:hint="eastAsia"/>
              </w:rPr>
              <w:t>研发</w:t>
            </w:r>
          </w:p>
          <w:p w:rsidR="00F9707F" w:rsidRDefault="00DE6B50">
            <w:pPr>
              <w:pStyle w:val="aff1"/>
              <w:keepNext w:val="0"/>
              <w:keepLines w:val="0"/>
              <w:jc w:val="center"/>
            </w:pPr>
            <w:r>
              <w:rPr>
                <w:rFonts w:hint="eastAsia"/>
              </w:rPr>
              <w:t>孵化</w:t>
            </w:r>
          </w:p>
        </w:tc>
        <w:tc>
          <w:tcPr>
            <w:tcW w:w="5692" w:type="dxa"/>
            <w:shd w:val="clear" w:color="auto" w:fill="auto"/>
            <w:vAlign w:val="center"/>
          </w:tcPr>
          <w:p w:rsidR="00F9707F" w:rsidRDefault="00DE6B50">
            <w:pPr>
              <w:pStyle w:val="aff1"/>
              <w:keepNext w:val="0"/>
              <w:keepLines w:val="0"/>
              <w:jc w:val="center"/>
            </w:pPr>
            <w:r>
              <w:t>研究开发</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技术转移</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知识产权</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创业孵化</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科技咨询</w:t>
            </w:r>
          </w:p>
        </w:tc>
      </w:tr>
      <w:tr w:rsidR="00F9707F">
        <w:trPr>
          <w:trHeight w:val="369"/>
          <w:jc w:val="center"/>
        </w:trPr>
        <w:tc>
          <w:tcPr>
            <w:tcW w:w="2132" w:type="dxa"/>
            <w:vMerge w:val="restart"/>
            <w:shd w:val="clear" w:color="auto" w:fill="auto"/>
            <w:vAlign w:val="center"/>
          </w:tcPr>
          <w:p w:rsidR="00F9707F" w:rsidRDefault="00DE6B50">
            <w:pPr>
              <w:pStyle w:val="aff1"/>
              <w:keepNext w:val="0"/>
              <w:keepLines w:val="0"/>
              <w:jc w:val="center"/>
            </w:pPr>
            <w:r>
              <w:rPr>
                <w:rFonts w:hint="eastAsia"/>
              </w:rPr>
              <w:t>软件</w:t>
            </w:r>
            <w:r>
              <w:br/>
            </w:r>
            <w:r>
              <w:rPr>
                <w:rFonts w:hint="eastAsia"/>
              </w:rPr>
              <w:t>信息</w:t>
            </w:r>
          </w:p>
        </w:tc>
        <w:tc>
          <w:tcPr>
            <w:tcW w:w="5692" w:type="dxa"/>
            <w:shd w:val="clear" w:color="auto" w:fill="auto"/>
            <w:vAlign w:val="center"/>
          </w:tcPr>
          <w:p w:rsidR="00F9707F" w:rsidRDefault="00DE6B50">
            <w:pPr>
              <w:pStyle w:val="aff1"/>
              <w:keepNext w:val="0"/>
              <w:keepLines w:val="0"/>
              <w:jc w:val="center"/>
            </w:pPr>
            <w:r>
              <w:rPr>
                <w:rFonts w:hint="eastAsia"/>
              </w:rPr>
              <w:t>信创</w:t>
            </w:r>
            <w:r>
              <w:t>软件</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IC</w:t>
            </w:r>
            <w:r>
              <w:rPr>
                <w:rFonts w:hint="eastAsia"/>
              </w:rPr>
              <w:t>（集成电路）设计</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工业互联网</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高端行业应用软件</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新兴软件</w:t>
            </w:r>
          </w:p>
        </w:tc>
      </w:tr>
      <w:tr w:rsidR="00F9707F">
        <w:trPr>
          <w:trHeight w:val="369"/>
          <w:jc w:val="center"/>
        </w:trPr>
        <w:tc>
          <w:tcPr>
            <w:tcW w:w="2132" w:type="dxa"/>
            <w:vMerge w:val="restart"/>
            <w:shd w:val="clear" w:color="auto" w:fill="auto"/>
            <w:vAlign w:val="center"/>
          </w:tcPr>
          <w:p w:rsidR="00F9707F" w:rsidRDefault="00DE6B50">
            <w:pPr>
              <w:pStyle w:val="aff1"/>
              <w:keepNext w:val="0"/>
              <w:keepLines w:val="0"/>
              <w:jc w:val="center"/>
            </w:pPr>
            <w:r>
              <w:rPr>
                <w:rFonts w:hint="eastAsia"/>
              </w:rPr>
              <w:t>检验</w:t>
            </w:r>
            <w:r>
              <w:br/>
            </w:r>
            <w:r>
              <w:rPr>
                <w:rFonts w:hint="eastAsia"/>
              </w:rPr>
              <w:t>检测</w:t>
            </w:r>
          </w:p>
        </w:tc>
        <w:tc>
          <w:tcPr>
            <w:tcW w:w="5692" w:type="dxa"/>
            <w:shd w:val="clear" w:color="auto" w:fill="auto"/>
            <w:vAlign w:val="center"/>
          </w:tcPr>
          <w:p w:rsidR="00F9707F" w:rsidRDefault="00DE6B50">
            <w:pPr>
              <w:pStyle w:val="aff1"/>
              <w:keepNext w:val="0"/>
              <w:keepLines w:val="0"/>
              <w:jc w:val="center"/>
            </w:pPr>
            <w:r>
              <w:t>新能源及智能网联汽车检测</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生物医药及医疗器械检测</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集成电路及电子元器件检测</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仪器仪表检测</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t>智能装备检测</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其他工业品、消费品及贸易品检测</w:t>
            </w:r>
          </w:p>
        </w:tc>
      </w:tr>
      <w:tr w:rsidR="00F9707F">
        <w:trPr>
          <w:trHeight w:val="369"/>
          <w:jc w:val="center"/>
        </w:trPr>
        <w:tc>
          <w:tcPr>
            <w:tcW w:w="2132" w:type="dxa"/>
            <w:vMerge w:val="restart"/>
            <w:shd w:val="clear" w:color="auto" w:fill="auto"/>
            <w:vAlign w:val="center"/>
          </w:tcPr>
          <w:p w:rsidR="00F9707F" w:rsidRDefault="00DE6B50">
            <w:pPr>
              <w:pStyle w:val="aff1"/>
              <w:keepNext w:val="0"/>
              <w:keepLines w:val="0"/>
              <w:jc w:val="center"/>
            </w:pPr>
            <w:r>
              <w:rPr>
                <w:rFonts w:hint="eastAsia"/>
              </w:rPr>
              <w:t>数字</w:t>
            </w:r>
            <w:r>
              <w:rPr>
                <w:rFonts w:hint="eastAsia"/>
              </w:rPr>
              <w:br/>
            </w:r>
            <w:r>
              <w:rPr>
                <w:rFonts w:hint="eastAsia"/>
              </w:rPr>
              <w:t>文创</w:t>
            </w:r>
          </w:p>
        </w:tc>
        <w:tc>
          <w:tcPr>
            <w:tcW w:w="5692" w:type="dxa"/>
            <w:shd w:val="clear" w:color="auto" w:fill="auto"/>
            <w:vAlign w:val="center"/>
          </w:tcPr>
          <w:p w:rsidR="00F9707F" w:rsidRDefault="00DE6B50">
            <w:pPr>
              <w:pStyle w:val="aff1"/>
              <w:keepNext w:val="0"/>
              <w:keepLines w:val="0"/>
              <w:jc w:val="center"/>
            </w:pPr>
            <w:r>
              <w:rPr>
                <w:rFonts w:hint="eastAsia"/>
              </w:rPr>
              <w:t>工业</w:t>
            </w:r>
            <w:r>
              <w:t>设计</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电子</w:t>
            </w:r>
            <w:r>
              <w:t>竞技</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影视媒体</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知识付费</w:t>
            </w:r>
          </w:p>
        </w:tc>
      </w:tr>
      <w:tr w:rsidR="00F9707F">
        <w:trPr>
          <w:trHeight w:val="369"/>
          <w:jc w:val="center"/>
        </w:trPr>
        <w:tc>
          <w:tcPr>
            <w:tcW w:w="2132" w:type="dxa"/>
            <w:vMerge w:val="restart"/>
            <w:shd w:val="clear" w:color="auto" w:fill="auto"/>
            <w:vAlign w:val="center"/>
          </w:tcPr>
          <w:p w:rsidR="00F9707F" w:rsidRDefault="00DE6B50">
            <w:pPr>
              <w:pStyle w:val="aff1"/>
              <w:keepNext w:val="0"/>
              <w:keepLines w:val="0"/>
              <w:jc w:val="center"/>
            </w:pPr>
            <w:r>
              <w:rPr>
                <w:rFonts w:hint="eastAsia"/>
              </w:rPr>
              <w:t>科技</w:t>
            </w:r>
          </w:p>
          <w:p w:rsidR="00F9707F" w:rsidRDefault="00DE6B50">
            <w:pPr>
              <w:pStyle w:val="aff1"/>
              <w:keepNext w:val="0"/>
              <w:keepLines w:val="0"/>
              <w:jc w:val="center"/>
            </w:pPr>
            <w:r>
              <w:rPr>
                <w:rFonts w:hint="eastAsia"/>
              </w:rPr>
              <w:t>金融</w:t>
            </w:r>
          </w:p>
        </w:tc>
        <w:tc>
          <w:tcPr>
            <w:tcW w:w="5692" w:type="dxa"/>
            <w:shd w:val="clear" w:color="auto" w:fill="auto"/>
            <w:vAlign w:val="center"/>
          </w:tcPr>
          <w:p w:rsidR="00F9707F" w:rsidRDefault="00DE6B50">
            <w:pPr>
              <w:pStyle w:val="aff1"/>
              <w:keepNext w:val="0"/>
              <w:keepLines w:val="0"/>
              <w:jc w:val="center"/>
            </w:pPr>
            <w:r>
              <w:rPr>
                <w:rFonts w:hint="eastAsia"/>
              </w:rPr>
              <w:t>科技风投</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主力金融</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供应链金融</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金融科技</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绿色金融</w:t>
            </w:r>
          </w:p>
        </w:tc>
      </w:tr>
      <w:tr w:rsidR="00F9707F">
        <w:trPr>
          <w:trHeight w:val="369"/>
          <w:jc w:val="center"/>
        </w:trPr>
        <w:tc>
          <w:tcPr>
            <w:tcW w:w="2132" w:type="dxa"/>
            <w:vMerge/>
            <w:shd w:val="clear" w:color="auto" w:fill="auto"/>
            <w:vAlign w:val="center"/>
          </w:tcPr>
          <w:p w:rsidR="00F9707F" w:rsidRDefault="00F9707F">
            <w:pPr>
              <w:pStyle w:val="aff1"/>
              <w:keepNext w:val="0"/>
              <w:keepLines w:val="0"/>
              <w:jc w:val="center"/>
            </w:pPr>
          </w:p>
        </w:tc>
        <w:tc>
          <w:tcPr>
            <w:tcW w:w="5692" w:type="dxa"/>
            <w:shd w:val="clear" w:color="auto" w:fill="auto"/>
            <w:vAlign w:val="center"/>
          </w:tcPr>
          <w:p w:rsidR="00F9707F" w:rsidRDefault="00DE6B50">
            <w:pPr>
              <w:pStyle w:val="aff1"/>
              <w:keepNext w:val="0"/>
              <w:keepLines w:val="0"/>
              <w:jc w:val="center"/>
            </w:pPr>
            <w:r>
              <w:rPr>
                <w:rFonts w:hint="eastAsia"/>
              </w:rPr>
              <w:t>专业服务</w:t>
            </w:r>
          </w:p>
        </w:tc>
      </w:tr>
    </w:tbl>
    <w:p w:rsidR="00F9707F" w:rsidRDefault="00DE6B50">
      <w:pPr>
        <w:pStyle w:val="2"/>
        <w:spacing w:line="640" w:lineRule="exact"/>
        <w:ind w:firstLine="640"/>
        <w:rPr>
          <w:b w:val="0"/>
        </w:rPr>
      </w:pPr>
      <w:bookmarkStart w:id="46" w:name="_Toc11188"/>
      <w:bookmarkStart w:id="47" w:name="_Toc31041"/>
      <w:bookmarkStart w:id="48" w:name="_Toc30294"/>
      <w:bookmarkStart w:id="49" w:name="_Toc61271784"/>
      <w:bookmarkEnd w:id="45"/>
      <w:r>
        <w:rPr>
          <w:rFonts w:hint="eastAsia"/>
          <w:b w:val="0"/>
        </w:rPr>
        <w:lastRenderedPageBreak/>
        <w:t>（一）</w:t>
      </w:r>
      <w:r>
        <w:rPr>
          <w:b w:val="0"/>
        </w:rPr>
        <w:t>着力发展</w:t>
      </w:r>
      <w:r>
        <w:rPr>
          <w:rFonts w:hint="eastAsia"/>
          <w:b w:val="0"/>
        </w:rPr>
        <w:t>研发孵化</w:t>
      </w:r>
      <w:r>
        <w:rPr>
          <w:b w:val="0"/>
        </w:rPr>
        <w:t>，打造西部</w:t>
      </w:r>
      <w:bookmarkEnd w:id="46"/>
      <w:bookmarkEnd w:id="47"/>
      <w:r>
        <w:rPr>
          <w:rFonts w:hint="eastAsia"/>
          <w:b w:val="0"/>
        </w:rPr>
        <w:t>科技创新</w:t>
      </w:r>
      <w:r>
        <w:rPr>
          <w:b w:val="0"/>
        </w:rPr>
        <w:t>高地</w:t>
      </w:r>
      <w:bookmarkEnd w:id="48"/>
      <w:bookmarkEnd w:id="49"/>
    </w:p>
    <w:p w:rsidR="00F9707F" w:rsidRDefault="00DE6B50">
      <w:pPr>
        <w:spacing w:line="640" w:lineRule="exact"/>
        <w:ind w:firstLineChars="200" w:firstLine="640"/>
        <w:rPr>
          <w:b/>
          <w:bCs/>
          <w:szCs w:val="30"/>
        </w:rPr>
      </w:pPr>
      <w:r>
        <w:rPr>
          <w:rFonts w:ascii="仿宋_GB2312" w:hAnsi="楷体" w:hint="eastAsia"/>
          <w:szCs w:val="30"/>
        </w:rPr>
        <w:t>立足西部（重庆）科学城建设，</w:t>
      </w:r>
      <w:r>
        <w:rPr>
          <w:rFonts w:ascii="仿宋_GB2312" w:hAnsi="楷体"/>
          <w:szCs w:val="30"/>
        </w:rPr>
        <w:t>重点聚焦</w:t>
      </w:r>
      <w:r>
        <w:rPr>
          <w:rFonts w:ascii="仿宋_GB2312" w:hAnsi="楷体" w:hint="eastAsia"/>
          <w:szCs w:val="30"/>
        </w:rPr>
        <w:t>研究开发服务、技术转移服务、知识产权服务、创业孵化服务、科技咨询服务等领域，积极完善政产学研用的科技创新服务体系，构建完备的</w:t>
      </w:r>
      <w:r>
        <w:rPr>
          <w:rFonts w:ascii="仿宋_GB2312" w:hAnsi="楷体"/>
          <w:szCs w:val="30"/>
        </w:rPr>
        <w:t>研发创新链，加快布局</w:t>
      </w:r>
      <w:r>
        <w:rPr>
          <w:rFonts w:ascii="仿宋_GB2312" w:hAnsi="楷体" w:hint="eastAsia"/>
          <w:szCs w:val="30"/>
        </w:rPr>
        <w:t>一批</w:t>
      </w:r>
      <w:r>
        <w:rPr>
          <w:rFonts w:ascii="仿宋_GB2312" w:hAnsi="楷体"/>
          <w:szCs w:val="30"/>
        </w:rPr>
        <w:t>高能级</w:t>
      </w:r>
      <w:r>
        <w:rPr>
          <w:rFonts w:ascii="仿宋_GB2312" w:hAnsi="楷体" w:hint="eastAsia"/>
          <w:szCs w:val="30"/>
        </w:rPr>
        <w:t>的</w:t>
      </w:r>
      <w:r>
        <w:rPr>
          <w:rFonts w:ascii="仿宋_GB2312" w:hAnsi="楷体"/>
          <w:szCs w:val="30"/>
        </w:rPr>
        <w:t>研发机构、研发中心、</w:t>
      </w:r>
      <w:r>
        <w:rPr>
          <w:rFonts w:ascii="仿宋_GB2312" w:hAnsi="楷体" w:hint="eastAsia"/>
          <w:szCs w:val="30"/>
        </w:rPr>
        <w:t>研发孵化企业，</w:t>
      </w:r>
      <w:r>
        <w:rPr>
          <w:szCs w:val="30"/>
        </w:rPr>
        <w:t>力争到</w:t>
      </w:r>
      <w:r>
        <w:rPr>
          <w:szCs w:val="30"/>
        </w:rPr>
        <w:t>2025</w:t>
      </w:r>
      <w:r>
        <w:rPr>
          <w:szCs w:val="30"/>
        </w:rPr>
        <w:t>年</w:t>
      </w:r>
      <w:r>
        <w:rPr>
          <w:rFonts w:hint="eastAsia"/>
          <w:szCs w:val="30"/>
        </w:rPr>
        <w:t>，高新区研发孵化产业营收达</w:t>
      </w:r>
      <w:r>
        <w:rPr>
          <w:szCs w:val="30"/>
        </w:rPr>
        <w:t>50</w:t>
      </w:r>
      <w:r>
        <w:rPr>
          <w:szCs w:val="30"/>
        </w:rPr>
        <w:t>亿元</w:t>
      </w:r>
      <w:r>
        <w:rPr>
          <w:rFonts w:hint="eastAsia"/>
          <w:szCs w:val="30"/>
        </w:rPr>
        <w:t>，规上工业</w:t>
      </w:r>
      <w:r>
        <w:rPr>
          <w:szCs w:val="30"/>
        </w:rPr>
        <w:t>研发机构覆盖率达到</w:t>
      </w:r>
      <w:r>
        <w:rPr>
          <w:szCs w:val="30"/>
        </w:rPr>
        <w:t>100%</w:t>
      </w:r>
      <w:r>
        <w:rPr>
          <w:rFonts w:hint="eastAsia"/>
          <w:szCs w:val="30"/>
        </w:rPr>
        <w:t>，新型（高端）研发机构</w:t>
      </w:r>
      <w:r>
        <w:rPr>
          <w:rFonts w:hint="eastAsia"/>
          <w:szCs w:val="30"/>
        </w:rPr>
        <w:t>10</w:t>
      </w:r>
      <w:r>
        <w:rPr>
          <w:rFonts w:hint="eastAsia"/>
          <w:szCs w:val="30"/>
        </w:rPr>
        <w:t>家。研发创新生态区、大学城创新创意集聚区、西永集成电路孵化集聚区、金凤生物医药产业园、金凤智能装备研发孵化集聚区等载体建设初显形象和功能，成为高新区创新发展动力源。</w:t>
      </w:r>
    </w:p>
    <w:p w:rsidR="00F9707F" w:rsidRDefault="00DE6B50">
      <w:pPr>
        <w:spacing w:line="640" w:lineRule="exact"/>
        <w:ind w:firstLineChars="200" w:firstLine="643"/>
        <w:rPr>
          <w:rFonts w:ascii="仿宋_GB2312" w:hAnsi="楷体"/>
          <w:szCs w:val="30"/>
        </w:rPr>
      </w:pPr>
      <w:r>
        <w:rPr>
          <w:rFonts w:ascii="楷体" w:eastAsia="楷体" w:hAnsi="楷体" w:hint="eastAsia"/>
          <w:b/>
          <w:bCs/>
          <w:szCs w:val="30"/>
        </w:rPr>
        <w:t>发展重点：</w:t>
      </w:r>
      <w:r>
        <w:rPr>
          <w:rFonts w:ascii="仿宋_GB2312" w:hAnsi="楷体" w:hint="eastAsia"/>
          <w:b/>
          <w:bCs/>
          <w:szCs w:val="30"/>
        </w:rPr>
        <w:t>一是研究开发服务</w:t>
      </w:r>
      <w:r>
        <w:rPr>
          <w:rFonts w:ascii="仿宋_GB2312" w:hAnsi="楷体" w:hint="eastAsia"/>
          <w:szCs w:val="30"/>
        </w:rPr>
        <w:t>。围绕国家科技攻关重点项目、高新区重点产业技术发展方向，发挥高新区高等级研发机构和大科学设施集聚优势，超前布局基础研究，加强重大基础前沿和战略高技术研究，加强跨学科、跨领域科学研究，关注颠覆性技术，推进前瞻性变革性技术研发。</w:t>
      </w:r>
      <w:r>
        <w:rPr>
          <w:rFonts w:ascii="仿宋_GB2312" w:hAnsi="楷体" w:hint="eastAsia"/>
          <w:b/>
          <w:bCs/>
          <w:szCs w:val="30"/>
        </w:rPr>
        <w:t>二是技术转移服务。</w:t>
      </w:r>
      <w:r>
        <w:rPr>
          <w:rFonts w:ascii="仿宋_GB2312" w:hAnsi="楷体" w:hint="eastAsia"/>
          <w:szCs w:val="30"/>
        </w:rPr>
        <w:t>搭建技术交易或转移平台，引进市场化、专业化服务机构，支持股权合作、直接投资、联合开发、技术交流等市场化服务，支持</w:t>
      </w:r>
      <w:r>
        <w:rPr>
          <w:rFonts w:ascii="仿宋_GB2312" w:hAnsi="楷体"/>
          <w:szCs w:val="30"/>
        </w:rPr>
        <w:t>信息发布、融资并购、竞价拍卖、咨询辅导等线上线下相结合的专业化服务。</w:t>
      </w:r>
      <w:r>
        <w:rPr>
          <w:rFonts w:ascii="仿宋_GB2312" w:hAnsi="楷体" w:hint="eastAsia"/>
          <w:b/>
          <w:bCs/>
          <w:szCs w:val="30"/>
        </w:rPr>
        <w:t>三是知识产权服务。</w:t>
      </w:r>
      <w:r>
        <w:rPr>
          <w:rFonts w:ascii="仿宋_GB2312" w:hAnsi="楷体" w:hint="eastAsia"/>
          <w:szCs w:val="30"/>
        </w:rPr>
        <w:t>鼓励培育针对</w:t>
      </w:r>
      <w:r>
        <w:rPr>
          <w:rFonts w:ascii="仿宋_GB2312" w:hAnsi="楷体"/>
          <w:szCs w:val="30"/>
        </w:rPr>
        <w:t>专利、商标、版权、著作权</w:t>
      </w:r>
      <w:r>
        <w:rPr>
          <w:rFonts w:ascii="仿宋_GB2312" w:hAnsi="楷体" w:hint="eastAsia"/>
          <w:szCs w:val="30"/>
        </w:rPr>
        <w:t>等核心知识产权的</w:t>
      </w:r>
      <w:r>
        <w:rPr>
          <w:rFonts w:ascii="仿宋_GB2312" w:hAnsi="楷体"/>
          <w:szCs w:val="30"/>
        </w:rPr>
        <w:lastRenderedPageBreak/>
        <w:t>代理、转让、登记、鉴定、评估、认证、咨询、检索等</w:t>
      </w:r>
      <w:r>
        <w:rPr>
          <w:rFonts w:ascii="仿宋_GB2312" w:hAnsi="楷体" w:hint="eastAsia"/>
          <w:szCs w:val="30"/>
        </w:rPr>
        <w:t>专业服务，鼓励发展围绕知识产权的信息、维权、保险等相关配套服务。</w:t>
      </w:r>
      <w:r>
        <w:rPr>
          <w:rFonts w:ascii="仿宋_GB2312" w:hAnsi="楷体" w:hint="eastAsia"/>
          <w:b/>
          <w:bCs/>
          <w:szCs w:val="30"/>
        </w:rPr>
        <w:t>四是创业孵化服务。</w:t>
      </w:r>
      <w:r>
        <w:rPr>
          <w:rFonts w:ascii="仿宋_GB2312" w:hAnsi="楷体"/>
          <w:szCs w:val="30"/>
        </w:rPr>
        <w:t>构建全过程、全链条的</w:t>
      </w:r>
      <w:r>
        <w:rPr>
          <w:rFonts w:ascii="仿宋_GB2312" w:hAnsi="楷体" w:hint="eastAsia"/>
          <w:szCs w:val="30"/>
        </w:rPr>
        <w:t>创新</w:t>
      </w:r>
      <w:r>
        <w:rPr>
          <w:rFonts w:ascii="仿宋_GB2312" w:hAnsi="楷体"/>
          <w:szCs w:val="30"/>
        </w:rPr>
        <w:t>创业孵化体系</w:t>
      </w:r>
      <w:r>
        <w:rPr>
          <w:rFonts w:ascii="仿宋_GB2312" w:hAnsi="楷体" w:hint="eastAsia"/>
          <w:szCs w:val="30"/>
        </w:rPr>
        <w:t>，</w:t>
      </w:r>
      <w:r>
        <w:rPr>
          <w:rFonts w:ascii="仿宋_GB2312" w:hAnsi="楷体"/>
          <w:szCs w:val="30"/>
        </w:rPr>
        <w:t>提供共享经营场地、政策指导、资金申请、技术鉴定、项目顾问、人才培训等</w:t>
      </w:r>
      <w:r>
        <w:rPr>
          <w:rFonts w:ascii="仿宋_GB2312" w:hAnsi="楷体" w:hint="eastAsia"/>
          <w:szCs w:val="30"/>
        </w:rPr>
        <w:t>多元</w:t>
      </w:r>
      <w:r>
        <w:rPr>
          <w:rFonts w:ascii="仿宋_GB2312" w:hAnsi="楷体"/>
          <w:szCs w:val="30"/>
        </w:rPr>
        <w:t>服务</w:t>
      </w:r>
      <w:r>
        <w:rPr>
          <w:rFonts w:ascii="仿宋_GB2312" w:hAnsi="楷体" w:hint="eastAsia"/>
          <w:szCs w:val="30"/>
        </w:rPr>
        <w:t>，鼓励提供创业创新大赛、创业训练营、种子储备库、创业导师制度等特色服务。</w:t>
      </w:r>
      <w:r>
        <w:rPr>
          <w:rFonts w:ascii="仿宋_GB2312" w:hAnsi="楷体" w:hint="eastAsia"/>
          <w:b/>
          <w:bCs/>
          <w:szCs w:val="30"/>
        </w:rPr>
        <w:t>五是科技咨询服务。</w:t>
      </w:r>
      <w:r>
        <w:rPr>
          <w:rFonts w:ascii="仿宋_GB2312" w:hAnsi="楷体" w:hint="eastAsia"/>
          <w:szCs w:val="30"/>
        </w:rPr>
        <w:t>面向市场主体提供基于科</w:t>
      </w:r>
      <w:r>
        <w:rPr>
          <w:rFonts w:ascii="仿宋_GB2312" w:hAnsi="楷体"/>
          <w:szCs w:val="30"/>
        </w:rPr>
        <w:t>技政策情报</w:t>
      </w:r>
      <w:r>
        <w:rPr>
          <w:rFonts w:ascii="仿宋_GB2312" w:hAnsi="楷体" w:hint="eastAsia"/>
          <w:szCs w:val="30"/>
        </w:rPr>
        <w:t>、科技技术情报、企业创新战略、咨询专家诊断、项目申报培训等领域的专业科技咨</w:t>
      </w:r>
      <w:r>
        <w:rPr>
          <w:rFonts w:ascii="仿宋_GB2312" w:hAnsi="楷体"/>
          <w:szCs w:val="30"/>
        </w:rPr>
        <w:t>询</w:t>
      </w:r>
      <w:r>
        <w:rPr>
          <w:rFonts w:ascii="仿宋_GB2312" w:hAnsi="楷体" w:hint="eastAsia"/>
          <w:szCs w:val="30"/>
        </w:rPr>
        <w:t>服务。同时，顺应在线新经济发展趋势，鼓励支持企业提供在线研发服务，引进专业的在线研发服务平台企业，创新研发服务模式。</w:t>
      </w:r>
    </w:p>
    <w:p w:rsidR="00F9707F" w:rsidRDefault="00DE6B50">
      <w:pPr>
        <w:spacing w:line="640" w:lineRule="exact"/>
        <w:ind w:firstLineChars="200" w:firstLine="643"/>
        <w:rPr>
          <w:rFonts w:ascii="仿宋_GB2312" w:hAnsi="楷体"/>
          <w:szCs w:val="30"/>
        </w:rPr>
      </w:pPr>
      <w:r>
        <w:rPr>
          <w:rFonts w:ascii="楷体" w:eastAsia="楷体" w:hAnsi="楷体" w:hint="eastAsia"/>
          <w:b/>
          <w:bCs/>
          <w:szCs w:val="30"/>
        </w:rPr>
        <w:t>关键路径：</w:t>
      </w:r>
      <w:r>
        <w:rPr>
          <w:rFonts w:ascii="仿宋_GB2312" w:hAnsi="楷体" w:hint="eastAsia"/>
          <w:b/>
          <w:bCs/>
          <w:szCs w:val="30"/>
        </w:rPr>
        <w:t>一是加快建设研发孵化载体。</w:t>
      </w:r>
      <w:r>
        <w:rPr>
          <w:rFonts w:ascii="仿宋_GB2312" w:hAnsi="楷体" w:hint="eastAsia"/>
          <w:szCs w:val="30"/>
        </w:rPr>
        <w:t>加快建设科学谷、</w:t>
      </w:r>
      <w:r>
        <w:rPr>
          <w:rFonts w:ascii="仿宋_GB2312" w:hAnsi="楷体"/>
          <w:szCs w:val="30"/>
        </w:rPr>
        <w:t>重庆光大新科技城项目</w:t>
      </w:r>
      <w:r>
        <w:rPr>
          <w:rFonts w:ascii="仿宋_GB2312" w:hAnsi="楷体" w:hint="eastAsia"/>
          <w:szCs w:val="30"/>
        </w:rPr>
        <w:t>、</w:t>
      </w:r>
      <w:r>
        <w:rPr>
          <w:rFonts w:ascii="仿宋_GB2312" w:hAnsi="楷体"/>
          <w:szCs w:val="30"/>
        </w:rPr>
        <w:t>高新区科创示范项目</w:t>
      </w:r>
      <w:r>
        <w:rPr>
          <w:rFonts w:ascii="仿宋_GB2312" w:hAnsi="楷体" w:hint="eastAsia"/>
          <w:szCs w:val="30"/>
        </w:rPr>
        <w:t>（金凤园区）等一批研发孵化产业载体。提质赋能</w:t>
      </w:r>
      <w:r>
        <w:rPr>
          <w:rFonts w:ascii="仿宋_GB2312" w:hAnsi="楷体"/>
          <w:szCs w:val="30"/>
        </w:rPr>
        <w:t>5</w:t>
      </w:r>
      <w:r>
        <w:rPr>
          <w:rFonts w:ascii="仿宋_GB2312" w:hAnsi="楷体"/>
          <w:szCs w:val="30"/>
        </w:rPr>
        <w:t>家市级以上科技企业孵化器和</w:t>
      </w:r>
      <w:r>
        <w:rPr>
          <w:rFonts w:ascii="仿宋_GB2312" w:hAnsi="楷体"/>
          <w:szCs w:val="30"/>
        </w:rPr>
        <w:t>10</w:t>
      </w:r>
      <w:r>
        <w:rPr>
          <w:rFonts w:ascii="仿宋_GB2312" w:hAnsi="楷体"/>
          <w:szCs w:val="30"/>
        </w:rPr>
        <w:t>家市级以上众创空间，</w:t>
      </w:r>
      <w:r>
        <w:rPr>
          <w:rFonts w:ascii="仿宋_GB2312" w:hAnsi="楷体" w:hint="eastAsia"/>
          <w:szCs w:val="30"/>
        </w:rPr>
        <w:t>积极引进国内外知名的研发创新孵化机构，积极参与高新区内的</w:t>
      </w:r>
      <w:r>
        <w:rPr>
          <w:rFonts w:ascii="仿宋_GB2312" w:hAnsi="楷体"/>
          <w:szCs w:val="30"/>
        </w:rPr>
        <w:t>孵化器</w:t>
      </w:r>
      <w:r>
        <w:rPr>
          <w:rFonts w:ascii="仿宋_GB2312" w:hAnsi="楷体" w:hint="eastAsia"/>
          <w:szCs w:val="30"/>
        </w:rPr>
        <w:t>、加速器、众创空间等载体打造，为集聚高新技术企业、研发中心提供空间支撑</w:t>
      </w:r>
      <w:r>
        <w:rPr>
          <w:rFonts w:ascii="仿宋_GB2312" w:hAnsi="楷体"/>
          <w:szCs w:val="30"/>
        </w:rPr>
        <w:t>。</w:t>
      </w:r>
      <w:r>
        <w:rPr>
          <w:rFonts w:ascii="仿宋_GB2312" w:hAnsi="楷体"/>
          <w:b/>
          <w:szCs w:val="30"/>
        </w:rPr>
        <w:t>二是争取一批国家级创新机构落户和授牌</w:t>
      </w:r>
      <w:r>
        <w:rPr>
          <w:rFonts w:ascii="仿宋_GB2312" w:hAnsi="楷体" w:hint="eastAsia"/>
          <w:b/>
          <w:szCs w:val="30"/>
        </w:rPr>
        <w:t>。</w:t>
      </w:r>
      <w:r>
        <w:rPr>
          <w:rFonts w:ascii="仿宋_GB2312" w:hAnsi="楷体" w:hint="eastAsia"/>
          <w:szCs w:val="30"/>
        </w:rPr>
        <w:t>依托大科学设施优势，积极引进一批国家重点实验室、国家技术转移中心落户，支持本地高校和企业申报国家技术创新中心、国家企业技术中心、国家工程技术中心等。</w:t>
      </w:r>
      <w:r>
        <w:rPr>
          <w:rFonts w:ascii="仿宋_GB2312" w:hAnsi="楷体" w:hint="eastAsia"/>
          <w:b/>
          <w:bCs/>
          <w:szCs w:val="30"/>
        </w:rPr>
        <w:t>三是加快</w:t>
      </w:r>
      <w:r>
        <w:rPr>
          <w:rFonts w:ascii="仿宋_GB2312" w:hAnsi="楷体" w:hint="eastAsia"/>
          <w:b/>
          <w:bCs/>
          <w:szCs w:val="30"/>
        </w:rPr>
        <w:lastRenderedPageBreak/>
        <w:t>引进国内外知名的创新主体。</w:t>
      </w:r>
      <w:r>
        <w:rPr>
          <w:rFonts w:ascii="仿宋_GB2312" w:hAnsi="楷体" w:hint="eastAsia"/>
          <w:szCs w:val="30"/>
        </w:rPr>
        <w:t>积极吸引国内外顶尖科学家、企业家在高新区成立新型（高端）研发机构，建设一批院士港、领军团队实验室等，引进和培育一批创新企业、创新团队。与中科、启迪、</w:t>
      </w:r>
      <w:r>
        <w:rPr>
          <w:rFonts w:ascii="仿宋_GB2312" w:hAnsi="楷体"/>
          <w:szCs w:val="30"/>
        </w:rPr>
        <w:t>国科控股</w:t>
      </w:r>
      <w:r>
        <w:rPr>
          <w:rFonts w:ascii="仿宋_GB2312" w:hAnsi="楷体" w:hint="eastAsia"/>
          <w:szCs w:val="30"/>
        </w:rPr>
        <w:t>等研发孵化集团合作，打造高新区版的研发孵化服务母基金，鼓励科创龙头企业或头部机构牵头成立重庆高新区研发孵化服务产业联盟。</w:t>
      </w:r>
      <w:r>
        <w:rPr>
          <w:rFonts w:ascii="仿宋_GB2312" w:hAnsi="楷体" w:hint="eastAsia"/>
          <w:b/>
          <w:bCs/>
          <w:szCs w:val="30"/>
        </w:rPr>
        <w:t>四是加快构建政产学研用协同创新机制。</w:t>
      </w:r>
      <w:r>
        <w:rPr>
          <w:rFonts w:ascii="仿宋_GB2312" w:hAnsi="楷体" w:hint="eastAsia"/>
          <w:szCs w:val="30"/>
        </w:rPr>
        <w:t>鼓励政</w:t>
      </w:r>
      <w:r>
        <w:rPr>
          <w:rFonts w:ascii="仿宋_GB2312" w:hAnsi="楷体"/>
          <w:szCs w:val="30"/>
        </w:rPr>
        <w:t>产学研</w:t>
      </w:r>
      <w:r>
        <w:rPr>
          <w:rFonts w:ascii="仿宋_GB2312" w:hAnsi="楷体" w:hint="eastAsia"/>
          <w:szCs w:val="30"/>
        </w:rPr>
        <w:t>用合作提供</w:t>
      </w:r>
      <w:r>
        <w:rPr>
          <w:rFonts w:ascii="仿宋_GB2312" w:hAnsi="楷体"/>
          <w:szCs w:val="30"/>
        </w:rPr>
        <w:t>制定技术标准、编制技术路线、成果转化推广等</w:t>
      </w:r>
      <w:r>
        <w:rPr>
          <w:rFonts w:ascii="仿宋_GB2312" w:hAnsi="楷体" w:hint="eastAsia"/>
          <w:szCs w:val="30"/>
        </w:rPr>
        <w:t>科技创新公共服务，鼓励中科院系统单位以及军工系统研究单位在区内设立独立或分支院所。支持科研院所、科研类企业向社会提供共性技术服务。</w:t>
      </w:r>
      <w:r>
        <w:rPr>
          <w:rFonts w:ascii="仿宋_GB2312" w:hAnsi="楷体" w:hint="eastAsia"/>
          <w:b/>
          <w:bCs/>
          <w:szCs w:val="30"/>
        </w:rPr>
        <w:t>五是</w:t>
      </w:r>
      <w:r>
        <w:rPr>
          <w:rFonts w:ascii="仿宋_GB2312" w:hAnsi="楷体" w:hint="eastAsia"/>
          <w:b/>
          <w:szCs w:val="30"/>
        </w:rPr>
        <w:t>积极完善研发孵化配套服务体系。</w:t>
      </w:r>
      <w:r>
        <w:rPr>
          <w:rFonts w:ascii="仿宋_GB2312" w:hAnsi="楷体"/>
          <w:szCs w:val="30"/>
        </w:rPr>
        <w:t>完善</w:t>
      </w:r>
      <w:r>
        <w:rPr>
          <w:rFonts w:ascii="仿宋_GB2312" w:hAnsi="楷体" w:hint="eastAsia"/>
          <w:szCs w:val="30"/>
        </w:rPr>
        <w:t>科技</w:t>
      </w:r>
      <w:r>
        <w:rPr>
          <w:rFonts w:ascii="仿宋_GB2312" w:hAnsi="楷体"/>
          <w:szCs w:val="30"/>
        </w:rPr>
        <w:t>创新人才</w:t>
      </w:r>
      <w:r>
        <w:rPr>
          <w:rFonts w:ascii="仿宋_GB2312" w:hAnsi="楷体" w:hint="eastAsia"/>
          <w:szCs w:val="30"/>
        </w:rPr>
        <w:t>的引进机制、</w:t>
      </w:r>
      <w:r>
        <w:rPr>
          <w:rFonts w:ascii="仿宋_GB2312" w:hAnsi="楷体"/>
          <w:szCs w:val="30"/>
        </w:rPr>
        <w:t>发现</w:t>
      </w:r>
      <w:r>
        <w:rPr>
          <w:rFonts w:ascii="仿宋_GB2312" w:hAnsi="楷体" w:hint="eastAsia"/>
          <w:szCs w:val="30"/>
        </w:rPr>
        <w:t>机制、</w:t>
      </w:r>
      <w:r>
        <w:rPr>
          <w:rFonts w:ascii="仿宋_GB2312" w:hAnsi="楷体"/>
          <w:szCs w:val="30"/>
        </w:rPr>
        <w:t>成长机制</w:t>
      </w:r>
      <w:r>
        <w:rPr>
          <w:rFonts w:ascii="仿宋_GB2312" w:hAnsi="楷体" w:hint="eastAsia"/>
          <w:szCs w:val="30"/>
        </w:rPr>
        <w:t>、激励机制、评价机制、流动机制，为高端科研人员提供定制配套服务。激活</w:t>
      </w:r>
      <w:r>
        <w:rPr>
          <w:rFonts w:ascii="仿宋_GB2312" w:hAnsi="楷体"/>
          <w:szCs w:val="30"/>
        </w:rPr>
        <w:t>创业投资</w:t>
      </w:r>
      <w:r>
        <w:rPr>
          <w:rFonts w:ascii="仿宋_GB2312" w:hAnsi="楷体" w:hint="eastAsia"/>
          <w:szCs w:val="30"/>
        </w:rPr>
        <w:t>活力，创新</w:t>
      </w:r>
      <w:r>
        <w:rPr>
          <w:rFonts w:ascii="仿宋_GB2312" w:hAnsi="楷体"/>
          <w:szCs w:val="30"/>
        </w:rPr>
        <w:t>银行</w:t>
      </w:r>
      <w:r>
        <w:rPr>
          <w:rFonts w:ascii="仿宋_GB2312" w:hAnsi="楷体" w:hint="eastAsia"/>
          <w:szCs w:val="30"/>
        </w:rPr>
        <w:t>科创</w:t>
      </w:r>
      <w:r>
        <w:rPr>
          <w:rFonts w:ascii="仿宋_GB2312" w:hAnsi="楷体"/>
          <w:szCs w:val="30"/>
        </w:rPr>
        <w:t>信贷</w:t>
      </w:r>
      <w:r>
        <w:rPr>
          <w:rFonts w:ascii="仿宋_GB2312" w:hAnsi="楷体" w:hint="eastAsia"/>
          <w:szCs w:val="30"/>
        </w:rPr>
        <w:t>产品，吸引</w:t>
      </w:r>
      <w:r>
        <w:rPr>
          <w:rFonts w:ascii="仿宋_GB2312" w:hAnsi="楷体"/>
          <w:szCs w:val="30"/>
        </w:rPr>
        <w:t>社会</w:t>
      </w:r>
      <w:r>
        <w:rPr>
          <w:rFonts w:ascii="仿宋_GB2312" w:hAnsi="楷体" w:hint="eastAsia"/>
          <w:szCs w:val="30"/>
        </w:rPr>
        <w:t>科创风险</w:t>
      </w:r>
      <w:r>
        <w:rPr>
          <w:rFonts w:ascii="仿宋_GB2312" w:hAnsi="楷体"/>
          <w:szCs w:val="30"/>
        </w:rPr>
        <w:t>资本投入</w:t>
      </w:r>
      <w:r>
        <w:rPr>
          <w:rFonts w:ascii="仿宋_GB2312" w:hAnsi="楷体" w:hint="eastAsia"/>
          <w:szCs w:val="30"/>
        </w:rPr>
        <w:t>，鼓励发展天使基金、创投基金，开设专项信贷业务和保险业务。</w:t>
      </w:r>
    </w:p>
    <w:p w:rsidR="00F9707F" w:rsidRDefault="00DE6B50">
      <w:pPr>
        <w:spacing w:line="640" w:lineRule="exact"/>
        <w:ind w:firstLineChars="200" w:firstLine="643"/>
        <w:rPr>
          <w:rFonts w:ascii="仿宋_GB2312" w:hAnsi="楷体"/>
          <w:bCs/>
          <w:szCs w:val="30"/>
        </w:rPr>
      </w:pPr>
      <w:r>
        <w:rPr>
          <w:rFonts w:ascii="楷体" w:eastAsia="楷体" w:hAnsi="楷体" w:hint="eastAsia"/>
          <w:b/>
          <w:bCs/>
          <w:szCs w:val="30"/>
        </w:rPr>
        <w:t>空间布局：</w:t>
      </w:r>
      <w:r>
        <w:rPr>
          <w:rFonts w:ascii="仿宋_GB2312" w:hAnsi="楷体" w:hint="eastAsia"/>
          <w:bCs/>
          <w:szCs w:val="30"/>
        </w:rPr>
        <w:t>研发孵化主要布局在高新区北部和中部，重点围绕大学城、研发创新生态区、西永微电园、金凤园区等片区布局。“十四五”期间，研发孵化用地（含研发机构聚集区）用地</w:t>
      </w:r>
      <w:r>
        <w:rPr>
          <w:rFonts w:ascii="仿宋_GB2312" w:hAnsi="楷体"/>
          <w:bCs/>
          <w:szCs w:val="30"/>
        </w:rPr>
        <w:t>2978</w:t>
      </w:r>
      <w:r>
        <w:rPr>
          <w:rFonts w:ascii="仿宋_GB2312" w:hAnsi="楷体"/>
          <w:bCs/>
          <w:szCs w:val="30"/>
        </w:rPr>
        <w:t>亩</w:t>
      </w:r>
      <w:r>
        <w:rPr>
          <w:rFonts w:ascii="仿宋_GB2312" w:hAnsi="楷体" w:hint="eastAsia"/>
          <w:bCs/>
          <w:szCs w:val="30"/>
        </w:rPr>
        <w:t>，大科学装置</w:t>
      </w:r>
      <w:r>
        <w:rPr>
          <w:rFonts w:ascii="仿宋_GB2312" w:hAnsi="楷体"/>
          <w:bCs/>
          <w:szCs w:val="30"/>
        </w:rPr>
        <w:t>研发用地</w:t>
      </w:r>
      <w:r>
        <w:rPr>
          <w:rFonts w:ascii="仿宋_GB2312" w:hAnsi="楷体" w:hint="eastAsia"/>
          <w:bCs/>
          <w:szCs w:val="30"/>
        </w:rPr>
        <w:t>4702</w:t>
      </w:r>
      <w:r>
        <w:rPr>
          <w:rFonts w:ascii="仿宋_GB2312" w:hAnsi="楷体"/>
          <w:bCs/>
          <w:szCs w:val="30"/>
        </w:rPr>
        <w:t>亩。</w:t>
      </w:r>
      <w:r>
        <w:rPr>
          <w:rFonts w:ascii="仿宋_GB2312" w:hAnsi="楷体" w:hint="eastAsia"/>
          <w:bCs/>
          <w:szCs w:val="30"/>
        </w:rPr>
        <w:t>重点空间载体和项目包括科学谷、大科学装置集聚区、西永智慧园</w:t>
      </w:r>
      <w:r>
        <w:rPr>
          <w:rFonts w:ascii="仿宋_GB2312" w:hAnsi="楷体" w:hint="eastAsia"/>
          <w:bCs/>
          <w:szCs w:val="30"/>
        </w:rPr>
        <w:lastRenderedPageBreak/>
        <w:t>区建设项目、西永产学研一体化项目、重庆光大新科技城项目、重庆大学超算中心、联合微电子中心创新研发平台、西部中国芯联合应用实验室等项目。</w:t>
      </w:r>
    </w:p>
    <w:p w:rsidR="00F9707F" w:rsidRDefault="00F9707F">
      <w:pPr>
        <w:pStyle w:val="a0"/>
        <w:jc w:val="center"/>
      </w:pPr>
    </w:p>
    <w:p w:rsidR="00F9707F" w:rsidRDefault="00DE6B50">
      <w:pPr>
        <w:pStyle w:val="a0"/>
        <w:jc w:val="center"/>
        <w:rPr>
          <w:rFonts w:ascii="宋体" w:eastAsia="宋体" w:hAnsi="宋体"/>
          <w:sz w:val="24"/>
        </w:rPr>
      </w:pPr>
      <w:r>
        <w:rPr>
          <w:rFonts w:ascii="宋体" w:eastAsia="宋体" w:hAnsi="宋体"/>
          <w:sz w:val="24"/>
        </w:rPr>
        <w:t>表2</w:t>
      </w:r>
      <w:r>
        <w:rPr>
          <w:rFonts w:ascii="宋体" w:eastAsia="宋体" w:hAnsi="宋体" w:hint="eastAsia"/>
          <w:sz w:val="24"/>
        </w:rPr>
        <w:t>：研发孵化重点平台项目列表</w:t>
      </w:r>
      <w:r>
        <w:rPr>
          <w:rStyle w:val="afd"/>
          <w:rFonts w:ascii="宋体" w:eastAsia="宋体" w:hAnsi="宋体"/>
          <w:sz w:val="24"/>
        </w:rPr>
        <w:footnoteReference w:id="1"/>
      </w:r>
    </w:p>
    <w:tbl>
      <w:tblPr>
        <w:tblStyle w:val="47"/>
        <w:tblW w:w="9787" w:type="dxa"/>
        <w:jc w:val="center"/>
        <w:tblLayout w:type="fixed"/>
        <w:tblLook w:val="04A0" w:firstRow="1" w:lastRow="0" w:firstColumn="1" w:lastColumn="0" w:noHBand="0" w:noVBand="1"/>
      </w:tblPr>
      <w:tblGrid>
        <w:gridCol w:w="3261"/>
        <w:gridCol w:w="1276"/>
        <w:gridCol w:w="2693"/>
        <w:gridCol w:w="1281"/>
        <w:gridCol w:w="1276"/>
      </w:tblGrid>
      <w:tr w:rsidR="00F9707F">
        <w:trPr>
          <w:jc w:val="center"/>
        </w:trPr>
        <w:tc>
          <w:tcPr>
            <w:tcW w:w="3261"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项目名称</w:t>
            </w:r>
          </w:p>
        </w:tc>
        <w:tc>
          <w:tcPr>
            <w:tcW w:w="1276"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所属区域</w:t>
            </w:r>
          </w:p>
        </w:tc>
        <w:tc>
          <w:tcPr>
            <w:tcW w:w="2693"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建设功能</w:t>
            </w:r>
          </w:p>
        </w:tc>
        <w:tc>
          <w:tcPr>
            <w:tcW w:w="1281" w:type="dxa"/>
            <w:vAlign w:val="center"/>
          </w:tcPr>
          <w:p w:rsidR="00F9707F" w:rsidRDefault="00DE6B50">
            <w:pPr>
              <w:spacing w:line="240" w:lineRule="auto"/>
              <w:jc w:val="center"/>
              <w:rPr>
                <w:rFonts w:ascii="宋体" w:eastAsia="宋体" w:hAnsi="宋体"/>
                <w:b/>
                <w:sz w:val="24"/>
              </w:rPr>
            </w:pPr>
            <w:r>
              <w:rPr>
                <w:rFonts w:ascii="宋体" w:eastAsia="宋体" w:hAnsi="宋体" w:hint="eastAsia"/>
                <w:b/>
                <w:sz w:val="24"/>
              </w:rPr>
              <w:t>占地面积（亩）</w:t>
            </w:r>
          </w:p>
        </w:tc>
        <w:tc>
          <w:tcPr>
            <w:tcW w:w="1276" w:type="dxa"/>
            <w:vAlign w:val="center"/>
          </w:tcPr>
          <w:p w:rsidR="00F9707F" w:rsidRDefault="00DE6B50">
            <w:pPr>
              <w:spacing w:line="240" w:lineRule="auto"/>
              <w:jc w:val="center"/>
              <w:rPr>
                <w:rFonts w:ascii="宋体" w:eastAsia="宋体" w:hAnsi="宋体"/>
                <w:b/>
                <w:sz w:val="24"/>
              </w:rPr>
            </w:pPr>
            <w:r>
              <w:rPr>
                <w:rFonts w:ascii="宋体" w:eastAsia="宋体" w:hAnsi="宋体" w:hint="eastAsia"/>
                <w:b/>
                <w:sz w:val="24"/>
              </w:rPr>
              <w:t>产值目标（亿元）</w:t>
            </w:r>
          </w:p>
        </w:tc>
      </w:tr>
      <w:tr w:rsidR="00F9707F">
        <w:trPr>
          <w:trHeight w:val="700"/>
          <w:jc w:val="center"/>
        </w:trPr>
        <w:tc>
          <w:tcPr>
            <w:tcW w:w="326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大科学装置集聚区A片区</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sz w:val="24"/>
              </w:rPr>
              <w:t>曾家镇</w:t>
            </w:r>
          </w:p>
        </w:tc>
        <w:tc>
          <w:tcPr>
            <w:tcW w:w="269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重大科学基础设施</w:t>
            </w:r>
          </w:p>
        </w:tc>
        <w:tc>
          <w:tcPr>
            <w:tcW w:w="128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3</w:t>
            </w:r>
            <w:r>
              <w:rPr>
                <w:rFonts w:ascii="宋体" w:eastAsia="宋体" w:hAnsi="宋体"/>
                <w:sz w:val="24"/>
              </w:rPr>
              <w:t>052</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w:t>
            </w:r>
          </w:p>
        </w:tc>
      </w:tr>
      <w:tr w:rsidR="00F9707F">
        <w:trPr>
          <w:trHeight w:val="555"/>
          <w:jc w:val="center"/>
        </w:trPr>
        <w:tc>
          <w:tcPr>
            <w:tcW w:w="326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大科学装置集聚区B区</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sz w:val="24"/>
              </w:rPr>
              <w:t>西永</w:t>
            </w:r>
          </w:p>
        </w:tc>
        <w:tc>
          <w:tcPr>
            <w:tcW w:w="269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重大科学基础设施</w:t>
            </w:r>
          </w:p>
        </w:tc>
        <w:tc>
          <w:tcPr>
            <w:tcW w:w="128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650</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w:t>
            </w:r>
          </w:p>
        </w:tc>
      </w:tr>
      <w:tr w:rsidR="00F9707F">
        <w:trPr>
          <w:jc w:val="center"/>
        </w:trPr>
        <w:tc>
          <w:tcPr>
            <w:tcW w:w="326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科学谷前沿科技孵化片区</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含谷镇</w:t>
            </w:r>
          </w:p>
        </w:tc>
        <w:tc>
          <w:tcPr>
            <w:tcW w:w="269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研发机构集聚区</w:t>
            </w:r>
          </w:p>
          <w:p w:rsidR="00F9707F" w:rsidRDefault="00DE6B50">
            <w:pPr>
              <w:spacing w:line="240" w:lineRule="auto"/>
              <w:jc w:val="center"/>
              <w:rPr>
                <w:rFonts w:ascii="宋体" w:eastAsia="宋体" w:hAnsi="宋体"/>
                <w:sz w:val="24"/>
              </w:rPr>
            </w:pPr>
            <w:r>
              <w:rPr>
                <w:rFonts w:ascii="宋体" w:eastAsia="宋体" w:hAnsi="宋体" w:hint="eastAsia"/>
                <w:sz w:val="24"/>
              </w:rPr>
              <w:t>（人工智能研发孵化）</w:t>
            </w:r>
          </w:p>
        </w:tc>
        <w:tc>
          <w:tcPr>
            <w:tcW w:w="1281" w:type="dxa"/>
            <w:vAlign w:val="center"/>
          </w:tcPr>
          <w:p w:rsidR="00F9707F" w:rsidRDefault="00DE6B50">
            <w:pPr>
              <w:spacing w:line="240" w:lineRule="auto"/>
              <w:jc w:val="center"/>
              <w:rPr>
                <w:rFonts w:ascii="宋体" w:eastAsia="宋体" w:hAnsi="宋体"/>
                <w:sz w:val="24"/>
              </w:rPr>
            </w:pPr>
            <w:r>
              <w:rPr>
                <w:rFonts w:ascii="宋体" w:eastAsia="宋体" w:hAnsi="宋体"/>
                <w:sz w:val="24"/>
              </w:rPr>
              <w:t>888</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8</w:t>
            </w:r>
            <w:r>
              <w:rPr>
                <w:rFonts w:ascii="宋体" w:eastAsia="宋体" w:hAnsi="宋体"/>
                <w:sz w:val="24"/>
              </w:rPr>
              <w:t>0</w:t>
            </w:r>
          </w:p>
        </w:tc>
      </w:tr>
      <w:tr w:rsidR="00F9707F">
        <w:trPr>
          <w:trHeight w:val="629"/>
          <w:jc w:val="center"/>
        </w:trPr>
        <w:tc>
          <w:tcPr>
            <w:tcW w:w="326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金凤智能装备研发孵化片区</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sz w:val="24"/>
              </w:rPr>
              <w:t>金凤镇</w:t>
            </w:r>
          </w:p>
        </w:tc>
        <w:tc>
          <w:tcPr>
            <w:tcW w:w="269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研发孵化（智能装备）</w:t>
            </w:r>
          </w:p>
        </w:tc>
        <w:tc>
          <w:tcPr>
            <w:tcW w:w="128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7</w:t>
            </w:r>
            <w:r>
              <w:rPr>
                <w:rFonts w:ascii="宋体" w:eastAsia="宋体" w:hAnsi="宋体"/>
                <w:sz w:val="24"/>
              </w:rPr>
              <w:t>00</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5</w:t>
            </w:r>
            <w:r>
              <w:rPr>
                <w:rFonts w:ascii="宋体" w:eastAsia="宋体" w:hAnsi="宋体"/>
                <w:sz w:val="24"/>
              </w:rPr>
              <w:t>0</w:t>
            </w:r>
          </w:p>
        </w:tc>
      </w:tr>
      <w:tr w:rsidR="00F9707F">
        <w:trPr>
          <w:jc w:val="center"/>
        </w:trPr>
        <w:tc>
          <w:tcPr>
            <w:tcW w:w="326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金凤生物医药产业园</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sz w:val="24"/>
              </w:rPr>
              <w:t>金凤镇</w:t>
            </w:r>
          </w:p>
        </w:tc>
        <w:tc>
          <w:tcPr>
            <w:tcW w:w="269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研发孵化</w:t>
            </w:r>
          </w:p>
          <w:p w:rsidR="00F9707F" w:rsidRDefault="00DE6B50">
            <w:pPr>
              <w:spacing w:line="240" w:lineRule="auto"/>
              <w:jc w:val="center"/>
              <w:rPr>
                <w:rFonts w:ascii="宋体" w:eastAsia="宋体" w:hAnsi="宋体"/>
                <w:sz w:val="24"/>
              </w:rPr>
            </w:pPr>
            <w:r>
              <w:rPr>
                <w:rFonts w:ascii="宋体" w:eastAsia="宋体" w:hAnsi="宋体" w:hint="eastAsia"/>
                <w:sz w:val="24"/>
              </w:rPr>
              <w:t>（生物技术研发中心）</w:t>
            </w:r>
          </w:p>
        </w:tc>
        <w:tc>
          <w:tcPr>
            <w:tcW w:w="128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7</w:t>
            </w:r>
            <w:r>
              <w:rPr>
                <w:rFonts w:ascii="宋体" w:eastAsia="宋体" w:hAnsi="宋体"/>
                <w:sz w:val="24"/>
              </w:rPr>
              <w:t>80</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50</w:t>
            </w:r>
          </w:p>
        </w:tc>
      </w:tr>
      <w:tr w:rsidR="00F9707F">
        <w:trPr>
          <w:jc w:val="center"/>
        </w:trPr>
        <w:tc>
          <w:tcPr>
            <w:tcW w:w="326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西永集成电路孵化片区</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西永</w:t>
            </w:r>
          </w:p>
        </w:tc>
        <w:tc>
          <w:tcPr>
            <w:tcW w:w="269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研发孵化（集成电路）</w:t>
            </w:r>
          </w:p>
        </w:tc>
        <w:tc>
          <w:tcPr>
            <w:tcW w:w="1281" w:type="dxa"/>
            <w:vAlign w:val="center"/>
          </w:tcPr>
          <w:p w:rsidR="00F9707F" w:rsidRDefault="00DE6B50">
            <w:pPr>
              <w:spacing w:line="240" w:lineRule="auto"/>
              <w:jc w:val="center"/>
              <w:rPr>
                <w:rFonts w:ascii="宋体" w:eastAsia="宋体" w:hAnsi="宋体"/>
                <w:sz w:val="21"/>
              </w:rPr>
            </w:pPr>
            <w:r>
              <w:rPr>
                <w:rFonts w:ascii="宋体" w:eastAsia="宋体" w:hAnsi="宋体"/>
                <w:sz w:val="24"/>
              </w:rPr>
              <w:t xml:space="preserve">150  </w:t>
            </w:r>
          </w:p>
          <w:p w:rsidR="00F9707F" w:rsidRDefault="00DE6B50">
            <w:pPr>
              <w:spacing w:line="240" w:lineRule="auto"/>
              <w:jc w:val="center"/>
              <w:rPr>
                <w:rFonts w:ascii="宋体" w:eastAsia="宋体" w:hAnsi="宋体"/>
                <w:sz w:val="24"/>
              </w:rPr>
            </w:pPr>
            <w:r>
              <w:rPr>
                <w:rFonts w:ascii="宋体" w:eastAsia="宋体" w:hAnsi="宋体"/>
                <w:sz w:val="21"/>
              </w:rPr>
              <w:t>（</w:t>
            </w:r>
            <w:r>
              <w:rPr>
                <w:rFonts w:ascii="宋体" w:eastAsia="宋体" w:hAnsi="宋体" w:hint="eastAsia"/>
                <w:sz w:val="21"/>
              </w:rPr>
              <w:t>可用</w:t>
            </w:r>
            <w:r>
              <w:rPr>
                <w:rFonts w:ascii="宋体" w:eastAsia="宋体" w:hAnsi="宋体"/>
                <w:sz w:val="21"/>
              </w:rPr>
              <w:t>）</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2</w:t>
            </w:r>
            <w:r>
              <w:rPr>
                <w:rFonts w:ascii="宋体" w:eastAsia="宋体" w:hAnsi="宋体"/>
                <w:sz w:val="24"/>
              </w:rPr>
              <w:t>0</w:t>
            </w:r>
          </w:p>
        </w:tc>
      </w:tr>
      <w:tr w:rsidR="00F9707F">
        <w:trPr>
          <w:trHeight w:val="570"/>
          <w:jc w:val="center"/>
        </w:trPr>
        <w:tc>
          <w:tcPr>
            <w:tcW w:w="326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重庆光大新科技城</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金凤镇</w:t>
            </w:r>
          </w:p>
        </w:tc>
        <w:tc>
          <w:tcPr>
            <w:tcW w:w="269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研发孵化（智能硬件）</w:t>
            </w:r>
          </w:p>
        </w:tc>
        <w:tc>
          <w:tcPr>
            <w:tcW w:w="128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4</w:t>
            </w:r>
            <w:r>
              <w:rPr>
                <w:rFonts w:ascii="宋体" w:eastAsia="宋体" w:hAnsi="宋体"/>
                <w:sz w:val="24"/>
              </w:rPr>
              <w:t>00</w:t>
            </w:r>
          </w:p>
        </w:tc>
        <w:tc>
          <w:tcPr>
            <w:tcW w:w="12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4</w:t>
            </w:r>
            <w:r>
              <w:rPr>
                <w:rFonts w:ascii="宋体" w:eastAsia="宋体" w:hAnsi="宋体"/>
                <w:sz w:val="24"/>
              </w:rPr>
              <w:t>0</w:t>
            </w:r>
          </w:p>
        </w:tc>
      </w:tr>
    </w:tbl>
    <w:p w:rsidR="00F9707F" w:rsidRDefault="00DE6B50">
      <w:pPr>
        <w:pStyle w:val="2"/>
        <w:spacing w:line="640" w:lineRule="exact"/>
        <w:ind w:firstLine="640"/>
        <w:rPr>
          <w:b w:val="0"/>
        </w:rPr>
      </w:pPr>
      <w:bookmarkStart w:id="50" w:name="_Toc25925"/>
      <w:r>
        <w:rPr>
          <w:rFonts w:hint="eastAsia"/>
          <w:b w:val="0"/>
        </w:rPr>
        <w:t>（二）</w:t>
      </w:r>
      <w:r>
        <w:rPr>
          <w:b w:val="0"/>
        </w:rPr>
        <w:t>着力发展软件信息，加快建设西部软件名</w:t>
      </w:r>
      <w:r>
        <w:rPr>
          <w:rFonts w:hint="eastAsia"/>
          <w:b w:val="0"/>
        </w:rPr>
        <w:t>园</w:t>
      </w:r>
      <w:bookmarkEnd w:id="50"/>
    </w:p>
    <w:p w:rsidR="00F9707F" w:rsidRDefault="00DE6B50">
      <w:pPr>
        <w:spacing w:line="640" w:lineRule="exact"/>
        <w:ind w:firstLineChars="200" w:firstLine="640"/>
        <w:rPr>
          <w:rFonts w:ascii="仿宋_GB2312" w:hAnsi="楷体"/>
          <w:szCs w:val="30"/>
        </w:rPr>
      </w:pPr>
      <w:r>
        <w:rPr>
          <w:rFonts w:ascii="仿宋_GB2312" w:hAnsi="楷体"/>
          <w:szCs w:val="30"/>
        </w:rPr>
        <w:t>聚焦发展</w:t>
      </w:r>
      <w:r>
        <w:rPr>
          <w:rFonts w:ascii="仿宋_GB2312" w:hAnsi="楷体" w:hint="eastAsia"/>
          <w:szCs w:val="30"/>
        </w:rPr>
        <w:t>信创软件、</w:t>
      </w:r>
      <w:r>
        <w:rPr>
          <w:rFonts w:ascii="仿宋_GB2312" w:hAnsi="楷体" w:hint="eastAsia"/>
          <w:szCs w:val="30"/>
        </w:rPr>
        <w:t>IC</w:t>
      </w:r>
      <w:r>
        <w:rPr>
          <w:rFonts w:ascii="仿宋_GB2312" w:hAnsi="楷体" w:hint="eastAsia"/>
          <w:szCs w:val="30"/>
        </w:rPr>
        <w:t>（集成电路）设计、工业互联网、高端行业应用软件、新兴软件五大领域，深化软件信息服务对制造业、传统服务业、城市管理的融合应用与赋能。</w:t>
      </w:r>
      <w:r>
        <w:rPr>
          <w:rFonts w:ascii="仿宋_GB2312" w:hAnsi="楷体"/>
          <w:szCs w:val="30"/>
        </w:rPr>
        <w:t>力争</w:t>
      </w:r>
      <w:r>
        <w:rPr>
          <w:rFonts w:ascii="仿宋_GB2312" w:hAnsi="楷体"/>
          <w:szCs w:val="30"/>
        </w:rPr>
        <w:t>2025</w:t>
      </w:r>
      <w:r>
        <w:rPr>
          <w:rFonts w:ascii="仿宋_GB2312" w:hAnsi="楷体"/>
          <w:szCs w:val="30"/>
        </w:rPr>
        <w:t>年汇聚软件信息</w:t>
      </w:r>
      <w:r>
        <w:rPr>
          <w:rFonts w:ascii="仿宋_GB2312" w:hAnsi="楷体" w:hint="eastAsia"/>
          <w:szCs w:val="30"/>
        </w:rPr>
        <w:t>服务</w:t>
      </w:r>
      <w:r>
        <w:rPr>
          <w:rFonts w:ascii="仿宋_GB2312" w:hAnsi="楷体"/>
          <w:szCs w:val="30"/>
        </w:rPr>
        <w:t>企业</w:t>
      </w:r>
      <w:r>
        <w:rPr>
          <w:rFonts w:ascii="仿宋_GB2312" w:hAnsi="楷体" w:hint="eastAsia"/>
          <w:szCs w:val="30"/>
        </w:rPr>
        <w:t>4</w:t>
      </w:r>
      <w:r>
        <w:rPr>
          <w:rFonts w:ascii="仿宋_GB2312" w:hAnsi="楷体"/>
          <w:szCs w:val="30"/>
        </w:rPr>
        <w:t>00</w:t>
      </w:r>
      <w:r>
        <w:rPr>
          <w:rFonts w:ascii="仿宋_GB2312" w:hAnsi="楷体"/>
          <w:szCs w:val="30"/>
        </w:rPr>
        <w:t>家，产业总规模达</w:t>
      </w:r>
      <w:r>
        <w:rPr>
          <w:rFonts w:ascii="仿宋_GB2312" w:hAnsi="楷体" w:hint="eastAsia"/>
          <w:szCs w:val="30"/>
        </w:rPr>
        <w:t>1</w:t>
      </w:r>
      <w:r>
        <w:rPr>
          <w:rFonts w:ascii="仿宋_GB2312" w:hAnsi="楷体"/>
          <w:szCs w:val="30"/>
        </w:rPr>
        <w:t>50</w:t>
      </w:r>
      <w:r>
        <w:rPr>
          <w:rFonts w:ascii="仿宋_GB2312" w:hAnsi="楷体"/>
          <w:szCs w:val="30"/>
        </w:rPr>
        <w:t>亿</w:t>
      </w:r>
      <w:r>
        <w:rPr>
          <w:rFonts w:ascii="仿宋_GB2312" w:hAnsi="楷体" w:hint="eastAsia"/>
          <w:szCs w:val="30"/>
        </w:rPr>
        <w:t>，成为</w:t>
      </w:r>
      <w:r>
        <w:rPr>
          <w:rFonts w:ascii="仿宋_GB2312" w:hAnsi="楷体"/>
          <w:szCs w:val="30"/>
        </w:rPr>
        <w:t>高新区服务业支柱</w:t>
      </w:r>
      <w:r>
        <w:rPr>
          <w:rFonts w:ascii="仿宋_GB2312" w:hAnsi="楷体" w:hint="eastAsia"/>
          <w:szCs w:val="30"/>
        </w:rPr>
        <w:t>产业和产业转型升级的重要引擎，</w:t>
      </w:r>
      <w:r>
        <w:rPr>
          <w:rFonts w:ascii="仿宋_GB2312" w:hAnsi="楷体"/>
          <w:szCs w:val="30"/>
        </w:rPr>
        <w:t>成为具有</w:t>
      </w:r>
      <w:r>
        <w:rPr>
          <w:rFonts w:ascii="仿宋_GB2312" w:hAnsi="楷体" w:hint="eastAsia"/>
          <w:szCs w:val="30"/>
        </w:rPr>
        <w:t>全国</w:t>
      </w:r>
      <w:r>
        <w:rPr>
          <w:rFonts w:ascii="仿宋_GB2312" w:hAnsi="楷体"/>
          <w:szCs w:val="30"/>
        </w:rPr>
        <w:t>影响力</w:t>
      </w:r>
      <w:r>
        <w:rPr>
          <w:rFonts w:ascii="仿宋_GB2312" w:hAnsi="楷体" w:hint="eastAsia"/>
          <w:szCs w:val="30"/>
        </w:rPr>
        <w:t>的</w:t>
      </w:r>
      <w:r>
        <w:rPr>
          <w:rFonts w:ascii="仿宋_GB2312" w:hAnsi="楷体"/>
          <w:szCs w:val="30"/>
        </w:rPr>
        <w:t>软件名</w:t>
      </w:r>
      <w:r>
        <w:rPr>
          <w:rFonts w:ascii="仿宋_GB2312" w:hAnsi="楷体" w:hint="eastAsia"/>
          <w:szCs w:val="30"/>
        </w:rPr>
        <w:t>园</w:t>
      </w:r>
      <w:r>
        <w:rPr>
          <w:rFonts w:ascii="仿宋_GB2312" w:hAnsi="楷体"/>
          <w:szCs w:val="30"/>
        </w:rPr>
        <w:t>。</w:t>
      </w:r>
    </w:p>
    <w:p w:rsidR="00F9707F" w:rsidRDefault="00DE6B50">
      <w:pPr>
        <w:spacing w:line="640" w:lineRule="exact"/>
        <w:ind w:firstLineChars="200" w:firstLine="643"/>
        <w:rPr>
          <w:rFonts w:ascii="仿宋_GB2312" w:hAnsi="楷体"/>
          <w:szCs w:val="30"/>
        </w:rPr>
      </w:pPr>
      <w:r>
        <w:rPr>
          <w:rFonts w:ascii="楷体" w:eastAsia="楷体" w:hAnsi="楷体" w:hint="eastAsia"/>
          <w:b/>
          <w:bCs/>
          <w:szCs w:val="30"/>
        </w:rPr>
        <w:t>发展重点：</w:t>
      </w:r>
      <w:r>
        <w:rPr>
          <w:rFonts w:ascii="仿宋_GB2312" w:hAnsi="楷体" w:hint="eastAsia"/>
          <w:b/>
          <w:szCs w:val="30"/>
        </w:rPr>
        <w:t>一是信创</w:t>
      </w:r>
      <w:r>
        <w:rPr>
          <w:rFonts w:ascii="仿宋_GB2312" w:hAnsi="楷体"/>
          <w:b/>
          <w:szCs w:val="30"/>
        </w:rPr>
        <w:t>软件</w:t>
      </w:r>
      <w:r>
        <w:rPr>
          <w:rFonts w:ascii="仿宋_GB2312" w:hAnsi="楷体" w:hint="eastAsia"/>
          <w:b/>
          <w:szCs w:val="30"/>
        </w:rPr>
        <w:t>。</w:t>
      </w:r>
      <w:r>
        <w:rPr>
          <w:rFonts w:ascii="仿宋_GB2312" w:hAnsi="楷体" w:hint="eastAsia"/>
          <w:szCs w:val="30"/>
        </w:rPr>
        <w:t>依托中电信创产业基地，华</w:t>
      </w:r>
      <w:r>
        <w:rPr>
          <w:rFonts w:ascii="仿宋_GB2312" w:hAnsi="楷体" w:hint="eastAsia"/>
          <w:szCs w:val="30"/>
        </w:rPr>
        <w:lastRenderedPageBreak/>
        <w:t>为</w:t>
      </w:r>
      <w:r>
        <w:rPr>
          <w:rFonts w:ascii="仿宋_GB2312" w:hAnsi="楷体"/>
          <w:szCs w:val="30"/>
        </w:rPr>
        <w:t>鲲鹏计算</w:t>
      </w:r>
      <w:r>
        <w:rPr>
          <w:rFonts w:ascii="仿宋_GB2312" w:hAnsi="楷体" w:hint="eastAsia"/>
          <w:szCs w:val="30"/>
        </w:rPr>
        <w:t>产业生态重庆中心、光大集团、联合微电子等龙头企业，重点</w:t>
      </w:r>
      <w:r>
        <w:rPr>
          <w:rFonts w:ascii="仿宋_GB2312" w:hAnsi="楷体"/>
          <w:szCs w:val="30"/>
        </w:rPr>
        <w:t>围绕具有自主知识产权的国产操作系统、数据库、中间件等自主基础软件、新兴软件等，加强产业共性问题和核心关键技术攻关，提升软件研发能力</w:t>
      </w:r>
      <w:r>
        <w:rPr>
          <w:rFonts w:ascii="仿宋_GB2312" w:hAnsi="楷体" w:hint="eastAsia"/>
          <w:szCs w:val="30"/>
        </w:rPr>
        <w:t>。</w:t>
      </w:r>
      <w:r>
        <w:rPr>
          <w:rFonts w:ascii="仿宋_GB2312" w:hAnsi="楷体" w:hint="eastAsia"/>
          <w:b/>
          <w:szCs w:val="30"/>
        </w:rPr>
        <w:t>二</w:t>
      </w:r>
      <w:r>
        <w:rPr>
          <w:rFonts w:ascii="仿宋_GB2312" w:hAnsi="楷体"/>
          <w:b/>
          <w:szCs w:val="30"/>
        </w:rPr>
        <w:t>是</w:t>
      </w:r>
      <w:r>
        <w:rPr>
          <w:rFonts w:ascii="仿宋_GB2312" w:hAnsi="楷体"/>
          <w:b/>
          <w:szCs w:val="30"/>
        </w:rPr>
        <w:t>IC</w:t>
      </w:r>
      <w:r>
        <w:rPr>
          <w:rFonts w:ascii="仿宋_GB2312" w:hAnsi="楷体"/>
          <w:b/>
          <w:szCs w:val="30"/>
        </w:rPr>
        <w:t>（集成电路）设计</w:t>
      </w:r>
      <w:r>
        <w:rPr>
          <w:rFonts w:ascii="仿宋_GB2312" w:hAnsi="楷体" w:hint="eastAsia"/>
          <w:szCs w:val="30"/>
        </w:rPr>
        <w:t>。依托联合微电子、华润微电子、阿里平头哥中国芯设计及应用联合实验室、集成电路设计创新孵化中心等载体，</w:t>
      </w:r>
      <w:r>
        <w:rPr>
          <w:rFonts w:ascii="仿宋_GB2312" w:hAnsi="楷体"/>
          <w:szCs w:val="30"/>
        </w:rPr>
        <w:t>以</w:t>
      </w:r>
      <w:r>
        <w:rPr>
          <w:rFonts w:ascii="仿宋_GB2312" w:hAnsi="楷体"/>
          <w:szCs w:val="30"/>
        </w:rPr>
        <w:t>IC</w:t>
      </w:r>
      <w:r>
        <w:rPr>
          <w:rFonts w:ascii="仿宋_GB2312" w:hAnsi="楷体"/>
          <w:szCs w:val="30"/>
        </w:rPr>
        <w:t>设计、制造、封测融合</w:t>
      </w:r>
      <w:r>
        <w:rPr>
          <w:rFonts w:ascii="仿宋_GB2312" w:hAnsi="楷体" w:hint="eastAsia"/>
          <w:szCs w:val="30"/>
        </w:rPr>
        <w:t>协同</w:t>
      </w:r>
      <w:r>
        <w:rPr>
          <w:rFonts w:ascii="仿宋_GB2312" w:hAnsi="楷体"/>
          <w:szCs w:val="30"/>
        </w:rPr>
        <w:t>发展</w:t>
      </w:r>
      <w:r>
        <w:rPr>
          <w:rFonts w:ascii="仿宋_GB2312" w:hAnsi="楷体" w:hint="eastAsia"/>
          <w:szCs w:val="30"/>
        </w:rPr>
        <w:t>为主线</w:t>
      </w:r>
      <w:r>
        <w:rPr>
          <w:rFonts w:ascii="仿宋_GB2312" w:hAnsi="楷体"/>
          <w:szCs w:val="30"/>
        </w:rPr>
        <w:t>，</w:t>
      </w:r>
      <w:r>
        <w:rPr>
          <w:rFonts w:ascii="仿宋_GB2312" w:hAnsi="楷体" w:hint="eastAsia"/>
          <w:szCs w:val="30"/>
        </w:rPr>
        <w:t>重点发展汽车电子芯片、笔电芯片、物联网芯片、</w:t>
      </w:r>
      <w:r>
        <w:rPr>
          <w:rFonts w:ascii="仿宋_GB2312" w:hAnsi="楷体" w:hint="eastAsia"/>
          <w:szCs w:val="30"/>
        </w:rPr>
        <w:t>5</w:t>
      </w:r>
      <w:r>
        <w:rPr>
          <w:rFonts w:ascii="仿宋_GB2312" w:hAnsi="楷体"/>
          <w:szCs w:val="30"/>
        </w:rPr>
        <w:t>G</w:t>
      </w:r>
      <w:r>
        <w:rPr>
          <w:rFonts w:ascii="仿宋_GB2312" w:hAnsi="楷体"/>
          <w:szCs w:val="30"/>
        </w:rPr>
        <w:t>芯片等高端核心芯片领域的设计</w:t>
      </w:r>
      <w:r>
        <w:rPr>
          <w:rFonts w:ascii="仿宋_GB2312" w:hAnsi="楷体" w:hint="eastAsia"/>
          <w:szCs w:val="30"/>
        </w:rPr>
        <w:t>，打造新一代芯片研发高地。</w:t>
      </w:r>
      <w:r>
        <w:rPr>
          <w:rFonts w:ascii="仿宋_GB2312" w:hAnsi="楷体" w:hint="eastAsia"/>
          <w:b/>
          <w:szCs w:val="30"/>
        </w:rPr>
        <w:t>三是工业互联网</w:t>
      </w:r>
      <w:r>
        <w:rPr>
          <w:rFonts w:ascii="仿宋_GB2312" w:hAnsi="楷体" w:hint="eastAsia"/>
          <w:szCs w:val="30"/>
        </w:rPr>
        <w:t>。推动</w:t>
      </w:r>
      <w:r>
        <w:rPr>
          <w:rFonts w:ascii="仿宋_GB2312" w:hAnsi="楷体"/>
          <w:szCs w:val="30"/>
        </w:rPr>
        <w:t>物联网、大数据</w:t>
      </w:r>
      <w:r>
        <w:rPr>
          <w:rFonts w:ascii="仿宋_GB2312" w:hAnsi="楷体" w:hint="eastAsia"/>
          <w:szCs w:val="30"/>
        </w:rPr>
        <w:t>等新一代信息技术在工业企业升级、城市智慧管理和传统服务业中的深度应用，</w:t>
      </w:r>
      <w:r>
        <w:rPr>
          <w:rFonts w:ascii="仿宋_GB2312" w:hAnsi="楷体"/>
          <w:szCs w:val="30"/>
        </w:rPr>
        <w:t>加快</w:t>
      </w:r>
      <w:r>
        <w:rPr>
          <w:rFonts w:ascii="仿宋_GB2312" w:hAnsi="楷体" w:hint="eastAsia"/>
          <w:szCs w:val="30"/>
        </w:rPr>
        <w:t>开发</w:t>
      </w:r>
      <w:r>
        <w:rPr>
          <w:rFonts w:ascii="仿宋_GB2312" w:hAnsi="楷体"/>
          <w:szCs w:val="30"/>
        </w:rPr>
        <w:t>智能工厂、数字化车间、工业互联网等智能制造关键应用软件和解决方案</w:t>
      </w:r>
      <w:r>
        <w:rPr>
          <w:rFonts w:ascii="仿宋_GB2312" w:hAnsi="楷体" w:hint="eastAsia"/>
          <w:szCs w:val="30"/>
        </w:rPr>
        <w:t>。</w:t>
      </w:r>
      <w:r>
        <w:rPr>
          <w:rFonts w:ascii="仿宋_GB2312" w:hAnsi="楷体" w:hint="eastAsia"/>
          <w:b/>
          <w:szCs w:val="30"/>
        </w:rPr>
        <w:t>四是高端行业应用软件</w:t>
      </w:r>
      <w:r>
        <w:rPr>
          <w:rFonts w:ascii="仿宋_GB2312" w:hAnsi="楷体" w:hint="eastAsia"/>
          <w:szCs w:val="30"/>
        </w:rPr>
        <w:t>。</w:t>
      </w:r>
      <w:r>
        <w:rPr>
          <w:rFonts w:ascii="仿宋_GB2312" w:hAnsi="楷体"/>
          <w:szCs w:val="30"/>
        </w:rPr>
        <w:t>大力发展政府服务、民生服务、金融服务、电子商务、信息消费等行业应用软件和智慧城市一体化解决方案，</w:t>
      </w:r>
      <w:r>
        <w:rPr>
          <w:rFonts w:ascii="仿宋_GB2312" w:hAnsi="楷体" w:hint="eastAsia"/>
          <w:szCs w:val="30"/>
        </w:rPr>
        <w:t>支持</w:t>
      </w:r>
      <w:r>
        <w:rPr>
          <w:rFonts w:ascii="仿宋_GB2312" w:hAnsi="楷体"/>
          <w:szCs w:val="30"/>
        </w:rPr>
        <w:t>企业研发设计智慧交通</w:t>
      </w:r>
      <w:r>
        <w:rPr>
          <w:rFonts w:ascii="仿宋_GB2312" w:hAnsi="楷体" w:hint="eastAsia"/>
          <w:szCs w:val="30"/>
        </w:rPr>
        <w:t>、</w:t>
      </w:r>
      <w:r>
        <w:rPr>
          <w:rFonts w:ascii="仿宋_GB2312" w:hAnsi="楷体"/>
          <w:szCs w:val="30"/>
        </w:rPr>
        <w:t>智慧医疗</w:t>
      </w:r>
      <w:r>
        <w:rPr>
          <w:rFonts w:ascii="仿宋_GB2312" w:hAnsi="楷体" w:hint="eastAsia"/>
          <w:szCs w:val="30"/>
        </w:rPr>
        <w:t>、</w:t>
      </w:r>
      <w:r>
        <w:rPr>
          <w:rFonts w:ascii="仿宋_GB2312" w:hAnsi="楷体"/>
          <w:szCs w:val="30"/>
        </w:rPr>
        <w:t>智慧教育</w:t>
      </w:r>
      <w:r>
        <w:rPr>
          <w:rFonts w:ascii="仿宋_GB2312" w:hAnsi="楷体" w:hint="eastAsia"/>
          <w:szCs w:val="30"/>
        </w:rPr>
        <w:t>、</w:t>
      </w:r>
      <w:r>
        <w:rPr>
          <w:rFonts w:ascii="仿宋_GB2312" w:hAnsi="楷体"/>
          <w:szCs w:val="30"/>
        </w:rPr>
        <w:t>智慧城市等领域的</w:t>
      </w:r>
      <w:r>
        <w:rPr>
          <w:rFonts w:ascii="仿宋_GB2312" w:hAnsi="楷体" w:hint="eastAsia"/>
          <w:szCs w:val="30"/>
        </w:rPr>
        <w:t>中控</w:t>
      </w:r>
      <w:r>
        <w:rPr>
          <w:rFonts w:ascii="仿宋_GB2312" w:hAnsi="楷体"/>
          <w:szCs w:val="30"/>
        </w:rPr>
        <w:t>信息平台</w:t>
      </w:r>
      <w:r>
        <w:rPr>
          <w:rFonts w:ascii="仿宋_GB2312" w:hAnsi="楷体" w:hint="eastAsia"/>
          <w:szCs w:val="30"/>
        </w:rPr>
        <w:t>、人机交互式软件、</w:t>
      </w:r>
      <w:r>
        <w:rPr>
          <w:rFonts w:ascii="仿宋_GB2312" w:hAnsi="楷体"/>
          <w:szCs w:val="30"/>
        </w:rPr>
        <w:t>嵌入式软件</w:t>
      </w:r>
      <w:r>
        <w:rPr>
          <w:rFonts w:ascii="仿宋_GB2312" w:hAnsi="楷体" w:hint="eastAsia"/>
          <w:szCs w:val="30"/>
        </w:rPr>
        <w:t>、</w:t>
      </w:r>
      <w:r>
        <w:rPr>
          <w:rFonts w:ascii="仿宋_GB2312" w:hAnsi="楷体"/>
          <w:szCs w:val="30"/>
        </w:rPr>
        <w:t>大数据</w:t>
      </w:r>
      <w:r>
        <w:rPr>
          <w:rFonts w:ascii="仿宋_GB2312" w:hAnsi="楷体" w:hint="eastAsia"/>
          <w:szCs w:val="30"/>
        </w:rPr>
        <w:t>查询引擎、流式和迭代计算程序、定制数据库等核心模块，</w:t>
      </w:r>
      <w:r>
        <w:rPr>
          <w:rFonts w:ascii="仿宋_GB2312" w:hAnsi="楷体"/>
          <w:szCs w:val="30"/>
        </w:rPr>
        <w:t>推动行业应用软件向服务化、平台化转型。</w:t>
      </w:r>
      <w:r>
        <w:rPr>
          <w:rFonts w:ascii="仿宋_GB2312" w:hAnsi="楷体" w:hint="eastAsia"/>
          <w:b/>
          <w:szCs w:val="30"/>
        </w:rPr>
        <w:t>五是新兴软件</w:t>
      </w:r>
      <w:r>
        <w:rPr>
          <w:rFonts w:ascii="仿宋_GB2312" w:hAnsi="楷体" w:hint="eastAsia"/>
          <w:szCs w:val="30"/>
        </w:rPr>
        <w:t>。加快发展面向未来智慧城市需求和未来多元高端生活需求的新一代软件数字信息产品，重点发展基于大数据、云计算</w:t>
      </w:r>
      <w:r>
        <w:rPr>
          <w:rFonts w:ascii="仿宋_GB2312" w:hAnsi="楷体"/>
          <w:szCs w:val="30"/>
        </w:rPr>
        <w:t>、</w:t>
      </w:r>
      <w:r>
        <w:rPr>
          <w:rFonts w:ascii="仿宋_GB2312" w:hAnsi="楷体"/>
          <w:szCs w:val="30"/>
        </w:rPr>
        <w:t>5G</w:t>
      </w:r>
      <w:r>
        <w:rPr>
          <w:rFonts w:ascii="仿宋_GB2312" w:hAnsi="楷体" w:hint="eastAsia"/>
          <w:szCs w:val="30"/>
        </w:rPr>
        <w:t>应用、人工智能、</w:t>
      </w:r>
      <w:r>
        <w:rPr>
          <w:rFonts w:ascii="仿宋_GB2312" w:hAnsi="楷体" w:hint="eastAsia"/>
          <w:szCs w:val="30"/>
        </w:rPr>
        <w:lastRenderedPageBreak/>
        <w:t>区块链、机器人、虚拟现实</w:t>
      </w:r>
      <w:r>
        <w:rPr>
          <w:rFonts w:ascii="仿宋_GB2312" w:hAnsi="楷体" w:hint="eastAsia"/>
          <w:szCs w:val="30"/>
        </w:rPr>
        <w:t>/</w:t>
      </w:r>
      <w:r>
        <w:rPr>
          <w:rFonts w:ascii="仿宋_GB2312" w:hAnsi="楷体" w:hint="eastAsia"/>
          <w:szCs w:val="30"/>
        </w:rPr>
        <w:t>增强现实</w:t>
      </w:r>
      <w:r>
        <w:rPr>
          <w:rFonts w:ascii="仿宋_GB2312" w:hAnsi="楷体" w:hint="eastAsia"/>
          <w:szCs w:val="30"/>
        </w:rPr>
        <w:t>/</w:t>
      </w:r>
      <w:r>
        <w:rPr>
          <w:rFonts w:ascii="仿宋_GB2312" w:hAnsi="楷体" w:hint="eastAsia"/>
          <w:szCs w:val="30"/>
        </w:rPr>
        <w:t>混合现实、神经网络元等前沿领域的核心软件和关键算法的开发。</w:t>
      </w:r>
    </w:p>
    <w:p w:rsidR="00F9707F" w:rsidRDefault="00DE6B50">
      <w:pPr>
        <w:spacing w:line="640" w:lineRule="exact"/>
        <w:ind w:firstLineChars="200" w:firstLine="643"/>
        <w:rPr>
          <w:rFonts w:ascii="仿宋_GB2312" w:hAnsi="楷体"/>
          <w:szCs w:val="30"/>
        </w:rPr>
      </w:pPr>
      <w:r>
        <w:rPr>
          <w:rFonts w:ascii="楷体" w:eastAsia="楷体" w:hAnsi="楷体" w:hint="eastAsia"/>
          <w:b/>
          <w:bCs/>
          <w:szCs w:val="30"/>
        </w:rPr>
        <w:t>关键路径：</w:t>
      </w:r>
      <w:r>
        <w:rPr>
          <w:rFonts w:ascii="仿宋_GB2312" w:hAnsi="楷体" w:hint="eastAsia"/>
          <w:b/>
          <w:szCs w:val="30"/>
        </w:rPr>
        <w:t>一是加快打造高质量的产业载体。</w:t>
      </w:r>
      <w:r>
        <w:rPr>
          <w:rFonts w:ascii="仿宋_GB2312" w:hAnsi="楷体" w:hint="eastAsia"/>
          <w:szCs w:val="30"/>
        </w:rPr>
        <w:t>加快建设智慧</w:t>
      </w:r>
      <w:r>
        <w:rPr>
          <w:rFonts w:ascii="仿宋_GB2312" w:hAnsi="楷体"/>
          <w:szCs w:val="30"/>
        </w:rPr>
        <w:t>芯城</w:t>
      </w:r>
      <w:r>
        <w:rPr>
          <w:rFonts w:ascii="仿宋_GB2312" w:hAnsi="楷体" w:hint="eastAsia"/>
          <w:szCs w:val="30"/>
        </w:rPr>
        <w:t>、中电</w:t>
      </w:r>
      <w:r>
        <w:rPr>
          <w:rFonts w:ascii="仿宋_GB2312" w:hAnsi="楷体"/>
          <w:szCs w:val="30"/>
        </w:rPr>
        <w:t>信创产业基地和西永微电子科创街</w:t>
      </w:r>
      <w:r>
        <w:rPr>
          <w:rFonts w:ascii="仿宋_GB2312" w:hAnsi="楷体" w:hint="eastAsia"/>
          <w:szCs w:val="30"/>
        </w:rPr>
        <w:t>、科学谷</w:t>
      </w:r>
      <w:r>
        <w:rPr>
          <w:rFonts w:ascii="仿宋_GB2312" w:hAnsi="楷体"/>
          <w:szCs w:val="30"/>
        </w:rPr>
        <w:t>等产业载体</w:t>
      </w:r>
      <w:r>
        <w:rPr>
          <w:rFonts w:ascii="仿宋_GB2312" w:hAnsi="楷体" w:hint="eastAsia"/>
          <w:szCs w:val="30"/>
        </w:rPr>
        <w:t>。规划打造面向未来软件信息服务业的高质量信息产业基地。引进园区专业运营商，加强专业化品牌化运作。争创国家级、市级软件信息服务基地。</w:t>
      </w:r>
      <w:r>
        <w:rPr>
          <w:rFonts w:ascii="仿宋_GB2312" w:hAnsi="楷体" w:hint="eastAsia"/>
          <w:b/>
          <w:szCs w:val="30"/>
        </w:rPr>
        <w:t>二是引进和培育软件信息服务龙头企业。</w:t>
      </w:r>
      <w:r>
        <w:rPr>
          <w:rFonts w:ascii="仿宋_GB2312" w:hAnsi="楷体" w:hint="eastAsia"/>
          <w:szCs w:val="30"/>
        </w:rPr>
        <w:t>着力引进全国软件业务百强企业、软件和信息技术服务综合竞争力百强、中国互联网百强等企业，</w:t>
      </w:r>
      <w:r>
        <w:rPr>
          <w:rFonts w:ascii="仿宋_GB2312" w:hAnsi="楷体"/>
          <w:szCs w:val="30"/>
        </w:rPr>
        <w:t>支持</w:t>
      </w:r>
      <w:r>
        <w:rPr>
          <w:rFonts w:ascii="仿宋_GB2312" w:hAnsi="楷体" w:hint="eastAsia"/>
          <w:szCs w:val="30"/>
        </w:rPr>
        <w:t>国内外软件信息服务和大数据服务龙头企业在区内</w:t>
      </w:r>
      <w:r>
        <w:rPr>
          <w:rFonts w:ascii="仿宋_GB2312" w:hAnsi="楷体"/>
          <w:szCs w:val="30"/>
        </w:rPr>
        <w:t>设立</w:t>
      </w:r>
      <w:r>
        <w:rPr>
          <w:rFonts w:ascii="仿宋_GB2312" w:hAnsi="楷体" w:hint="eastAsia"/>
          <w:szCs w:val="30"/>
        </w:rPr>
        <w:t>地区</w:t>
      </w:r>
      <w:r>
        <w:rPr>
          <w:rFonts w:ascii="仿宋_GB2312" w:hAnsi="楷体"/>
          <w:szCs w:val="30"/>
        </w:rPr>
        <w:t>总部、研发中心、数据中心等。</w:t>
      </w:r>
      <w:r>
        <w:rPr>
          <w:rFonts w:ascii="仿宋_GB2312" w:hAnsi="楷体" w:hint="eastAsia"/>
          <w:szCs w:val="30"/>
        </w:rPr>
        <w:t>支持中国电子、</w:t>
      </w:r>
      <w:r>
        <w:rPr>
          <w:rFonts w:ascii="仿宋_GB2312" w:hAnsi="楷体"/>
          <w:szCs w:val="30"/>
        </w:rPr>
        <w:t>英特尔</w:t>
      </w:r>
      <w:r>
        <w:rPr>
          <w:rFonts w:ascii="仿宋_GB2312" w:hAnsi="楷体" w:hint="eastAsia"/>
          <w:szCs w:val="30"/>
        </w:rPr>
        <w:t>、华为等行业龙头企业与科研院所相关专业加强合作，共建技术研发平台和产业孵化器，提升龙头企业对本地软件产业发展的带动能力。鼓励重点软件企业在基础软件、工业软件、大数据、云计算、区块链、物联网、人工智能等领域加大研发投入，突破国际技术垄断。支持软件和信息服务企业牵头或主导制定国际、国家、行业和地方标准。</w:t>
      </w:r>
      <w:r>
        <w:rPr>
          <w:rFonts w:ascii="仿宋_GB2312" w:hAnsi="楷体" w:hint="eastAsia"/>
          <w:b/>
          <w:szCs w:val="30"/>
        </w:rPr>
        <w:t>三是积极推进软件信息服务领域的应用示范。</w:t>
      </w:r>
      <w:r>
        <w:rPr>
          <w:rFonts w:ascii="仿宋_GB2312" w:hAnsi="楷体" w:hint="eastAsia"/>
          <w:szCs w:val="30"/>
        </w:rPr>
        <w:t>积极向信息服务企业开放市政管理信息应用场景，编制发布软件服务需求</w:t>
      </w:r>
      <w:r>
        <w:rPr>
          <w:rFonts w:ascii="仿宋_GB2312" w:hAnsi="楷体"/>
          <w:szCs w:val="30"/>
        </w:rPr>
        <w:t>清单，鼓励软件企业开发对应的软件产品、服务</w:t>
      </w:r>
      <w:r>
        <w:rPr>
          <w:rFonts w:ascii="仿宋_GB2312" w:hAnsi="楷体" w:hint="eastAsia"/>
          <w:szCs w:val="30"/>
        </w:rPr>
        <w:t>产品</w:t>
      </w:r>
      <w:r>
        <w:rPr>
          <w:rFonts w:ascii="仿宋_GB2312" w:hAnsi="楷体"/>
          <w:szCs w:val="30"/>
        </w:rPr>
        <w:t>和解决方案</w:t>
      </w:r>
      <w:r>
        <w:rPr>
          <w:rFonts w:ascii="仿宋_GB2312" w:hAnsi="楷体" w:hint="eastAsia"/>
          <w:szCs w:val="30"/>
        </w:rPr>
        <w:t>，推荐优先列入《重庆市市级政府集中采购目录及采购限额标准》，</w:t>
      </w:r>
      <w:r>
        <w:rPr>
          <w:rFonts w:ascii="仿宋_GB2312" w:hAnsi="楷体" w:hint="eastAsia"/>
          <w:szCs w:val="30"/>
        </w:rPr>
        <w:lastRenderedPageBreak/>
        <w:t>鼓励采购软件和信息服务企业自主研发、具有明确自主知识产权的软件产品。建立工业企业和信息服务企业深度合作，鼓励开发一批可复制推广的工业互联网信息服务项目。</w:t>
      </w:r>
    </w:p>
    <w:p w:rsidR="00F9707F" w:rsidRDefault="00DE6B50">
      <w:pPr>
        <w:spacing w:line="640" w:lineRule="exact"/>
        <w:ind w:firstLineChars="200" w:firstLine="643"/>
        <w:rPr>
          <w:rFonts w:ascii="仿宋_GB2312" w:hAnsi="楷体"/>
          <w:szCs w:val="30"/>
        </w:rPr>
      </w:pPr>
      <w:r>
        <w:rPr>
          <w:rFonts w:ascii="楷体" w:eastAsia="楷体" w:hAnsi="楷体" w:hint="eastAsia"/>
          <w:b/>
          <w:bCs/>
          <w:szCs w:val="30"/>
        </w:rPr>
        <w:t>空间布局：</w:t>
      </w:r>
      <w:r>
        <w:rPr>
          <w:rFonts w:ascii="仿宋_GB2312" w:hAnsi="楷体" w:hint="eastAsia"/>
          <w:szCs w:val="30"/>
        </w:rPr>
        <w:t>围绕做大重庆高新软件园和重庆信创产业基地，优化空间布局。重点布局在智慧芯城、信创产业示范基地、西永微电子科创街、</w:t>
      </w:r>
      <w:r>
        <w:rPr>
          <w:rFonts w:ascii="仿宋_GB2312" w:hAnsi="楷体"/>
          <w:szCs w:val="30"/>
        </w:rPr>
        <w:t>金凤</w:t>
      </w:r>
      <w:r>
        <w:rPr>
          <w:rFonts w:ascii="仿宋_GB2312" w:hAnsi="楷体" w:hint="eastAsia"/>
          <w:szCs w:val="30"/>
        </w:rPr>
        <w:t>片区等，产业用地合计</w:t>
      </w:r>
      <w:r>
        <w:rPr>
          <w:rFonts w:ascii="仿宋_GB2312" w:hAnsi="楷体"/>
          <w:szCs w:val="30"/>
        </w:rPr>
        <w:t>1889</w:t>
      </w:r>
      <w:r>
        <w:rPr>
          <w:rFonts w:ascii="仿宋_GB2312" w:hAnsi="楷体"/>
          <w:szCs w:val="30"/>
        </w:rPr>
        <w:t>亩</w:t>
      </w:r>
      <w:r>
        <w:rPr>
          <w:rFonts w:ascii="仿宋_GB2312" w:hAnsi="楷体" w:hint="eastAsia"/>
          <w:szCs w:val="30"/>
        </w:rPr>
        <w:t>。重点项目包括：华为鲲鹏计算生态项目、联合微电子中心、英特尔</w:t>
      </w:r>
      <w:r>
        <w:rPr>
          <w:rFonts w:ascii="仿宋_GB2312" w:hAnsi="楷体"/>
          <w:szCs w:val="30"/>
        </w:rPr>
        <w:t>FPGA</w:t>
      </w:r>
      <w:r>
        <w:rPr>
          <w:rFonts w:ascii="仿宋_GB2312" w:hAnsi="楷体"/>
          <w:szCs w:val="30"/>
        </w:rPr>
        <w:t>创新中心、平头哥中国芯设计及应用联合实验室、重庆集成电路设计创新孵化中心、</w:t>
      </w:r>
      <w:r>
        <w:rPr>
          <w:rFonts w:ascii="仿宋_GB2312" w:hAnsi="楷体" w:hint="eastAsia"/>
          <w:szCs w:val="30"/>
        </w:rPr>
        <w:t>中国移动（西永）数据中心、重庆软件园项目、大华集团人工智能及信息安全总部项目、明略科技集团西南区域总部等</w:t>
      </w:r>
      <w:r>
        <w:rPr>
          <w:rFonts w:ascii="仿宋_GB2312" w:hAnsi="楷体"/>
          <w:szCs w:val="30"/>
        </w:rPr>
        <w:t>。</w:t>
      </w:r>
    </w:p>
    <w:p w:rsidR="00F9707F" w:rsidRDefault="00F9707F">
      <w:pPr>
        <w:pStyle w:val="a0"/>
      </w:pPr>
    </w:p>
    <w:p w:rsidR="00F9707F" w:rsidRDefault="00DE6B50">
      <w:pPr>
        <w:pStyle w:val="a0"/>
        <w:ind w:firstLineChars="800" w:firstLine="1920"/>
      </w:pPr>
      <w:r>
        <w:rPr>
          <w:rFonts w:ascii="宋体" w:eastAsia="宋体" w:hAnsi="宋体"/>
          <w:sz w:val="24"/>
        </w:rPr>
        <w:t>表3</w:t>
      </w:r>
      <w:r>
        <w:rPr>
          <w:rFonts w:ascii="宋体" w:eastAsia="宋体" w:hAnsi="宋体" w:hint="eastAsia"/>
          <w:sz w:val="24"/>
        </w:rPr>
        <w:t>：软件信息重点平台项目列表</w:t>
      </w:r>
    </w:p>
    <w:tbl>
      <w:tblPr>
        <w:tblStyle w:val="82"/>
        <w:tblW w:w="9215" w:type="dxa"/>
        <w:jc w:val="center"/>
        <w:tblLayout w:type="fixed"/>
        <w:tblLook w:val="04A0" w:firstRow="1" w:lastRow="0" w:firstColumn="1" w:lastColumn="0" w:noHBand="0" w:noVBand="1"/>
      </w:tblPr>
      <w:tblGrid>
        <w:gridCol w:w="2694"/>
        <w:gridCol w:w="1701"/>
        <w:gridCol w:w="2268"/>
        <w:gridCol w:w="1470"/>
        <w:gridCol w:w="1082"/>
      </w:tblGrid>
      <w:tr w:rsidR="00F9707F">
        <w:trPr>
          <w:jc w:val="center"/>
        </w:trPr>
        <w:tc>
          <w:tcPr>
            <w:tcW w:w="2694"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项目名称</w:t>
            </w:r>
          </w:p>
        </w:tc>
        <w:tc>
          <w:tcPr>
            <w:tcW w:w="1701"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所属区域</w:t>
            </w:r>
          </w:p>
        </w:tc>
        <w:tc>
          <w:tcPr>
            <w:tcW w:w="2268"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建设功能</w:t>
            </w:r>
          </w:p>
        </w:tc>
        <w:tc>
          <w:tcPr>
            <w:tcW w:w="1470" w:type="dxa"/>
            <w:vAlign w:val="center"/>
          </w:tcPr>
          <w:p w:rsidR="00F9707F" w:rsidRDefault="00DE6B50">
            <w:pPr>
              <w:spacing w:line="240" w:lineRule="auto"/>
              <w:jc w:val="center"/>
              <w:rPr>
                <w:rFonts w:ascii="宋体" w:eastAsia="宋体" w:hAnsi="宋体"/>
                <w:b/>
                <w:sz w:val="24"/>
              </w:rPr>
            </w:pPr>
            <w:r>
              <w:rPr>
                <w:rFonts w:ascii="宋体" w:eastAsia="宋体" w:hAnsi="宋体" w:hint="eastAsia"/>
                <w:b/>
                <w:sz w:val="24"/>
              </w:rPr>
              <w:t>占地面积（亩）</w:t>
            </w:r>
          </w:p>
        </w:tc>
        <w:tc>
          <w:tcPr>
            <w:tcW w:w="1082" w:type="dxa"/>
            <w:vAlign w:val="center"/>
          </w:tcPr>
          <w:p w:rsidR="00F9707F" w:rsidRDefault="00DE6B50">
            <w:pPr>
              <w:spacing w:line="240" w:lineRule="auto"/>
              <w:jc w:val="center"/>
              <w:rPr>
                <w:rFonts w:ascii="宋体" w:eastAsia="宋体" w:hAnsi="宋体"/>
                <w:b/>
                <w:sz w:val="24"/>
              </w:rPr>
            </w:pPr>
            <w:r>
              <w:rPr>
                <w:rFonts w:ascii="宋体" w:eastAsia="宋体" w:hAnsi="宋体" w:hint="eastAsia"/>
                <w:b/>
                <w:sz w:val="24"/>
              </w:rPr>
              <w:t>值目标（亿元）</w:t>
            </w:r>
          </w:p>
        </w:tc>
      </w:tr>
      <w:tr w:rsidR="00F9707F">
        <w:trPr>
          <w:trHeight w:val="586"/>
          <w:jc w:val="center"/>
        </w:trPr>
        <w:tc>
          <w:tcPr>
            <w:tcW w:w="269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重庆信创软件园项目</w:t>
            </w:r>
          </w:p>
        </w:tc>
        <w:tc>
          <w:tcPr>
            <w:tcW w:w="170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大学城</w:t>
            </w:r>
          </w:p>
        </w:tc>
        <w:tc>
          <w:tcPr>
            <w:tcW w:w="226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电子信息技术</w:t>
            </w:r>
          </w:p>
        </w:tc>
        <w:tc>
          <w:tcPr>
            <w:tcW w:w="147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7</w:t>
            </w:r>
          </w:p>
        </w:tc>
        <w:tc>
          <w:tcPr>
            <w:tcW w:w="1082"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2</w:t>
            </w:r>
          </w:p>
        </w:tc>
      </w:tr>
      <w:tr w:rsidR="00F9707F">
        <w:trPr>
          <w:trHeight w:val="513"/>
          <w:jc w:val="center"/>
        </w:trPr>
        <w:tc>
          <w:tcPr>
            <w:tcW w:w="269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智慧芯城</w:t>
            </w:r>
          </w:p>
        </w:tc>
        <w:tc>
          <w:tcPr>
            <w:tcW w:w="170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大学城</w:t>
            </w:r>
          </w:p>
        </w:tc>
        <w:tc>
          <w:tcPr>
            <w:tcW w:w="226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软件产业基地</w:t>
            </w:r>
          </w:p>
        </w:tc>
        <w:tc>
          <w:tcPr>
            <w:tcW w:w="147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3</w:t>
            </w:r>
            <w:r>
              <w:rPr>
                <w:rFonts w:ascii="宋体" w:eastAsia="宋体" w:hAnsi="宋体"/>
                <w:sz w:val="24"/>
              </w:rPr>
              <w:t>00</w:t>
            </w:r>
          </w:p>
        </w:tc>
        <w:tc>
          <w:tcPr>
            <w:tcW w:w="1082"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3</w:t>
            </w:r>
            <w:r>
              <w:rPr>
                <w:rFonts w:ascii="宋体" w:eastAsia="宋体" w:hAnsi="宋体"/>
                <w:sz w:val="24"/>
              </w:rPr>
              <w:t>0</w:t>
            </w:r>
          </w:p>
        </w:tc>
      </w:tr>
      <w:tr w:rsidR="00F9707F">
        <w:trPr>
          <w:trHeight w:val="548"/>
          <w:jc w:val="center"/>
        </w:trPr>
        <w:tc>
          <w:tcPr>
            <w:tcW w:w="269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信创产业示范基地</w:t>
            </w:r>
          </w:p>
        </w:tc>
        <w:tc>
          <w:tcPr>
            <w:tcW w:w="170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大学城</w:t>
            </w:r>
          </w:p>
        </w:tc>
        <w:tc>
          <w:tcPr>
            <w:tcW w:w="226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电子信息产业基地</w:t>
            </w:r>
          </w:p>
        </w:tc>
        <w:tc>
          <w:tcPr>
            <w:tcW w:w="147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87</w:t>
            </w:r>
          </w:p>
        </w:tc>
        <w:tc>
          <w:tcPr>
            <w:tcW w:w="1082"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2</w:t>
            </w:r>
            <w:r>
              <w:rPr>
                <w:rFonts w:ascii="宋体" w:eastAsia="宋体" w:hAnsi="宋体"/>
                <w:sz w:val="24"/>
              </w:rPr>
              <w:t>0</w:t>
            </w:r>
          </w:p>
        </w:tc>
      </w:tr>
      <w:tr w:rsidR="00F9707F">
        <w:trPr>
          <w:trHeight w:val="570"/>
          <w:jc w:val="center"/>
        </w:trPr>
        <w:tc>
          <w:tcPr>
            <w:tcW w:w="269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信创产业示范基地二期</w:t>
            </w:r>
          </w:p>
        </w:tc>
        <w:tc>
          <w:tcPr>
            <w:tcW w:w="170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大学城</w:t>
            </w:r>
          </w:p>
        </w:tc>
        <w:tc>
          <w:tcPr>
            <w:tcW w:w="226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电子信息产业基地</w:t>
            </w:r>
          </w:p>
        </w:tc>
        <w:tc>
          <w:tcPr>
            <w:tcW w:w="147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4</w:t>
            </w:r>
            <w:r>
              <w:rPr>
                <w:rFonts w:ascii="宋体" w:eastAsia="宋体" w:hAnsi="宋体"/>
                <w:sz w:val="24"/>
              </w:rPr>
              <w:t>00</w:t>
            </w:r>
          </w:p>
        </w:tc>
        <w:tc>
          <w:tcPr>
            <w:tcW w:w="1082"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0</w:t>
            </w:r>
          </w:p>
        </w:tc>
      </w:tr>
      <w:tr w:rsidR="00F9707F">
        <w:trPr>
          <w:jc w:val="center"/>
        </w:trPr>
        <w:tc>
          <w:tcPr>
            <w:tcW w:w="269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中国移动（西永）</w:t>
            </w:r>
          </w:p>
          <w:p w:rsidR="00F9707F" w:rsidRDefault="00DE6B50">
            <w:pPr>
              <w:spacing w:line="240" w:lineRule="auto"/>
              <w:jc w:val="center"/>
              <w:rPr>
                <w:rFonts w:ascii="宋体" w:eastAsia="宋体" w:hAnsi="宋体"/>
                <w:sz w:val="24"/>
              </w:rPr>
            </w:pPr>
            <w:r>
              <w:rPr>
                <w:rFonts w:ascii="宋体" w:eastAsia="宋体" w:hAnsi="宋体" w:hint="eastAsia"/>
                <w:sz w:val="24"/>
              </w:rPr>
              <w:t>数据中心</w:t>
            </w:r>
          </w:p>
        </w:tc>
        <w:tc>
          <w:tcPr>
            <w:tcW w:w="170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西永综保区</w:t>
            </w:r>
          </w:p>
          <w:p w:rsidR="00F9707F" w:rsidRDefault="00DE6B50">
            <w:pPr>
              <w:spacing w:line="240" w:lineRule="auto"/>
              <w:jc w:val="center"/>
              <w:rPr>
                <w:rFonts w:ascii="宋体" w:eastAsia="宋体" w:hAnsi="宋体"/>
                <w:sz w:val="24"/>
              </w:rPr>
            </w:pPr>
            <w:r>
              <w:rPr>
                <w:rFonts w:ascii="宋体" w:eastAsia="宋体" w:hAnsi="宋体" w:hint="eastAsia"/>
                <w:sz w:val="24"/>
              </w:rPr>
              <w:t>B区</w:t>
            </w:r>
          </w:p>
        </w:tc>
        <w:tc>
          <w:tcPr>
            <w:tcW w:w="226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信息服务</w:t>
            </w:r>
          </w:p>
        </w:tc>
        <w:tc>
          <w:tcPr>
            <w:tcW w:w="147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5</w:t>
            </w:r>
          </w:p>
        </w:tc>
        <w:tc>
          <w:tcPr>
            <w:tcW w:w="1082"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p>
        </w:tc>
      </w:tr>
      <w:tr w:rsidR="00F9707F">
        <w:trPr>
          <w:trHeight w:val="489"/>
          <w:jc w:val="center"/>
        </w:trPr>
        <w:tc>
          <w:tcPr>
            <w:tcW w:w="269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金凤软件信息片区</w:t>
            </w:r>
          </w:p>
        </w:tc>
        <w:tc>
          <w:tcPr>
            <w:tcW w:w="170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金凤镇</w:t>
            </w:r>
          </w:p>
        </w:tc>
        <w:tc>
          <w:tcPr>
            <w:tcW w:w="226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软件信息</w:t>
            </w:r>
          </w:p>
        </w:tc>
        <w:tc>
          <w:tcPr>
            <w:tcW w:w="147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5</w:t>
            </w:r>
            <w:r>
              <w:rPr>
                <w:rFonts w:ascii="宋体" w:eastAsia="宋体" w:hAnsi="宋体"/>
                <w:sz w:val="24"/>
              </w:rPr>
              <w:t>00</w:t>
            </w:r>
          </w:p>
        </w:tc>
        <w:tc>
          <w:tcPr>
            <w:tcW w:w="1082"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5</w:t>
            </w:r>
            <w:r>
              <w:rPr>
                <w:rFonts w:ascii="宋体" w:eastAsia="宋体" w:hAnsi="宋体"/>
                <w:sz w:val="24"/>
              </w:rPr>
              <w:t>0</w:t>
            </w:r>
          </w:p>
        </w:tc>
      </w:tr>
      <w:tr w:rsidR="00F9707F">
        <w:trPr>
          <w:trHeight w:val="552"/>
          <w:jc w:val="center"/>
        </w:trPr>
        <w:tc>
          <w:tcPr>
            <w:tcW w:w="269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西永微电子科创街</w:t>
            </w:r>
          </w:p>
        </w:tc>
        <w:tc>
          <w:tcPr>
            <w:tcW w:w="1701"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西永</w:t>
            </w:r>
          </w:p>
        </w:tc>
        <w:tc>
          <w:tcPr>
            <w:tcW w:w="226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软件信息</w:t>
            </w:r>
          </w:p>
        </w:tc>
        <w:tc>
          <w:tcPr>
            <w:tcW w:w="147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5</w:t>
            </w:r>
            <w:r>
              <w:rPr>
                <w:rFonts w:ascii="宋体" w:eastAsia="宋体" w:hAnsi="宋体"/>
                <w:sz w:val="24"/>
              </w:rPr>
              <w:t>00</w:t>
            </w:r>
          </w:p>
        </w:tc>
        <w:tc>
          <w:tcPr>
            <w:tcW w:w="1082"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3</w:t>
            </w:r>
            <w:r>
              <w:rPr>
                <w:rFonts w:ascii="宋体" w:eastAsia="宋体" w:hAnsi="宋体"/>
                <w:sz w:val="24"/>
              </w:rPr>
              <w:t>0</w:t>
            </w:r>
          </w:p>
        </w:tc>
      </w:tr>
    </w:tbl>
    <w:p w:rsidR="00F9707F" w:rsidRDefault="00DE6B50">
      <w:pPr>
        <w:pStyle w:val="2"/>
        <w:spacing w:line="640" w:lineRule="exact"/>
        <w:ind w:firstLine="640"/>
        <w:rPr>
          <w:b w:val="0"/>
        </w:rPr>
      </w:pPr>
      <w:bookmarkStart w:id="51" w:name="_Toc4270"/>
      <w:bookmarkStart w:id="52" w:name="_Toc5498"/>
      <w:bookmarkStart w:id="53" w:name="_Toc20497"/>
      <w:bookmarkStart w:id="54" w:name="_Toc61271786"/>
      <w:bookmarkStart w:id="55" w:name="_Toc1256"/>
      <w:bookmarkStart w:id="56" w:name="_Toc27919"/>
      <w:r>
        <w:rPr>
          <w:rFonts w:hint="eastAsia"/>
          <w:b w:val="0"/>
        </w:rPr>
        <w:t>（三）</w:t>
      </w:r>
      <w:r>
        <w:rPr>
          <w:b w:val="0"/>
        </w:rPr>
        <w:t>着力发展检验检测，打响国家检验检测基地品牌</w:t>
      </w:r>
      <w:bookmarkEnd w:id="51"/>
      <w:bookmarkEnd w:id="52"/>
      <w:bookmarkEnd w:id="53"/>
      <w:bookmarkEnd w:id="54"/>
    </w:p>
    <w:p w:rsidR="00F9707F" w:rsidRDefault="00DE6B50">
      <w:pPr>
        <w:spacing w:line="640" w:lineRule="exact"/>
        <w:ind w:firstLineChars="200" w:firstLine="640"/>
        <w:rPr>
          <w:rFonts w:ascii="仿宋_GB2312" w:hAnsi="楷体"/>
          <w:szCs w:val="30"/>
        </w:rPr>
      </w:pPr>
      <w:r>
        <w:rPr>
          <w:rFonts w:ascii="仿宋_GB2312" w:hAnsi="楷体" w:hint="eastAsia"/>
          <w:szCs w:val="30"/>
        </w:rPr>
        <w:t>立足重庆高新区国家级质检基地建设，</w:t>
      </w:r>
      <w:r>
        <w:rPr>
          <w:rFonts w:ascii="仿宋_GB2312" w:hAnsi="楷体"/>
          <w:szCs w:val="30"/>
        </w:rPr>
        <w:t>重点聚焦新能源</w:t>
      </w:r>
      <w:r>
        <w:rPr>
          <w:rFonts w:ascii="仿宋_GB2312" w:hAnsi="楷体"/>
          <w:szCs w:val="30"/>
        </w:rPr>
        <w:lastRenderedPageBreak/>
        <w:t>及智能网联汽车检测、生物医药及医疗器械检测、集成电路及电子元器件检测、仪器仪表检测、智能装备检测</w:t>
      </w:r>
      <w:r>
        <w:rPr>
          <w:rFonts w:ascii="仿宋_GB2312" w:hAnsi="楷体" w:hint="eastAsia"/>
          <w:szCs w:val="30"/>
        </w:rPr>
        <w:t>五</w:t>
      </w:r>
      <w:r>
        <w:rPr>
          <w:rFonts w:ascii="仿宋_GB2312" w:hAnsi="楷体"/>
          <w:szCs w:val="30"/>
        </w:rPr>
        <w:t>大领域</w:t>
      </w:r>
      <w:r>
        <w:rPr>
          <w:rFonts w:ascii="仿宋_GB2312" w:hAnsi="楷体" w:hint="eastAsia"/>
          <w:szCs w:val="30"/>
        </w:rPr>
        <w:t>，积极推动检验检测在服务能级上、服务半径上、服务模式上不断提升，提高全生命周期的综合检测认证服务能力。</w:t>
      </w:r>
      <w:r>
        <w:rPr>
          <w:szCs w:val="30"/>
        </w:rPr>
        <w:t>力争</w:t>
      </w:r>
      <w:r>
        <w:rPr>
          <w:szCs w:val="30"/>
        </w:rPr>
        <w:t>2025</w:t>
      </w:r>
      <w:r>
        <w:rPr>
          <w:szCs w:val="30"/>
        </w:rPr>
        <w:t>年</w:t>
      </w:r>
      <w:r>
        <w:rPr>
          <w:rFonts w:hint="eastAsia"/>
          <w:szCs w:val="30"/>
        </w:rPr>
        <w:t>，汇</w:t>
      </w:r>
      <w:r>
        <w:rPr>
          <w:szCs w:val="30"/>
        </w:rPr>
        <w:t>聚</w:t>
      </w:r>
      <w:r>
        <w:rPr>
          <w:rFonts w:hint="eastAsia"/>
          <w:szCs w:val="30"/>
        </w:rPr>
        <w:t>各类型</w:t>
      </w:r>
      <w:r>
        <w:rPr>
          <w:szCs w:val="30"/>
        </w:rPr>
        <w:t>检验检测机构</w:t>
      </w:r>
      <w:r>
        <w:rPr>
          <w:szCs w:val="30"/>
        </w:rPr>
        <w:t>1</w:t>
      </w:r>
      <w:r>
        <w:rPr>
          <w:rFonts w:hint="eastAsia"/>
          <w:szCs w:val="30"/>
        </w:rPr>
        <w:t>00</w:t>
      </w:r>
      <w:r>
        <w:rPr>
          <w:szCs w:val="30"/>
        </w:rPr>
        <w:t>家，营业收入超</w:t>
      </w:r>
      <w:r>
        <w:rPr>
          <w:szCs w:val="30"/>
        </w:rPr>
        <w:t>70</w:t>
      </w:r>
      <w:r>
        <w:rPr>
          <w:szCs w:val="30"/>
        </w:rPr>
        <w:t>亿元</w:t>
      </w:r>
      <w:r>
        <w:rPr>
          <w:rFonts w:hint="eastAsia"/>
          <w:szCs w:val="30"/>
        </w:rPr>
        <w:t>，</w:t>
      </w:r>
      <w:r>
        <w:rPr>
          <w:rFonts w:ascii="仿宋_GB2312" w:hAnsi="楷体"/>
          <w:szCs w:val="30"/>
        </w:rPr>
        <w:t>打造我国中西部最具规模的检验检测产业集群。</w:t>
      </w:r>
    </w:p>
    <w:p w:rsidR="00F9707F" w:rsidRDefault="00DE6B50">
      <w:pPr>
        <w:spacing w:line="640" w:lineRule="exact"/>
        <w:ind w:firstLineChars="200" w:firstLine="643"/>
        <w:rPr>
          <w:rFonts w:ascii="仿宋_GB2312" w:hAnsi="楷体"/>
          <w:szCs w:val="30"/>
        </w:rPr>
      </w:pPr>
      <w:r>
        <w:rPr>
          <w:rFonts w:ascii="楷体" w:eastAsia="楷体" w:hAnsi="楷体" w:hint="eastAsia"/>
          <w:b/>
          <w:bCs/>
          <w:szCs w:val="30"/>
        </w:rPr>
        <w:t>发展重点：</w:t>
      </w:r>
      <w:r>
        <w:rPr>
          <w:rFonts w:ascii="仿宋_GB2312" w:hAnsi="楷体" w:hint="eastAsia"/>
          <w:b/>
          <w:bCs/>
          <w:szCs w:val="30"/>
        </w:rPr>
        <w:t>一是</w:t>
      </w:r>
      <w:r>
        <w:rPr>
          <w:rFonts w:ascii="仿宋_GB2312" w:hAnsi="楷体"/>
          <w:b/>
          <w:bCs/>
          <w:szCs w:val="30"/>
        </w:rPr>
        <w:t>新能源及智能网联汽车检测</w:t>
      </w:r>
      <w:r>
        <w:rPr>
          <w:rFonts w:ascii="仿宋_GB2312" w:hAnsi="楷体" w:hint="eastAsia"/>
          <w:b/>
          <w:bCs/>
          <w:szCs w:val="30"/>
        </w:rPr>
        <w:t>。</w:t>
      </w:r>
      <w:r>
        <w:rPr>
          <w:rFonts w:ascii="仿宋_GB2312" w:hAnsi="楷体" w:hint="eastAsia"/>
          <w:szCs w:val="30"/>
        </w:rPr>
        <w:t>依托机</w:t>
      </w:r>
      <w:r>
        <w:rPr>
          <w:rFonts w:ascii="仿宋_GB2312" w:hAnsi="楷体"/>
          <w:szCs w:val="30"/>
        </w:rPr>
        <w:t>动车强检试验场</w:t>
      </w:r>
      <w:r>
        <w:rPr>
          <w:rFonts w:ascii="仿宋_GB2312" w:hAnsi="楷体" w:hint="eastAsia"/>
          <w:szCs w:val="30"/>
        </w:rPr>
        <w:t>和</w:t>
      </w:r>
      <w:r>
        <w:rPr>
          <w:rFonts w:ascii="仿宋_GB2312" w:hAnsi="楷体"/>
          <w:szCs w:val="30"/>
        </w:rPr>
        <w:t>汽车安全与排放实验公共检测平台，</w:t>
      </w:r>
      <w:r>
        <w:rPr>
          <w:rFonts w:ascii="仿宋_GB2312" w:hAnsi="楷体" w:hint="eastAsia"/>
          <w:szCs w:val="30"/>
        </w:rPr>
        <w:t>为</w:t>
      </w:r>
      <w:r>
        <w:rPr>
          <w:rFonts w:ascii="仿宋_GB2312" w:hAnsi="楷体"/>
          <w:szCs w:val="30"/>
        </w:rPr>
        <w:t>新能源汽车</w:t>
      </w:r>
      <w:r>
        <w:rPr>
          <w:rFonts w:ascii="仿宋_GB2312" w:hAnsi="楷体" w:hint="eastAsia"/>
          <w:szCs w:val="30"/>
        </w:rPr>
        <w:t>和智能网联汽</w:t>
      </w:r>
      <w:r>
        <w:rPr>
          <w:rFonts w:ascii="仿宋_GB2312" w:hAnsi="楷体"/>
          <w:szCs w:val="30"/>
        </w:rPr>
        <w:t>车</w:t>
      </w:r>
      <w:r>
        <w:rPr>
          <w:rFonts w:ascii="仿宋_GB2312" w:hAnsi="楷体" w:hint="eastAsia"/>
          <w:szCs w:val="30"/>
        </w:rPr>
        <w:t>产业提供法规</w:t>
      </w:r>
      <w:r>
        <w:rPr>
          <w:rFonts w:ascii="仿宋_GB2312" w:hAnsi="楷体"/>
          <w:szCs w:val="30"/>
        </w:rPr>
        <w:t>质量检测</w:t>
      </w:r>
      <w:r>
        <w:rPr>
          <w:rFonts w:ascii="仿宋_GB2312" w:hAnsi="楷体" w:hint="eastAsia"/>
          <w:szCs w:val="30"/>
        </w:rPr>
        <w:t>、</w:t>
      </w:r>
      <w:r>
        <w:rPr>
          <w:rFonts w:ascii="仿宋_GB2312" w:hAnsi="楷体"/>
          <w:szCs w:val="30"/>
        </w:rPr>
        <w:t>设备实验研究</w:t>
      </w:r>
      <w:r>
        <w:rPr>
          <w:rFonts w:ascii="仿宋_GB2312" w:hAnsi="楷体" w:hint="eastAsia"/>
          <w:szCs w:val="30"/>
        </w:rPr>
        <w:t>、</w:t>
      </w:r>
      <w:r>
        <w:rPr>
          <w:rFonts w:ascii="仿宋_GB2312" w:hAnsi="楷体"/>
          <w:szCs w:val="30"/>
        </w:rPr>
        <w:t>进出口认证、标准</w:t>
      </w:r>
      <w:r>
        <w:rPr>
          <w:rFonts w:ascii="仿宋_GB2312" w:hAnsi="楷体" w:hint="eastAsia"/>
          <w:szCs w:val="30"/>
        </w:rPr>
        <w:t>制定</w:t>
      </w:r>
      <w:r>
        <w:rPr>
          <w:rFonts w:ascii="仿宋_GB2312" w:hAnsi="楷体"/>
          <w:szCs w:val="30"/>
        </w:rPr>
        <w:t>验证、产品演示</w:t>
      </w:r>
      <w:r>
        <w:rPr>
          <w:rFonts w:ascii="仿宋_GB2312" w:hAnsi="楷体" w:hint="eastAsia"/>
          <w:szCs w:val="30"/>
        </w:rPr>
        <w:t>展示、</w:t>
      </w:r>
      <w:r>
        <w:rPr>
          <w:rFonts w:ascii="仿宋_GB2312" w:hAnsi="楷体"/>
          <w:szCs w:val="30"/>
        </w:rPr>
        <w:t>司法</w:t>
      </w:r>
      <w:r>
        <w:rPr>
          <w:rFonts w:ascii="仿宋_GB2312" w:hAnsi="楷体" w:hint="eastAsia"/>
          <w:szCs w:val="30"/>
        </w:rPr>
        <w:t>咨询</w:t>
      </w:r>
      <w:r>
        <w:rPr>
          <w:rFonts w:ascii="仿宋_GB2312" w:hAnsi="楷体"/>
          <w:szCs w:val="30"/>
        </w:rPr>
        <w:t>鉴定等各种服务。</w:t>
      </w:r>
      <w:r>
        <w:rPr>
          <w:rFonts w:ascii="仿宋_GB2312" w:hAnsi="楷体" w:hint="eastAsia"/>
          <w:b/>
          <w:bCs/>
          <w:szCs w:val="30"/>
        </w:rPr>
        <w:t>二是</w:t>
      </w:r>
      <w:r>
        <w:rPr>
          <w:rFonts w:ascii="仿宋_GB2312" w:hAnsi="楷体"/>
          <w:b/>
          <w:bCs/>
          <w:szCs w:val="30"/>
        </w:rPr>
        <w:t>生物医药及医疗器械检测认证</w:t>
      </w:r>
      <w:r>
        <w:rPr>
          <w:rFonts w:ascii="仿宋_GB2312" w:hAnsi="楷体" w:hint="eastAsia"/>
          <w:b/>
          <w:bCs/>
          <w:szCs w:val="30"/>
        </w:rPr>
        <w:t>。</w:t>
      </w:r>
      <w:r>
        <w:rPr>
          <w:rFonts w:ascii="仿宋_GB2312" w:hAnsi="楷体" w:hint="eastAsia"/>
          <w:szCs w:val="30"/>
        </w:rPr>
        <w:t>依托高新区生物医药检测平台和研发机构，为生物医药和医疗器械企业提供</w:t>
      </w:r>
      <w:r>
        <w:rPr>
          <w:rFonts w:ascii="仿宋_GB2312" w:hAnsi="楷体"/>
          <w:szCs w:val="30"/>
        </w:rPr>
        <w:t>专业的药品质量保证</w:t>
      </w:r>
      <w:r>
        <w:rPr>
          <w:rFonts w:ascii="仿宋_GB2312" w:hAnsi="楷体" w:hint="eastAsia"/>
          <w:szCs w:val="30"/>
        </w:rPr>
        <w:t>、</w:t>
      </w:r>
      <w:r>
        <w:rPr>
          <w:rFonts w:ascii="仿宋_GB2312" w:hAnsi="楷体"/>
          <w:szCs w:val="30"/>
        </w:rPr>
        <w:t>食品安全检测</w:t>
      </w:r>
      <w:r>
        <w:rPr>
          <w:rFonts w:ascii="仿宋_GB2312" w:hAnsi="楷体" w:hint="eastAsia"/>
          <w:szCs w:val="30"/>
        </w:rPr>
        <w:t>、</w:t>
      </w:r>
      <w:r>
        <w:rPr>
          <w:rFonts w:ascii="仿宋_GB2312" w:hAnsi="楷体"/>
          <w:szCs w:val="30"/>
        </w:rPr>
        <w:t>医疗器械</w:t>
      </w:r>
      <w:r>
        <w:rPr>
          <w:rFonts w:ascii="仿宋_GB2312" w:hAnsi="楷体" w:hint="eastAsia"/>
          <w:szCs w:val="30"/>
        </w:rPr>
        <w:t>安全质量</w:t>
      </w:r>
      <w:r>
        <w:rPr>
          <w:rFonts w:ascii="仿宋_GB2312" w:hAnsi="楷体"/>
          <w:szCs w:val="30"/>
        </w:rPr>
        <w:t>检测</w:t>
      </w:r>
      <w:r>
        <w:rPr>
          <w:rFonts w:ascii="仿宋_GB2312" w:hAnsi="楷体" w:hint="eastAsia"/>
          <w:szCs w:val="30"/>
        </w:rPr>
        <w:t>等</w:t>
      </w:r>
      <w:r>
        <w:rPr>
          <w:rFonts w:ascii="仿宋_GB2312" w:hAnsi="楷体"/>
          <w:szCs w:val="30"/>
        </w:rPr>
        <w:t>检测服务</w:t>
      </w:r>
      <w:r>
        <w:rPr>
          <w:rFonts w:ascii="仿宋_GB2312" w:hAnsi="楷体" w:hint="eastAsia"/>
          <w:szCs w:val="30"/>
        </w:rPr>
        <w:t>和</w:t>
      </w:r>
      <w:r>
        <w:rPr>
          <w:rFonts w:ascii="仿宋_GB2312" w:hAnsi="楷体"/>
          <w:szCs w:val="30"/>
        </w:rPr>
        <w:t>药效</w:t>
      </w:r>
      <w:r>
        <w:rPr>
          <w:rFonts w:ascii="仿宋_GB2312" w:hAnsi="楷体" w:hint="eastAsia"/>
          <w:szCs w:val="30"/>
        </w:rPr>
        <w:t>、</w:t>
      </w:r>
      <w:r>
        <w:rPr>
          <w:rFonts w:ascii="仿宋_GB2312" w:hAnsi="楷体"/>
          <w:szCs w:val="30"/>
        </w:rPr>
        <w:t>病理</w:t>
      </w:r>
      <w:r>
        <w:rPr>
          <w:rFonts w:ascii="仿宋_GB2312" w:hAnsi="楷体" w:hint="eastAsia"/>
          <w:szCs w:val="30"/>
        </w:rPr>
        <w:t>、</w:t>
      </w:r>
      <w:r>
        <w:rPr>
          <w:rFonts w:ascii="仿宋_GB2312" w:hAnsi="楷体"/>
          <w:szCs w:val="30"/>
        </w:rPr>
        <w:t>分子生物</w:t>
      </w:r>
      <w:r>
        <w:rPr>
          <w:rFonts w:ascii="仿宋_GB2312" w:hAnsi="楷体" w:hint="eastAsia"/>
          <w:szCs w:val="30"/>
        </w:rPr>
        <w:t>、</w:t>
      </w:r>
      <w:r>
        <w:rPr>
          <w:rFonts w:ascii="仿宋_GB2312" w:hAnsi="楷体"/>
          <w:szCs w:val="30"/>
        </w:rPr>
        <w:t>基因芯片</w:t>
      </w:r>
      <w:r>
        <w:rPr>
          <w:rFonts w:ascii="仿宋_GB2312" w:hAnsi="楷体" w:hint="eastAsia"/>
          <w:szCs w:val="30"/>
        </w:rPr>
        <w:t>、</w:t>
      </w:r>
      <w:r>
        <w:rPr>
          <w:rFonts w:ascii="仿宋_GB2312" w:hAnsi="楷体"/>
          <w:szCs w:val="30"/>
        </w:rPr>
        <w:t>生物信息</w:t>
      </w:r>
      <w:r>
        <w:rPr>
          <w:rFonts w:ascii="仿宋_GB2312" w:hAnsi="楷体" w:hint="eastAsia"/>
          <w:szCs w:val="30"/>
        </w:rPr>
        <w:t>等</w:t>
      </w:r>
      <w:r>
        <w:rPr>
          <w:rFonts w:ascii="仿宋_GB2312" w:hAnsi="楷体"/>
          <w:szCs w:val="30"/>
        </w:rPr>
        <w:t>检测</w:t>
      </w:r>
      <w:r>
        <w:rPr>
          <w:rFonts w:ascii="仿宋_GB2312" w:hAnsi="楷体" w:hint="eastAsia"/>
          <w:szCs w:val="30"/>
        </w:rPr>
        <w:t>研发服务。</w:t>
      </w:r>
      <w:r>
        <w:rPr>
          <w:rFonts w:ascii="仿宋_GB2312" w:hAnsi="楷体" w:hint="eastAsia"/>
          <w:b/>
          <w:bCs/>
          <w:szCs w:val="30"/>
        </w:rPr>
        <w:t>三是</w:t>
      </w:r>
      <w:r>
        <w:rPr>
          <w:rFonts w:ascii="仿宋_GB2312" w:hAnsi="楷体"/>
          <w:b/>
          <w:bCs/>
          <w:szCs w:val="30"/>
        </w:rPr>
        <w:t>集成电路及电子元器件检测</w:t>
      </w:r>
      <w:r>
        <w:rPr>
          <w:rFonts w:ascii="仿宋_GB2312" w:hAnsi="楷体" w:hint="eastAsia"/>
          <w:b/>
          <w:bCs/>
          <w:szCs w:val="30"/>
        </w:rPr>
        <w:t>。</w:t>
      </w:r>
      <w:r>
        <w:rPr>
          <w:rFonts w:ascii="仿宋_GB2312" w:hAnsi="楷体" w:hint="eastAsia"/>
          <w:szCs w:val="30"/>
        </w:rPr>
        <w:t>依托国家笔记本电脑质量监督检测中心及其他电子电路检测机构，为笔记本电脑和集成电路企业提供</w:t>
      </w:r>
      <w:r>
        <w:rPr>
          <w:rFonts w:ascii="仿宋_GB2312" w:hAnsi="楷体"/>
          <w:szCs w:val="30"/>
        </w:rPr>
        <w:t>电子</w:t>
      </w:r>
      <w:r>
        <w:rPr>
          <w:rFonts w:ascii="仿宋_GB2312" w:hAnsi="楷体" w:hint="eastAsia"/>
          <w:szCs w:val="30"/>
        </w:rPr>
        <w:t>电路元器件和微电子设备的相关</w:t>
      </w:r>
      <w:r>
        <w:rPr>
          <w:rFonts w:ascii="仿宋_GB2312" w:hAnsi="楷体"/>
          <w:szCs w:val="30"/>
        </w:rPr>
        <w:t>检验</w:t>
      </w:r>
      <w:r>
        <w:rPr>
          <w:rFonts w:ascii="仿宋_GB2312" w:hAnsi="楷体" w:hint="eastAsia"/>
          <w:szCs w:val="30"/>
        </w:rPr>
        <w:t>、</w:t>
      </w:r>
      <w:r>
        <w:rPr>
          <w:rFonts w:ascii="仿宋_GB2312" w:hAnsi="楷体"/>
          <w:szCs w:val="30"/>
        </w:rPr>
        <w:t>测试、认证、标准</w:t>
      </w:r>
      <w:r>
        <w:rPr>
          <w:rFonts w:ascii="仿宋_GB2312" w:hAnsi="楷体" w:hint="eastAsia"/>
          <w:szCs w:val="30"/>
        </w:rPr>
        <w:t>、</w:t>
      </w:r>
      <w:r>
        <w:rPr>
          <w:rFonts w:ascii="仿宋_GB2312" w:hAnsi="楷体"/>
          <w:szCs w:val="30"/>
        </w:rPr>
        <w:t>咨询等服务</w:t>
      </w:r>
      <w:r>
        <w:rPr>
          <w:rFonts w:ascii="仿宋_GB2312" w:hAnsi="楷体" w:hint="eastAsia"/>
          <w:szCs w:val="30"/>
        </w:rPr>
        <w:t>，</w:t>
      </w:r>
      <w:r>
        <w:rPr>
          <w:rFonts w:ascii="仿宋_GB2312" w:hAnsi="楷体"/>
          <w:szCs w:val="30"/>
        </w:rPr>
        <w:t>无线传感器网络、射频识别、芯片</w:t>
      </w:r>
      <w:r>
        <w:rPr>
          <w:rFonts w:ascii="仿宋_GB2312" w:hAnsi="楷体" w:hint="eastAsia"/>
          <w:szCs w:val="30"/>
        </w:rPr>
        <w:t>、电子新材料等领域的检测认证服务。</w:t>
      </w:r>
      <w:r>
        <w:rPr>
          <w:rFonts w:ascii="仿宋_GB2312" w:hAnsi="楷体" w:hint="eastAsia"/>
          <w:b/>
          <w:bCs/>
          <w:szCs w:val="30"/>
        </w:rPr>
        <w:t>四是</w:t>
      </w:r>
      <w:r>
        <w:rPr>
          <w:rFonts w:ascii="仿宋_GB2312" w:hAnsi="楷体"/>
          <w:b/>
          <w:bCs/>
          <w:szCs w:val="30"/>
        </w:rPr>
        <w:t>仪器仪表检测</w:t>
      </w:r>
      <w:r>
        <w:rPr>
          <w:rFonts w:ascii="仿宋_GB2312" w:hAnsi="楷体" w:hint="eastAsia"/>
          <w:b/>
          <w:bCs/>
          <w:szCs w:val="30"/>
        </w:rPr>
        <w:t>。</w:t>
      </w:r>
      <w:r>
        <w:rPr>
          <w:rFonts w:ascii="仿宋_GB2312" w:hAnsi="楷体" w:hint="eastAsia"/>
          <w:szCs w:val="30"/>
        </w:rPr>
        <w:t>依托</w:t>
      </w:r>
      <w:r>
        <w:rPr>
          <w:rFonts w:ascii="仿宋_GB2312" w:hAnsi="楷体"/>
          <w:szCs w:val="30"/>
        </w:rPr>
        <w:t>城市能源计量</w:t>
      </w:r>
      <w:r>
        <w:rPr>
          <w:rFonts w:ascii="仿宋_GB2312" w:hAnsi="楷体" w:hint="eastAsia"/>
          <w:szCs w:val="30"/>
        </w:rPr>
        <w:t>、应用工程、</w:t>
      </w:r>
      <w:r>
        <w:rPr>
          <w:rFonts w:ascii="仿宋_GB2312" w:hAnsi="楷体"/>
          <w:szCs w:val="30"/>
        </w:rPr>
        <w:t>消防及阻燃产品</w:t>
      </w:r>
      <w:r>
        <w:rPr>
          <w:rFonts w:ascii="仿宋_GB2312" w:hAnsi="楷体" w:hint="eastAsia"/>
          <w:szCs w:val="30"/>
        </w:rPr>
        <w:t>、</w:t>
      </w:r>
      <w:r>
        <w:rPr>
          <w:rFonts w:ascii="仿宋_GB2312" w:hAnsi="楷体"/>
          <w:szCs w:val="30"/>
        </w:rPr>
        <w:t>电梯及升降机</w:t>
      </w:r>
      <w:r>
        <w:rPr>
          <w:rFonts w:ascii="仿宋_GB2312" w:hAnsi="楷体" w:hint="eastAsia"/>
          <w:szCs w:val="30"/>
        </w:rPr>
        <w:t>等检疫检测中心，</w:t>
      </w:r>
      <w:r>
        <w:rPr>
          <w:rFonts w:ascii="仿宋_GB2312" w:hAnsi="楷体" w:hint="eastAsia"/>
          <w:szCs w:val="30"/>
        </w:rPr>
        <w:lastRenderedPageBreak/>
        <w:t>为各类市场主体提供</w:t>
      </w:r>
      <w:r>
        <w:rPr>
          <w:rFonts w:ascii="仿宋_GB2312" w:hAnsi="楷体"/>
          <w:szCs w:val="30"/>
        </w:rPr>
        <w:t>能源计量测试、节能</w:t>
      </w:r>
      <w:r>
        <w:rPr>
          <w:rFonts w:ascii="仿宋_GB2312" w:hAnsi="楷体" w:hint="eastAsia"/>
          <w:szCs w:val="30"/>
        </w:rPr>
        <w:t>工艺审定、</w:t>
      </w:r>
      <w:r>
        <w:rPr>
          <w:rFonts w:ascii="仿宋_GB2312" w:hAnsi="楷体"/>
          <w:szCs w:val="30"/>
        </w:rPr>
        <w:t>节能减排产品</w:t>
      </w:r>
      <w:r>
        <w:rPr>
          <w:rFonts w:ascii="仿宋_GB2312" w:hAnsi="楷体" w:hint="eastAsia"/>
          <w:szCs w:val="30"/>
        </w:rPr>
        <w:t>认定、特种仪器仪表检测、民用仪器仪表检测等领域的检测服务。</w:t>
      </w:r>
      <w:r>
        <w:rPr>
          <w:rFonts w:ascii="仿宋_GB2312" w:hAnsi="楷体" w:hint="eastAsia"/>
          <w:b/>
          <w:bCs/>
          <w:szCs w:val="30"/>
        </w:rPr>
        <w:t>五是智能装备检测。</w:t>
      </w:r>
      <w:r>
        <w:rPr>
          <w:rFonts w:ascii="仿宋_GB2312" w:hAnsi="楷体" w:hint="eastAsia"/>
          <w:szCs w:val="30"/>
        </w:rPr>
        <w:t>依托工业机器人和智能制造等检测中心，为中西部高</w:t>
      </w:r>
      <w:r>
        <w:rPr>
          <w:rFonts w:ascii="仿宋_GB2312" w:hAnsi="楷体"/>
          <w:szCs w:val="30"/>
        </w:rPr>
        <w:t>端装备制造</w:t>
      </w:r>
      <w:r>
        <w:rPr>
          <w:rFonts w:ascii="仿宋_GB2312" w:hAnsi="楷体" w:hint="eastAsia"/>
          <w:szCs w:val="30"/>
        </w:rPr>
        <w:t>企业提供</w:t>
      </w:r>
      <w:r>
        <w:rPr>
          <w:rFonts w:ascii="仿宋_GB2312" w:hAnsi="楷体"/>
          <w:szCs w:val="30"/>
        </w:rPr>
        <w:t>工业</w:t>
      </w:r>
      <w:r>
        <w:rPr>
          <w:rFonts w:ascii="仿宋_GB2312" w:hAnsi="楷体" w:hint="eastAsia"/>
          <w:szCs w:val="30"/>
        </w:rPr>
        <w:t>互联网领域的专业检测服务和智能机</w:t>
      </w:r>
      <w:r>
        <w:rPr>
          <w:rFonts w:ascii="仿宋_GB2312" w:hAnsi="楷体"/>
          <w:szCs w:val="30"/>
        </w:rPr>
        <w:t>械、智能仪器仪表、数控机床、智能控制系统等</w:t>
      </w:r>
      <w:r>
        <w:rPr>
          <w:rFonts w:ascii="仿宋_GB2312" w:hAnsi="楷体" w:hint="eastAsia"/>
          <w:szCs w:val="30"/>
        </w:rPr>
        <w:t>智能制造核心部件的</w:t>
      </w:r>
      <w:r>
        <w:rPr>
          <w:rFonts w:ascii="仿宋_GB2312" w:hAnsi="楷体"/>
          <w:szCs w:val="30"/>
        </w:rPr>
        <w:t>检验检测</w:t>
      </w:r>
      <w:r>
        <w:rPr>
          <w:rFonts w:ascii="仿宋_GB2312" w:hAnsi="楷体" w:hint="eastAsia"/>
          <w:szCs w:val="30"/>
        </w:rPr>
        <w:t>认证</w:t>
      </w:r>
      <w:r>
        <w:rPr>
          <w:rFonts w:ascii="仿宋_GB2312" w:hAnsi="楷体"/>
          <w:szCs w:val="30"/>
        </w:rPr>
        <w:t>服务</w:t>
      </w:r>
      <w:r>
        <w:rPr>
          <w:rFonts w:ascii="仿宋_GB2312" w:hAnsi="楷体" w:hint="eastAsia"/>
          <w:szCs w:val="30"/>
        </w:rPr>
        <w:t>。</w:t>
      </w:r>
      <w:r>
        <w:rPr>
          <w:rFonts w:ascii="仿宋_GB2312" w:hAnsi="楷体" w:hint="eastAsia"/>
          <w:b/>
          <w:bCs/>
          <w:szCs w:val="30"/>
        </w:rPr>
        <w:t>六是开辟新服务领域。</w:t>
      </w:r>
      <w:r>
        <w:rPr>
          <w:rFonts w:ascii="仿宋_GB2312" w:hAnsi="楷体" w:hint="eastAsia"/>
          <w:szCs w:val="30"/>
        </w:rPr>
        <w:t>积极向计量及认证服务、消费品检测、生命科学监测、工业检测、环保检测等新兴业务拓展，</w:t>
      </w:r>
      <w:r>
        <w:rPr>
          <w:rFonts w:ascii="仿宋_GB2312" w:hAnsi="楷体"/>
          <w:szCs w:val="30"/>
        </w:rPr>
        <w:t>支持第三方机构在综合保税区开展进出口检验认证服务</w:t>
      </w:r>
      <w:r>
        <w:rPr>
          <w:rFonts w:ascii="仿宋_GB2312" w:hAnsi="楷体" w:hint="eastAsia"/>
          <w:szCs w:val="30"/>
        </w:rPr>
        <w:t>。</w:t>
      </w:r>
    </w:p>
    <w:p w:rsidR="00F9707F" w:rsidRDefault="00DE6B50">
      <w:pPr>
        <w:spacing w:line="640" w:lineRule="exact"/>
        <w:ind w:firstLineChars="200" w:firstLine="643"/>
        <w:rPr>
          <w:rFonts w:ascii="仿宋_GB2312" w:hAnsi="仿宋"/>
          <w:szCs w:val="30"/>
        </w:rPr>
      </w:pPr>
      <w:r>
        <w:rPr>
          <w:rFonts w:ascii="楷体" w:eastAsia="楷体" w:hAnsi="楷体" w:hint="eastAsia"/>
          <w:b/>
          <w:bCs/>
          <w:szCs w:val="30"/>
        </w:rPr>
        <w:t>关键路径：</w:t>
      </w:r>
      <w:r>
        <w:rPr>
          <w:rFonts w:ascii="仿宋_GB2312" w:hAnsi="仿宋" w:hint="eastAsia"/>
          <w:b/>
          <w:bCs/>
          <w:szCs w:val="30"/>
        </w:rPr>
        <w:t>一是做大做强本地检测检测龙头机构。</w:t>
      </w:r>
      <w:r>
        <w:rPr>
          <w:rFonts w:ascii="仿宋_GB2312" w:hAnsi="仿宋" w:hint="eastAsia"/>
          <w:szCs w:val="30"/>
        </w:rPr>
        <w:t>加快推进国家质检基地二期项目落地。支持</w:t>
      </w:r>
      <w:r>
        <w:rPr>
          <w:rFonts w:ascii="仿宋_GB2312" w:hAnsi="仿宋"/>
          <w:szCs w:val="30"/>
        </w:rPr>
        <w:t>重庆车辆检测研究院</w:t>
      </w:r>
      <w:r>
        <w:rPr>
          <w:rFonts w:ascii="仿宋_GB2312" w:hAnsi="仿宋" w:hint="eastAsia"/>
          <w:szCs w:val="30"/>
        </w:rPr>
        <w:t>等现有企业做大做强主营业务，支持配置检验检测高端设备，支持检验检测企业在中西部地区设立分支机构和业务窗口，鼓励并扶持检验检测龙头企业上市，支持本地检测机构由单一机构向综合性机构升级。</w:t>
      </w:r>
      <w:r>
        <w:rPr>
          <w:rFonts w:ascii="仿宋_GB2312" w:hAnsi="仿宋" w:hint="eastAsia"/>
          <w:b/>
          <w:bCs/>
          <w:szCs w:val="30"/>
        </w:rPr>
        <w:t>二是引进国内外知名检验检测实验室和检验检测认证机构。</w:t>
      </w:r>
      <w:r>
        <w:rPr>
          <w:rFonts w:ascii="仿宋_GB2312" w:hAnsi="仿宋" w:hint="eastAsia"/>
          <w:szCs w:val="30"/>
        </w:rPr>
        <w:t>提高检验检测企业资质准入门槛，积极引进国际知名的检验检测机构，加强本地检验检测机构与北上广深等地检验检测品牌机构合作引进，积极对接上市检验检测企业在高新区设立中西部分支总部或新型实验室。支持区内制造业企业将内部检验检测相关服务板块业务独立。</w:t>
      </w:r>
      <w:r>
        <w:rPr>
          <w:rFonts w:ascii="仿宋_GB2312" w:hAnsi="仿宋" w:hint="eastAsia"/>
          <w:b/>
          <w:bCs/>
          <w:szCs w:val="30"/>
        </w:rPr>
        <w:t>三是支持高新区国家质检基地获取更多检验检测认证资</w:t>
      </w:r>
      <w:r>
        <w:rPr>
          <w:rFonts w:ascii="仿宋_GB2312" w:hAnsi="仿宋" w:hint="eastAsia"/>
          <w:b/>
          <w:bCs/>
          <w:szCs w:val="30"/>
        </w:rPr>
        <w:lastRenderedPageBreak/>
        <w:t>质。</w:t>
      </w:r>
      <w:r>
        <w:rPr>
          <w:rFonts w:ascii="仿宋_GB2312" w:hAnsi="仿宋" w:hint="eastAsia"/>
          <w:szCs w:val="30"/>
        </w:rPr>
        <w:t>支持国家质检基地、检验检测服务共享平台、本地检验检测企业拓展国际业务合作，获取国际检验检测资质、国际认证指定机构、区域合作实验室、国际联盟成员单位等资格认定。加强与国家级质检认证机构合作，获取更多的国家级检验检测认定认证资质。支持检验检测企业主导制订或修订国际、国家标准。</w:t>
      </w:r>
      <w:r>
        <w:rPr>
          <w:rFonts w:ascii="仿宋_GB2312" w:hAnsi="仿宋" w:hint="eastAsia"/>
          <w:b/>
          <w:bCs/>
          <w:szCs w:val="30"/>
        </w:rPr>
        <w:t>四是鼓励运用新技术新手段创新检验检测服务模式。</w:t>
      </w:r>
      <w:r>
        <w:rPr>
          <w:rFonts w:ascii="仿宋_GB2312" w:hAnsi="仿宋" w:hint="eastAsia"/>
          <w:szCs w:val="30"/>
        </w:rPr>
        <w:t>支持辖区内的检验检测机构和平台创新服务模式，深化新一代信息技术、人工智能技术、云技术、智慧管理技术的融合应用，探索向云检测、智慧检测、一站式服务、快检服务等服务模式转型，提升服务效率和精准度。</w:t>
      </w:r>
    </w:p>
    <w:p w:rsidR="00F9707F" w:rsidRDefault="00DE6B50">
      <w:pPr>
        <w:spacing w:line="640" w:lineRule="exact"/>
        <w:ind w:firstLineChars="200" w:firstLine="643"/>
        <w:rPr>
          <w:rFonts w:ascii="仿宋_GB2312" w:hAnsi="楷体"/>
          <w:szCs w:val="30"/>
        </w:rPr>
      </w:pPr>
      <w:r>
        <w:rPr>
          <w:rFonts w:ascii="楷体" w:eastAsia="楷体" w:hAnsi="楷体" w:hint="eastAsia"/>
          <w:b/>
          <w:szCs w:val="30"/>
        </w:rPr>
        <w:t>空间布局：</w:t>
      </w:r>
      <w:r>
        <w:rPr>
          <w:rFonts w:ascii="仿宋_GB2312" w:hAnsi="楷体" w:hint="eastAsia"/>
          <w:szCs w:val="30"/>
        </w:rPr>
        <w:t>“十四五”期间检验检测重点围绕金凤国家质检基地布局，可用产业用地</w:t>
      </w:r>
      <w:r>
        <w:rPr>
          <w:rFonts w:ascii="仿宋_GB2312" w:hAnsi="楷体" w:hint="eastAsia"/>
          <w:szCs w:val="30"/>
        </w:rPr>
        <w:t>1</w:t>
      </w:r>
      <w:r>
        <w:rPr>
          <w:rFonts w:ascii="仿宋_GB2312" w:hAnsi="楷体"/>
          <w:szCs w:val="30"/>
        </w:rPr>
        <w:t>782</w:t>
      </w:r>
      <w:r>
        <w:rPr>
          <w:rFonts w:ascii="仿宋_GB2312" w:hAnsi="楷体"/>
          <w:szCs w:val="30"/>
        </w:rPr>
        <w:t>亩</w:t>
      </w:r>
      <w:r>
        <w:rPr>
          <w:rFonts w:ascii="仿宋_GB2312" w:hAnsi="楷体" w:hint="eastAsia"/>
          <w:szCs w:val="30"/>
        </w:rPr>
        <w:t>。重点项目包括：国家质检基地二期项目、科研与测试评价产业化基地（五九所）、中国检验检疫科学研究院、苏交科等。</w:t>
      </w:r>
    </w:p>
    <w:p w:rsidR="00F9707F" w:rsidRDefault="00F9707F">
      <w:pPr>
        <w:pStyle w:val="a0"/>
      </w:pPr>
    </w:p>
    <w:p w:rsidR="00F9707F" w:rsidRDefault="00DE6B50">
      <w:pPr>
        <w:pStyle w:val="a0"/>
        <w:jc w:val="center"/>
        <w:rPr>
          <w:rFonts w:ascii="宋体" w:eastAsia="宋体" w:hAnsi="宋体"/>
          <w:sz w:val="24"/>
        </w:rPr>
      </w:pPr>
      <w:r>
        <w:rPr>
          <w:rFonts w:ascii="宋体" w:eastAsia="宋体" w:hAnsi="宋体"/>
          <w:sz w:val="24"/>
        </w:rPr>
        <w:t>表4</w:t>
      </w:r>
      <w:r>
        <w:rPr>
          <w:rFonts w:ascii="宋体" w:eastAsia="宋体" w:hAnsi="宋体" w:hint="eastAsia"/>
          <w:sz w:val="24"/>
        </w:rPr>
        <w:t>：检验检测重点平台项目</w:t>
      </w:r>
    </w:p>
    <w:tbl>
      <w:tblPr>
        <w:tblStyle w:val="52"/>
        <w:tblW w:w="8784" w:type="dxa"/>
        <w:jc w:val="center"/>
        <w:tblLayout w:type="fixed"/>
        <w:tblLook w:val="04A0" w:firstRow="1" w:lastRow="0" w:firstColumn="1" w:lastColumn="0" w:noHBand="0" w:noVBand="1"/>
      </w:tblPr>
      <w:tblGrid>
        <w:gridCol w:w="2574"/>
        <w:gridCol w:w="2376"/>
        <w:gridCol w:w="1320"/>
        <w:gridCol w:w="1248"/>
        <w:gridCol w:w="1266"/>
      </w:tblGrid>
      <w:tr w:rsidR="00F9707F">
        <w:trPr>
          <w:jc w:val="center"/>
        </w:trPr>
        <w:tc>
          <w:tcPr>
            <w:tcW w:w="2574"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项目名称</w:t>
            </w:r>
          </w:p>
        </w:tc>
        <w:tc>
          <w:tcPr>
            <w:tcW w:w="2376"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所属区域</w:t>
            </w:r>
          </w:p>
        </w:tc>
        <w:tc>
          <w:tcPr>
            <w:tcW w:w="1320"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建设功能</w:t>
            </w:r>
          </w:p>
        </w:tc>
        <w:tc>
          <w:tcPr>
            <w:tcW w:w="1248" w:type="dxa"/>
            <w:vAlign w:val="center"/>
          </w:tcPr>
          <w:p w:rsidR="00F9707F" w:rsidRDefault="00DE6B50">
            <w:pPr>
              <w:spacing w:line="240" w:lineRule="auto"/>
              <w:jc w:val="center"/>
              <w:rPr>
                <w:rFonts w:ascii="宋体" w:eastAsia="宋体" w:hAnsi="宋体"/>
                <w:b/>
                <w:sz w:val="24"/>
              </w:rPr>
            </w:pPr>
            <w:r>
              <w:rPr>
                <w:rFonts w:ascii="宋体" w:eastAsia="宋体" w:hAnsi="宋体" w:hint="eastAsia"/>
                <w:b/>
                <w:sz w:val="24"/>
              </w:rPr>
              <w:t>占地面积（亩）</w:t>
            </w:r>
          </w:p>
        </w:tc>
        <w:tc>
          <w:tcPr>
            <w:tcW w:w="1266" w:type="dxa"/>
            <w:vAlign w:val="center"/>
          </w:tcPr>
          <w:p w:rsidR="00F9707F" w:rsidRDefault="00DE6B50">
            <w:pPr>
              <w:spacing w:line="240" w:lineRule="auto"/>
              <w:jc w:val="center"/>
              <w:rPr>
                <w:rFonts w:ascii="宋体" w:eastAsia="宋体" w:hAnsi="宋体"/>
                <w:b/>
                <w:sz w:val="24"/>
              </w:rPr>
            </w:pPr>
            <w:r>
              <w:rPr>
                <w:rFonts w:ascii="宋体" w:eastAsia="宋体" w:hAnsi="宋体" w:hint="eastAsia"/>
                <w:b/>
                <w:sz w:val="24"/>
              </w:rPr>
              <w:t>产值目标（亿元）</w:t>
            </w:r>
          </w:p>
        </w:tc>
      </w:tr>
      <w:tr w:rsidR="00F9707F">
        <w:trPr>
          <w:trHeight w:val="617"/>
          <w:jc w:val="center"/>
        </w:trPr>
        <w:tc>
          <w:tcPr>
            <w:tcW w:w="2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国家质检基地</w:t>
            </w:r>
          </w:p>
        </w:tc>
        <w:tc>
          <w:tcPr>
            <w:tcW w:w="23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金凤检验检测集聚区</w:t>
            </w:r>
          </w:p>
        </w:tc>
        <w:tc>
          <w:tcPr>
            <w:tcW w:w="132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检验检测</w:t>
            </w:r>
          </w:p>
        </w:tc>
        <w:tc>
          <w:tcPr>
            <w:tcW w:w="124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011</w:t>
            </w:r>
          </w:p>
        </w:tc>
        <w:tc>
          <w:tcPr>
            <w:tcW w:w="126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9</w:t>
            </w:r>
            <w:r>
              <w:rPr>
                <w:rFonts w:ascii="宋体" w:eastAsia="宋体" w:hAnsi="宋体"/>
                <w:sz w:val="24"/>
              </w:rPr>
              <w:t>0</w:t>
            </w:r>
          </w:p>
        </w:tc>
      </w:tr>
      <w:tr w:rsidR="00F9707F">
        <w:trPr>
          <w:jc w:val="center"/>
        </w:trPr>
        <w:tc>
          <w:tcPr>
            <w:tcW w:w="2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高新区科创示范项目二期</w:t>
            </w:r>
          </w:p>
        </w:tc>
        <w:tc>
          <w:tcPr>
            <w:tcW w:w="23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金凤检验检测集聚区</w:t>
            </w:r>
          </w:p>
        </w:tc>
        <w:tc>
          <w:tcPr>
            <w:tcW w:w="132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检验检测</w:t>
            </w:r>
          </w:p>
        </w:tc>
        <w:tc>
          <w:tcPr>
            <w:tcW w:w="124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106</w:t>
            </w:r>
          </w:p>
        </w:tc>
        <w:tc>
          <w:tcPr>
            <w:tcW w:w="126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0</w:t>
            </w:r>
          </w:p>
        </w:tc>
      </w:tr>
      <w:tr w:rsidR="00F9707F">
        <w:trPr>
          <w:jc w:val="center"/>
        </w:trPr>
        <w:tc>
          <w:tcPr>
            <w:tcW w:w="2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科研与测试评价产业化基地（五九所）</w:t>
            </w:r>
          </w:p>
        </w:tc>
        <w:tc>
          <w:tcPr>
            <w:tcW w:w="237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金凤检验检测集聚区</w:t>
            </w:r>
          </w:p>
        </w:tc>
        <w:tc>
          <w:tcPr>
            <w:tcW w:w="1320"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检验检测</w:t>
            </w:r>
          </w:p>
        </w:tc>
        <w:tc>
          <w:tcPr>
            <w:tcW w:w="1248"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8</w:t>
            </w:r>
            <w:r>
              <w:rPr>
                <w:rFonts w:ascii="宋体" w:eastAsia="宋体" w:hAnsi="宋体"/>
                <w:sz w:val="24"/>
              </w:rPr>
              <w:t>0</w:t>
            </w:r>
          </w:p>
        </w:tc>
        <w:tc>
          <w:tcPr>
            <w:tcW w:w="1266"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w:t>
            </w:r>
          </w:p>
        </w:tc>
      </w:tr>
    </w:tbl>
    <w:p w:rsidR="00F9707F" w:rsidRDefault="00F9707F">
      <w:pPr>
        <w:pStyle w:val="a0"/>
        <w:ind w:firstLineChars="200" w:firstLine="360"/>
        <w:jc w:val="center"/>
      </w:pPr>
    </w:p>
    <w:p w:rsidR="00F9707F" w:rsidRDefault="00DE6B50">
      <w:pPr>
        <w:pStyle w:val="2"/>
        <w:spacing w:line="640" w:lineRule="exact"/>
        <w:ind w:firstLine="640"/>
        <w:rPr>
          <w:sz w:val="30"/>
        </w:rPr>
      </w:pPr>
      <w:bookmarkStart w:id="57" w:name="_Toc11344"/>
      <w:bookmarkStart w:id="58" w:name="_Toc61271787"/>
      <w:bookmarkEnd w:id="55"/>
      <w:bookmarkEnd w:id="56"/>
      <w:r>
        <w:rPr>
          <w:rFonts w:hint="eastAsia"/>
          <w:b w:val="0"/>
        </w:rPr>
        <w:t>（四）</w:t>
      </w:r>
      <w:r>
        <w:rPr>
          <w:b w:val="0"/>
        </w:rPr>
        <w:t>着力发展数字文创，塑造特色产业发展名片</w:t>
      </w:r>
      <w:bookmarkEnd w:id="57"/>
      <w:bookmarkEnd w:id="58"/>
    </w:p>
    <w:p w:rsidR="00F9707F" w:rsidRDefault="00DE6B50">
      <w:pPr>
        <w:spacing w:line="640" w:lineRule="exact"/>
        <w:ind w:firstLineChars="200" w:firstLine="640"/>
        <w:rPr>
          <w:rFonts w:ascii="仿宋_GB2312" w:hAnsi="楷体"/>
          <w:szCs w:val="30"/>
        </w:rPr>
      </w:pPr>
      <w:r>
        <w:rPr>
          <w:rFonts w:ascii="仿宋_GB2312" w:hAnsi="楷体" w:hint="eastAsia"/>
          <w:szCs w:val="30"/>
        </w:rPr>
        <w:t>立足</w:t>
      </w:r>
      <w:r w:rsidR="001E68F4">
        <w:rPr>
          <w:rFonts w:ascii="仿宋_GB2312" w:hAnsi="楷体" w:hint="eastAsia"/>
          <w:szCs w:val="30"/>
        </w:rPr>
        <w:t>重庆大学、四川美术学院、重庆师范大学</w:t>
      </w:r>
      <w:r>
        <w:rPr>
          <w:rFonts w:ascii="仿宋_GB2312" w:hAnsi="楷体" w:hint="eastAsia"/>
          <w:szCs w:val="30"/>
        </w:rPr>
        <w:t>等高等院</w:t>
      </w:r>
      <w:r>
        <w:rPr>
          <w:rFonts w:ascii="仿宋_GB2312" w:hAnsi="楷体" w:hint="eastAsia"/>
          <w:szCs w:val="30"/>
        </w:rPr>
        <w:lastRenderedPageBreak/>
        <w:t>校的文创类专业优势，</w:t>
      </w:r>
      <w:r>
        <w:rPr>
          <w:rFonts w:ascii="仿宋_GB2312" w:hAnsi="楷体"/>
          <w:szCs w:val="30"/>
        </w:rPr>
        <w:t>重点聚焦</w:t>
      </w:r>
      <w:r>
        <w:rPr>
          <w:rFonts w:ascii="仿宋_GB2312" w:hAnsi="楷体" w:hint="eastAsia"/>
          <w:szCs w:val="30"/>
        </w:rPr>
        <w:t>工业设计、电子竞技、影视媒体、知识付费等领域，</w:t>
      </w:r>
      <w:r>
        <w:rPr>
          <w:rFonts w:ascii="仿宋_GB2312" w:hAnsi="楷体"/>
          <w:szCs w:val="30"/>
        </w:rPr>
        <w:t>形成一批骨干企业，推进一批</w:t>
      </w:r>
      <w:r>
        <w:rPr>
          <w:rFonts w:ascii="仿宋_GB2312" w:hAnsi="楷体" w:hint="eastAsia"/>
          <w:szCs w:val="30"/>
        </w:rPr>
        <w:t>重点</w:t>
      </w:r>
      <w:r>
        <w:rPr>
          <w:rFonts w:ascii="仿宋_GB2312" w:hAnsi="楷体"/>
          <w:szCs w:val="30"/>
        </w:rPr>
        <w:t>项目，建</w:t>
      </w:r>
      <w:r>
        <w:rPr>
          <w:rFonts w:ascii="仿宋_GB2312" w:hAnsi="楷体" w:hint="eastAsia"/>
          <w:szCs w:val="30"/>
        </w:rPr>
        <w:t>设</w:t>
      </w:r>
      <w:r>
        <w:rPr>
          <w:rFonts w:ascii="仿宋_GB2312" w:hAnsi="楷体"/>
          <w:szCs w:val="30"/>
        </w:rPr>
        <w:t>一批</w:t>
      </w:r>
      <w:r>
        <w:rPr>
          <w:rFonts w:ascii="仿宋_GB2312" w:hAnsi="楷体" w:hint="eastAsia"/>
          <w:szCs w:val="30"/>
        </w:rPr>
        <w:t>特色基地</w:t>
      </w:r>
      <w:r>
        <w:rPr>
          <w:rFonts w:ascii="仿宋_GB2312" w:hAnsi="楷体"/>
          <w:szCs w:val="30"/>
        </w:rPr>
        <w:t>，集聚一批</w:t>
      </w:r>
      <w:r>
        <w:rPr>
          <w:rFonts w:ascii="仿宋_GB2312" w:hAnsi="楷体" w:hint="eastAsia"/>
          <w:szCs w:val="30"/>
        </w:rPr>
        <w:t>专业</w:t>
      </w:r>
      <w:r>
        <w:rPr>
          <w:rFonts w:ascii="仿宋_GB2312" w:hAnsi="楷体"/>
          <w:szCs w:val="30"/>
        </w:rPr>
        <w:t>人才</w:t>
      </w:r>
      <w:r>
        <w:rPr>
          <w:rFonts w:ascii="仿宋_GB2312" w:hAnsi="楷体" w:hint="eastAsia"/>
          <w:szCs w:val="30"/>
        </w:rPr>
        <w:t>，</w:t>
      </w:r>
      <w:r>
        <w:rPr>
          <w:szCs w:val="30"/>
        </w:rPr>
        <w:t>力争</w:t>
      </w:r>
      <w:r>
        <w:rPr>
          <w:szCs w:val="30"/>
        </w:rPr>
        <w:t>2025</w:t>
      </w:r>
      <w:r>
        <w:rPr>
          <w:szCs w:val="30"/>
        </w:rPr>
        <w:t>年</w:t>
      </w:r>
      <w:r>
        <w:rPr>
          <w:rFonts w:hint="eastAsia"/>
          <w:szCs w:val="30"/>
        </w:rPr>
        <w:t>数字文创产业集聚效应凸显，营业收入达</w:t>
      </w:r>
      <w:r>
        <w:rPr>
          <w:szCs w:val="30"/>
        </w:rPr>
        <w:t>30</w:t>
      </w:r>
      <w:r>
        <w:rPr>
          <w:szCs w:val="30"/>
        </w:rPr>
        <w:t>亿元</w:t>
      </w:r>
      <w:r>
        <w:rPr>
          <w:rFonts w:hint="eastAsia"/>
          <w:szCs w:val="30"/>
        </w:rPr>
        <w:t>，成为高新区特色产业名片</w:t>
      </w:r>
      <w:r>
        <w:rPr>
          <w:rFonts w:ascii="仿宋_GB2312" w:hAnsi="楷体"/>
          <w:szCs w:val="30"/>
        </w:rPr>
        <w:t>。</w:t>
      </w:r>
    </w:p>
    <w:p w:rsidR="00F9707F" w:rsidRDefault="00DE6B50">
      <w:pPr>
        <w:spacing w:line="640" w:lineRule="exact"/>
        <w:ind w:firstLineChars="200" w:firstLine="643"/>
        <w:rPr>
          <w:rFonts w:ascii="仿宋_GB2312" w:hAnsi="楷体"/>
          <w:szCs w:val="30"/>
          <w:shd w:val="clear" w:color="auto" w:fill="FFFF00"/>
        </w:rPr>
      </w:pPr>
      <w:r>
        <w:rPr>
          <w:rFonts w:ascii="楷体" w:eastAsia="楷体" w:hAnsi="楷体" w:hint="eastAsia"/>
          <w:b/>
          <w:bCs/>
          <w:szCs w:val="30"/>
        </w:rPr>
        <w:t>发展重点：</w:t>
      </w:r>
      <w:r>
        <w:rPr>
          <w:rFonts w:ascii="仿宋_GB2312" w:hAnsi="楷体" w:hint="eastAsia"/>
          <w:b/>
          <w:bCs/>
          <w:szCs w:val="30"/>
        </w:rPr>
        <w:t>一是工业设计。</w:t>
      </w:r>
      <w:r>
        <w:rPr>
          <w:rFonts w:ascii="仿宋_GB2312" w:hAnsi="楷体"/>
          <w:szCs w:val="30"/>
        </w:rPr>
        <w:t>挖掘本地工业设计需求</w:t>
      </w:r>
      <w:r>
        <w:rPr>
          <w:rFonts w:ascii="仿宋_GB2312" w:hAnsi="楷体" w:hint="eastAsia"/>
          <w:szCs w:val="30"/>
        </w:rPr>
        <w:t>，培育发展</w:t>
      </w:r>
      <w:r>
        <w:rPr>
          <w:rFonts w:ascii="仿宋_GB2312" w:hAnsi="楷体"/>
          <w:szCs w:val="30"/>
        </w:rPr>
        <w:t>制造设计、</w:t>
      </w:r>
      <w:r>
        <w:rPr>
          <w:rFonts w:ascii="仿宋_GB2312" w:hAnsi="楷体" w:hint="eastAsia"/>
          <w:szCs w:val="30"/>
        </w:rPr>
        <w:t>汽车</w:t>
      </w:r>
      <w:r>
        <w:rPr>
          <w:rFonts w:ascii="仿宋_GB2312" w:hAnsi="楷体"/>
          <w:szCs w:val="30"/>
        </w:rPr>
        <w:t>及摩托车设计、</w:t>
      </w:r>
      <w:r>
        <w:rPr>
          <w:rFonts w:ascii="仿宋_GB2312" w:hAnsi="楷体" w:hint="eastAsia"/>
          <w:szCs w:val="30"/>
        </w:rPr>
        <w:t>电子</w:t>
      </w:r>
      <w:r>
        <w:rPr>
          <w:rFonts w:ascii="仿宋_GB2312" w:hAnsi="楷体"/>
          <w:szCs w:val="30"/>
        </w:rPr>
        <w:t>信息产品设计</w:t>
      </w:r>
      <w:r>
        <w:rPr>
          <w:rFonts w:ascii="仿宋_GB2312" w:hAnsi="楷体" w:hint="eastAsia"/>
          <w:szCs w:val="30"/>
        </w:rPr>
        <w:t>、</w:t>
      </w:r>
      <w:r>
        <w:rPr>
          <w:rFonts w:ascii="仿宋_GB2312" w:hAnsi="楷体"/>
          <w:szCs w:val="30"/>
        </w:rPr>
        <w:t>界面设计等工业设计</w:t>
      </w:r>
      <w:r>
        <w:rPr>
          <w:rFonts w:ascii="仿宋_GB2312" w:hAnsi="楷体" w:hint="eastAsia"/>
          <w:szCs w:val="30"/>
        </w:rPr>
        <w:t>服务，支持工业设计向</w:t>
      </w:r>
      <w:r>
        <w:rPr>
          <w:rFonts w:ascii="仿宋_GB2312" w:hAnsi="楷体"/>
          <w:szCs w:val="30"/>
        </w:rPr>
        <w:t>高端综合设计服务升级</w:t>
      </w:r>
      <w:r>
        <w:rPr>
          <w:rFonts w:ascii="仿宋_GB2312" w:hAnsi="楷体" w:hint="eastAsia"/>
          <w:szCs w:val="30"/>
        </w:rPr>
        <w:t>转变，向</w:t>
      </w:r>
      <w:r>
        <w:rPr>
          <w:rFonts w:ascii="仿宋_GB2312" w:hAnsi="楷体"/>
          <w:szCs w:val="30"/>
        </w:rPr>
        <w:t>品牌形象策划、产品内涵设计等领域延伸</w:t>
      </w:r>
      <w:r>
        <w:rPr>
          <w:rFonts w:ascii="仿宋_GB2312" w:hAnsi="楷体" w:hint="eastAsia"/>
          <w:szCs w:val="30"/>
        </w:rPr>
        <w:t>，探索</w:t>
      </w:r>
      <w:r>
        <w:rPr>
          <w:rFonts w:ascii="仿宋_GB2312" w:hAnsi="楷体"/>
          <w:szCs w:val="30"/>
        </w:rPr>
        <w:t>众包设计、用户参与设计、云设计、协同设计等</w:t>
      </w:r>
      <w:r>
        <w:rPr>
          <w:rFonts w:ascii="仿宋_GB2312" w:hAnsi="楷体" w:hint="eastAsia"/>
          <w:szCs w:val="30"/>
        </w:rPr>
        <w:t>创新服务模式，打造工业设计品牌。</w:t>
      </w:r>
      <w:r>
        <w:rPr>
          <w:rFonts w:ascii="仿宋_GB2312" w:hAnsi="楷体" w:hint="eastAsia"/>
          <w:b/>
          <w:szCs w:val="30"/>
        </w:rPr>
        <w:t>二是电子竞技。</w:t>
      </w:r>
      <w:r>
        <w:rPr>
          <w:rFonts w:ascii="仿宋_GB2312" w:hAnsi="楷体" w:hint="eastAsia"/>
          <w:szCs w:val="30"/>
        </w:rPr>
        <w:t>鼓励网络企业转型发展游戏产业，瞄准行业发展趋势，重点开发移动端、竞赛类、社交型电子竞技产品；积极引进服务电竞产业的直播平台、游戏运营平台、赛事综合服务平台等；鼓励企业开发电竞影视、电竞动漫、电子竞技战术地图等电竞衍生产品。</w:t>
      </w:r>
      <w:r>
        <w:rPr>
          <w:rFonts w:ascii="仿宋_GB2312" w:hAnsi="楷体" w:hint="eastAsia"/>
          <w:b/>
          <w:bCs/>
          <w:szCs w:val="30"/>
        </w:rPr>
        <w:t>三是</w:t>
      </w:r>
      <w:r>
        <w:rPr>
          <w:rFonts w:ascii="仿宋_GB2312" w:hAnsi="楷体"/>
          <w:b/>
          <w:bCs/>
          <w:szCs w:val="30"/>
        </w:rPr>
        <w:t>影视媒体</w:t>
      </w:r>
      <w:r>
        <w:rPr>
          <w:rFonts w:ascii="仿宋_GB2312" w:hAnsi="楷体" w:hint="eastAsia"/>
          <w:b/>
          <w:bCs/>
          <w:szCs w:val="30"/>
        </w:rPr>
        <w:t>。</w:t>
      </w:r>
      <w:r>
        <w:rPr>
          <w:rFonts w:ascii="仿宋_GB2312" w:hAnsi="楷体" w:hint="eastAsia"/>
          <w:szCs w:val="30"/>
        </w:rPr>
        <w:t>立足</w:t>
      </w:r>
      <w:r w:rsidR="001E68F4">
        <w:rPr>
          <w:rFonts w:ascii="仿宋_GB2312" w:hAnsi="楷体" w:hint="eastAsia"/>
          <w:szCs w:val="30"/>
        </w:rPr>
        <w:t>重庆大学、四川美术学院</w:t>
      </w:r>
      <w:r>
        <w:rPr>
          <w:rFonts w:ascii="仿宋_GB2312" w:hAnsi="楷体" w:hint="eastAsia"/>
          <w:szCs w:val="30"/>
        </w:rPr>
        <w:t>的戏剧与影视学、美术学、设计等学科建设，重点聚焦影视元素设计、影视场景设计、平面海报设计、影视后期制作、媒体产品加工等专业性影视媒体服务领域，鼓励开拓</w:t>
      </w:r>
      <w:r>
        <w:rPr>
          <w:rFonts w:ascii="仿宋_GB2312" w:hAnsi="楷体"/>
          <w:szCs w:val="30"/>
        </w:rPr>
        <w:t>虚拟现实</w:t>
      </w:r>
      <w:r>
        <w:rPr>
          <w:rFonts w:ascii="仿宋_GB2312" w:hAnsi="楷体" w:hint="eastAsia"/>
          <w:szCs w:val="30"/>
        </w:rPr>
        <w:t>、</w:t>
      </w:r>
      <w:r>
        <w:rPr>
          <w:rFonts w:ascii="仿宋_GB2312" w:hAnsi="楷体"/>
          <w:szCs w:val="30"/>
        </w:rPr>
        <w:t>互动影视</w:t>
      </w:r>
      <w:r>
        <w:rPr>
          <w:rFonts w:ascii="仿宋_GB2312" w:hAnsi="楷体" w:hint="eastAsia"/>
          <w:szCs w:val="30"/>
        </w:rPr>
        <w:t>、</w:t>
      </w:r>
      <w:r>
        <w:rPr>
          <w:rFonts w:ascii="仿宋_GB2312" w:hAnsi="楷体"/>
          <w:szCs w:val="30"/>
        </w:rPr>
        <w:t>表演捕捉、虚拟摄影、可视化预演、立体</w:t>
      </w:r>
      <w:r>
        <w:rPr>
          <w:szCs w:val="30"/>
        </w:rPr>
        <w:t>3D</w:t>
      </w:r>
      <w:r>
        <w:rPr>
          <w:rFonts w:ascii="仿宋_GB2312" w:hAnsi="楷体" w:hint="eastAsia"/>
          <w:szCs w:val="30"/>
        </w:rPr>
        <w:t>、云媒体交互等专业服务方向。</w:t>
      </w:r>
      <w:r>
        <w:rPr>
          <w:rFonts w:ascii="仿宋_GB2312" w:hAnsi="楷体" w:hint="eastAsia"/>
          <w:b/>
          <w:szCs w:val="30"/>
        </w:rPr>
        <w:t>四是知识付费。</w:t>
      </w:r>
      <w:r>
        <w:rPr>
          <w:rFonts w:ascii="仿宋_GB2312" w:hAnsi="楷体" w:hint="eastAsia"/>
          <w:szCs w:val="30"/>
        </w:rPr>
        <w:t>鼓励网络内容创作人和运</w:t>
      </w:r>
      <w:r>
        <w:rPr>
          <w:rFonts w:ascii="仿宋_GB2312" w:hAnsi="楷体" w:hint="eastAsia"/>
          <w:szCs w:val="30"/>
        </w:rPr>
        <w:lastRenderedPageBreak/>
        <w:t>营团队入驻文创产业平台，大力发展数字学习、网络阅读、有声读物、数字出版等多元化的数字内容产业。</w:t>
      </w:r>
    </w:p>
    <w:p w:rsidR="00F9707F" w:rsidRDefault="00DE6B50">
      <w:pPr>
        <w:spacing w:line="640" w:lineRule="exact"/>
        <w:ind w:firstLineChars="200" w:firstLine="643"/>
        <w:rPr>
          <w:rFonts w:ascii="仿宋_GB2312" w:hAnsi="楷体"/>
          <w:szCs w:val="30"/>
        </w:rPr>
      </w:pPr>
      <w:r>
        <w:rPr>
          <w:rFonts w:ascii="楷体" w:eastAsia="楷体" w:hAnsi="楷体" w:hint="eastAsia"/>
          <w:b/>
          <w:bCs/>
          <w:szCs w:val="30"/>
        </w:rPr>
        <w:t>关键路径：</w:t>
      </w:r>
      <w:r>
        <w:rPr>
          <w:rFonts w:ascii="仿宋_GB2312" w:hAnsi="楷体" w:hint="eastAsia"/>
          <w:b/>
          <w:bCs/>
          <w:szCs w:val="30"/>
        </w:rPr>
        <w:t>一是加快打造数字文创产业载体。</w:t>
      </w:r>
      <w:r>
        <w:rPr>
          <w:rFonts w:ascii="仿宋_GB2312" w:hAnsi="楷体" w:hint="eastAsia"/>
          <w:szCs w:val="30"/>
        </w:rPr>
        <w:t>打造一批数字文化创意园区，积极探索部市共建项目，积极争创国家、市级文化产业示范基地。充分</w:t>
      </w:r>
      <w:r>
        <w:rPr>
          <w:rFonts w:ascii="仿宋_GB2312" w:hAnsi="楷体"/>
          <w:szCs w:val="30"/>
        </w:rPr>
        <w:t>依托高校</w:t>
      </w:r>
      <w:r>
        <w:rPr>
          <w:rFonts w:ascii="仿宋_GB2312" w:hAnsi="楷体" w:hint="eastAsia"/>
          <w:szCs w:val="30"/>
        </w:rPr>
        <w:t>文创学科领域的各类</w:t>
      </w:r>
      <w:r>
        <w:rPr>
          <w:rFonts w:ascii="仿宋_GB2312" w:hAnsi="楷体"/>
          <w:szCs w:val="30"/>
        </w:rPr>
        <w:t>资源，</w:t>
      </w:r>
      <w:r>
        <w:rPr>
          <w:rFonts w:ascii="仿宋_GB2312" w:hAnsi="楷体" w:hint="eastAsia"/>
          <w:szCs w:val="30"/>
        </w:rPr>
        <w:t>在高校和产业园区设立数字文创领军人才和领军团队的工作室，在大学城规划打造一批集设计、教育、展示、洽谈等功能于一体的数字文创艺术工坊，加快打造大学城数字文创产业创新链。盘活虎溪街道村落载体资源，规划建设画家村、领军人才艺术工作坊等，打造特色文化村落。</w:t>
      </w:r>
      <w:r>
        <w:rPr>
          <w:rFonts w:ascii="仿宋_GB2312" w:hAnsi="楷体" w:hint="eastAsia"/>
          <w:b/>
          <w:bCs/>
          <w:szCs w:val="30"/>
        </w:rPr>
        <w:t>二是引进和培育数字文创龙头企业和专业机构。</w:t>
      </w:r>
      <w:r>
        <w:rPr>
          <w:rFonts w:ascii="仿宋_GB2312" w:hAnsi="楷体" w:hint="eastAsia"/>
          <w:szCs w:val="30"/>
        </w:rPr>
        <w:t>积极引进国内知名的数字文创平台企业、数字内容企业和美术影视类高校。整合文创资源和文创品牌，引进知名文创产业集团打造数字文创产业园，形成商业层面依托集团、设计层面依托团队的文创产业运作模式，打造国内一流的中西部地区领军的航母型文创企业。</w:t>
      </w:r>
      <w:r>
        <w:rPr>
          <w:rFonts w:ascii="仿宋_GB2312" w:hAnsi="楷体" w:hint="eastAsia"/>
          <w:b/>
          <w:bCs/>
          <w:szCs w:val="30"/>
        </w:rPr>
        <w:t>三是聚力打造一批数字文创品牌项目。</w:t>
      </w:r>
      <w:r>
        <w:rPr>
          <w:rFonts w:ascii="仿宋_GB2312" w:hAnsi="楷体" w:hint="eastAsia"/>
          <w:szCs w:val="30"/>
        </w:rPr>
        <w:t>依托</w:t>
      </w:r>
      <w:r w:rsidR="00E9741A">
        <w:rPr>
          <w:rFonts w:ascii="仿宋_GB2312" w:hAnsi="楷体" w:hint="eastAsia"/>
          <w:szCs w:val="30"/>
        </w:rPr>
        <w:t>大学城</w:t>
      </w:r>
      <w:r>
        <w:rPr>
          <w:rFonts w:ascii="仿宋_GB2312" w:hAnsi="楷体" w:hint="eastAsia"/>
          <w:szCs w:val="30"/>
        </w:rPr>
        <w:t>特色文化底蕴，结合影视娱乐、现代美术等方面的设计元素，推出一批高质量的生活文创产品，对获得国内外权威设计奖项（如德国</w:t>
      </w:r>
      <w:r>
        <w:rPr>
          <w:rFonts w:ascii="仿宋_GB2312" w:hAnsi="楷体"/>
          <w:szCs w:val="30"/>
        </w:rPr>
        <w:t>IF</w:t>
      </w:r>
      <w:r>
        <w:rPr>
          <w:rFonts w:ascii="仿宋_GB2312" w:hAnsi="楷体" w:hint="eastAsia"/>
          <w:szCs w:val="30"/>
        </w:rPr>
        <w:t>奖、德国红点奖、日本</w:t>
      </w:r>
      <w:r>
        <w:rPr>
          <w:rFonts w:ascii="仿宋_GB2312" w:hAnsi="楷体"/>
          <w:szCs w:val="30"/>
        </w:rPr>
        <w:t>GMARK</w:t>
      </w:r>
      <w:r>
        <w:rPr>
          <w:rFonts w:ascii="仿宋_GB2312" w:hAnsi="楷体" w:hint="eastAsia"/>
          <w:szCs w:val="30"/>
        </w:rPr>
        <w:t>奖、美国</w:t>
      </w:r>
      <w:r>
        <w:rPr>
          <w:rFonts w:ascii="仿宋_GB2312" w:hAnsi="楷体"/>
          <w:szCs w:val="30"/>
        </w:rPr>
        <w:t>IDEA</w:t>
      </w:r>
      <w:r>
        <w:rPr>
          <w:rFonts w:ascii="仿宋_GB2312" w:hAnsi="楷体" w:hint="eastAsia"/>
          <w:szCs w:val="30"/>
        </w:rPr>
        <w:t>奖、中国优秀工业设计奖等）的企业给予奖励。充分发挥重庆工业设计协会的资源整合作用，加快引进国内外最权</w:t>
      </w:r>
      <w:r>
        <w:rPr>
          <w:rFonts w:ascii="仿宋_GB2312" w:hAnsi="楷体" w:hint="eastAsia"/>
          <w:szCs w:val="30"/>
        </w:rPr>
        <w:lastRenderedPageBreak/>
        <w:t>威的工业设计品牌服务商。</w:t>
      </w:r>
      <w:bookmarkStart w:id="59" w:name="_Toc25594"/>
      <w:bookmarkStart w:id="60" w:name="_Toc13590"/>
      <w:r>
        <w:rPr>
          <w:rFonts w:ascii="仿宋_GB2312" w:hAnsi="楷体" w:hint="eastAsia"/>
          <w:b/>
          <w:bCs/>
          <w:szCs w:val="30"/>
        </w:rPr>
        <w:t>四是策划有影响力的数字文创品牌活动。</w:t>
      </w:r>
      <w:r>
        <w:rPr>
          <w:rFonts w:ascii="仿宋_GB2312" w:hAnsi="楷体" w:hint="eastAsia"/>
          <w:szCs w:val="30"/>
        </w:rPr>
        <w:t>积极组织开展数字文创大赛、顶级电竞赛事、动漫游戏展览、传统文化艺术品展示、大型文化演绎、国际文化交流等各类数字文创线下活动，运用互联网、云媒体交互、虚拟现实等先进技术探索开展线上特色数字文创活动，积极对接国内外数字文创领域的重大品牌赛事和节日会展组织方，引进具有国内外影响力的数字文创品牌活动，共同做强重庆更具影响力和显示度的网络媒体和数字文创</w:t>
      </w:r>
      <w:r>
        <w:rPr>
          <w:rFonts w:ascii="仿宋_GB2312" w:hAnsi="楷体" w:hint="eastAsia"/>
          <w:szCs w:val="30"/>
        </w:rPr>
        <w:t>I</w:t>
      </w:r>
      <w:r>
        <w:rPr>
          <w:rFonts w:ascii="仿宋_GB2312" w:hAnsi="楷体"/>
          <w:szCs w:val="30"/>
        </w:rPr>
        <w:t>P</w:t>
      </w:r>
      <w:r>
        <w:rPr>
          <w:rFonts w:ascii="仿宋_GB2312" w:hAnsi="楷体" w:hint="eastAsia"/>
          <w:szCs w:val="30"/>
        </w:rPr>
        <w:t>。</w:t>
      </w:r>
    </w:p>
    <w:p w:rsidR="00F9707F" w:rsidRDefault="00DE6B50">
      <w:pPr>
        <w:spacing w:line="640" w:lineRule="exact"/>
        <w:ind w:firstLineChars="200" w:firstLine="643"/>
        <w:rPr>
          <w:rFonts w:ascii="仿宋_GB2312" w:hAnsi="楷体"/>
          <w:szCs w:val="30"/>
        </w:rPr>
      </w:pPr>
      <w:r>
        <w:rPr>
          <w:rFonts w:ascii="楷体" w:eastAsia="楷体" w:hAnsi="楷体" w:hint="eastAsia"/>
          <w:b/>
          <w:bCs/>
          <w:szCs w:val="30"/>
        </w:rPr>
        <w:t>空间布局：</w:t>
      </w:r>
      <w:r>
        <w:rPr>
          <w:rFonts w:ascii="仿宋_GB2312" w:hAnsi="楷体" w:hint="eastAsia"/>
          <w:szCs w:val="30"/>
        </w:rPr>
        <w:t>数字文创产业重点布局在大学城片区，</w:t>
      </w:r>
      <w:r>
        <w:rPr>
          <w:rFonts w:ascii="仿宋_GB2312" w:hAnsi="楷体" w:hint="eastAsia"/>
          <w:szCs w:val="30"/>
        </w:rPr>
        <w:t>2</w:t>
      </w:r>
      <w:r>
        <w:rPr>
          <w:rFonts w:ascii="仿宋_GB2312" w:hAnsi="楷体"/>
          <w:szCs w:val="30"/>
        </w:rPr>
        <w:t>025</w:t>
      </w:r>
      <w:r>
        <w:rPr>
          <w:rFonts w:ascii="仿宋_GB2312" w:hAnsi="楷体"/>
          <w:szCs w:val="30"/>
        </w:rPr>
        <w:t>年</w:t>
      </w:r>
      <w:r>
        <w:rPr>
          <w:rFonts w:ascii="仿宋_GB2312" w:hAnsi="楷体" w:hint="eastAsia"/>
          <w:szCs w:val="30"/>
        </w:rPr>
        <w:t>产业用地合计为</w:t>
      </w:r>
      <w:r>
        <w:rPr>
          <w:rFonts w:ascii="仿宋_GB2312" w:hAnsi="楷体"/>
          <w:szCs w:val="30"/>
        </w:rPr>
        <w:t>754</w:t>
      </w:r>
      <w:r>
        <w:rPr>
          <w:rFonts w:ascii="仿宋_GB2312" w:hAnsi="楷体"/>
          <w:szCs w:val="30"/>
        </w:rPr>
        <w:t>亩</w:t>
      </w:r>
      <w:r>
        <w:rPr>
          <w:rFonts w:ascii="仿宋_GB2312" w:hAnsi="楷体" w:hint="eastAsia"/>
          <w:szCs w:val="30"/>
        </w:rPr>
        <w:t>，依托游族、完美等龙头企业，打造高新区数字文创产业园。依托四川美术学院、重庆大学、重庆师范大学等学府，鼓励文创资源溢出，打造环大学城数字文创微空间；盘活虎溪街道、曾家镇等存量空间。重点项目包括游族西南总部、完美世界西南总部、川美工业设计中心、四川美术学院微企园、大学城数字文创基地、虎溪风情街等。</w:t>
      </w:r>
    </w:p>
    <w:p w:rsidR="00F9707F" w:rsidRDefault="00F9707F">
      <w:pPr>
        <w:pStyle w:val="a0"/>
      </w:pPr>
    </w:p>
    <w:p w:rsidR="00F9707F" w:rsidRDefault="00F9707F">
      <w:pPr>
        <w:pStyle w:val="a0"/>
      </w:pPr>
    </w:p>
    <w:p w:rsidR="00F9707F" w:rsidRDefault="00F9707F">
      <w:pPr>
        <w:pStyle w:val="a0"/>
      </w:pPr>
    </w:p>
    <w:p w:rsidR="00F9707F" w:rsidRDefault="00F9707F">
      <w:pPr>
        <w:pStyle w:val="a0"/>
      </w:pPr>
    </w:p>
    <w:p w:rsidR="001E68F4" w:rsidRDefault="001E68F4">
      <w:pPr>
        <w:pStyle w:val="a0"/>
      </w:pPr>
    </w:p>
    <w:p w:rsidR="00F9707F" w:rsidRDefault="00F9707F">
      <w:pPr>
        <w:pStyle w:val="a0"/>
      </w:pPr>
    </w:p>
    <w:p w:rsidR="001E68F4" w:rsidRDefault="001E68F4">
      <w:pPr>
        <w:pStyle w:val="a0"/>
      </w:pPr>
    </w:p>
    <w:p w:rsidR="001E68F4" w:rsidRDefault="001E68F4">
      <w:pPr>
        <w:pStyle w:val="a0"/>
      </w:pPr>
    </w:p>
    <w:p w:rsidR="00F9707F" w:rsidRDefault="00F9707F">
      <w:pPr>
        <w:pStyle w:val="a0"/>
      </w:pPr>
    </w:p>
    <w:p w:rsidR="00DA5C7F" w:rsidRDefault="00DA5C7F">
      <w:pPr>
        <w:pStyle w:val="a0"/>
      </w:pPr>
    </w:p>
    <w:p w:rsidR="00F9707F" w:rsidRDefault="00F9707F">
      <w:pPr>
        <w:pStyle w:val="a0"/>
      </w:pPr>
    </w:p>
    <w:p w:rsidR="00F9707F" w:rsidRDefault="00F9707F">
      <w:pPr>
        <w:pStyle w:val="a0"/>
      </w:pPr>
    </w:p>
    <w:p w:rsidR="00F9707F" w:rsidRDefault="00F9707F">
      <w:pPr>
        <w:pStyle w:val="a0"/>
      </w:pPr>
    </w:p>
    <w:p w:rsidR="00F9707F" w:rsidRDefault="00F9707F">
      <w:pPr>
        <w:pStyle w:val="a0"/>
      </w:pPr>
    </w:p>
    <w:p w:rsidR="00F9707F" w:rsidRDefault="00F9707F">
      <w:pPr>
        <w:pStyle w:val="a0"/>
        <w:jc w:val="center"/>
      </w:pPr>
    </w:p>
    <w:p w:rsidR="00F9707F" w:rsidRDefault="00DE6B50">
      <w:pPr>
        <w:pStyle w:val="a0"/>
        <w:jc w:val="center"/>
        <w:rPr>
          <w:rFonts w:ascii="宋体" w:eastAsia="宋体" w:hAnsi="宋体"/>
          <w:sz w:val="24"/>
        </w:rPr>
      </w:pPr>
      <w:r>
        <w:rPr>
          <w:rFonts w:ascii="宋体" w:eastAsia="宋体" w:hAnsi="宋体"/>
          <w:sz w:val="24"/>
        </w:rPr>
        <w:lastRenderedPageBreak/>
        <w:t>表5</w:t>
      </w:r>
      <w:r>
        <w:rPr>
          <w:rFonts w:ascii="宋体" w:eastAsia="宋体" w:hAnsi="宋体" w:hint="eastAsia"/>
          <w:sz w:val="24"/>
        </w:rPr>
        <w:t>：数字文创平台重点项目</w:t>
      </w:r>
    </w:p>
    <w:tbl>
      <w:tblPr>
        <w:tblStyle w:val="62"/>
        <w:tblW w:w="8784" w:type="dxa"/>
        <w:tblLayout w:type="fixed"/>
        <w:tblLook w:val="04A0" w:firstRow="1" w:lastRow="0" w:firstColumn="1" w:lastColumn="0" w:noHBand="0" w:noVBand="1"/>
      </w:tblPr>
      <w:tblGrid>
        <w:gridCol w:w="2795"/>
        <w:gridCol w:w="1267"/>
        <w:gridCol w:w="1603"/>
        <w:gridCol w:w="1574"/>
        <w:gridCol w:w="1545"/>
      </w:tblGrid>
      <w:tr w:rsidR="00F9707F">
        <w:tc>
          <w:tcPr>
            <w:tcW w:w="2795"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项目名称</w:t>
            </w:r>
          </w:p>
        </w:tc>
        <w:tc>
          <w:tcPr>
            <w:tcW w:w="1267"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所属区域</w:t>
            </w:r>
          </w:p>
        </w:tc>
        <w:tc>
          <w:tcPr>
            <w:tcW w:w="1603" w:type="dxa"/>
            <w:vAlign w:val="center"/>
          </w:tcPr>
          <w:p w:rsidR="00F9707F" w:rsidRDefault="00DE6B50">
            <w:pPr>
              <w:spacing w:line="240" w:lineRule="auto"/>
              <w:jc w:val="center"/>
              <w:rPr>
                <w:rFonts w:ascii="宋体" w:eastAsia="宋体" w:hAnsi="宋体"/>
                <w:b/>
                <w:sz w:val="24"/>
              </w:rPr>
            </w:pPr>
            <w:r>
              <w:rPr>
                <w:rFonts w:ascii="宋体" w:eastAsia="宋体" w:hAnsi="宋体"/>
                <w:b/>
                <w:sz w:val="24"/>
              </w:rPr>
              <w:t>建设功能</w:t>
            </w:r>
          </w:p>
        </w:tc>
        <w:tc>
          <w:tcPr>
            <w:tcW w:w="1574" w:type="dxa"/>
            <w:vAlign w:val="center"/>
          </w:tcPr>
          <w:p w:rsidR="00F9707F" w:rsidRDefault="00DE6B50">
            <w:pPr>
              <w:spacing w:line="240" w:lineRule="auto"/>
              <w:jc w:val="center"/>
              <w:rPr>
                <w:rFonts w:ascii="宋体" w:eastAsia="宋体" w:hAnsi="宋体"/>
                <w:b/>
                <w:sz w:val="24"/>
              </w:rPr>
            </w:pPr>
            <w:r>
              <w:rPr>
                <w:rFonts w:ascii="宋体" w:eastAsia="宋体" w:hAnsi="宋体" w:hint="eastAsia"/>
                <w:b/>
                <w:sz w:val="24"/>
              </w:rPr>
              <w:t>占地面积（亩）</w:t>
            </w:r>
          </w:p>
        </w:tc>
        <w:tc>
          <w:tcPr>
            <w:tcW w:w="1545" w:type="dxa"/>
            <w:vAlign w:val="center"/>
          </w:tcPr>
          <w:p w:rsidR="00F9707F" w:rsidRDefault="00DE6B50">
            <w:pPr>
              <w:spacing w:line="240" w:lineRule="auto"/>
              <w:jc w:val="center"/>
              <w:rPr>
                <w:rFonts w:ascii="宋体" w:eastAsia="宋体" w:hAnsi="宋体"/>
                <w:b/>
                <w:sz w:val="24"/>
              </w:rPr>
            </w:pPr>
            <w:r>
              <w:rPr>
                <w:rFonts w:ascii="宋体" w:eastAsia="宋体" w:hAnsi="宋体" w:hint="eastAsia"/>
                <w:b/>
                <w:sz w:val="24"/>
              </w:rPr>
              <w:t>产值目标</w:t>
            </w:r>
          </w:p>
          <w:p w:rsidR="00F9707F" w:rsidRDefault="00DE6B50">
            <w:pPr>
              <w:spacing w:line="240" w:lineRule="auto"/>
              <w:jc w:val="center"/>
              <w:rPr>
                <w:rFonts w:ascii="宋体" w:eastAsia="宋体" w:hAnsi="宋体"/>
                <w:b/>
                <w:sz w:val="24"/>
              </w:rPr>
            </w:pPr>
            <w:r>
              <w:rPr>
                <w:rFonts w:ascii="宋体" w:eastAsia="宋体" w:hAnsi="宋体" w:hint="eastAsia"/>
                <w:b/>
                <w:sz w:val="24"/>
              </w:rPr>
              <w:t>（亿元）</w:t>
            </w:r>
          </w:p>
        </w:tc>
      </w:tr>
      <w:tr w:rsidR="00F9707F">
        <w:trPr>
          <w:trHeight w:val="586"/>
        </w:trPr>
        <w:tc>
          <w:tcPr>
            <w:tcW w:w="279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大学城数字文创基地</w:t>
            </w:r>
          </w:p>
        </w:tc>
        <w:tc>
          <w:tcPr>
            <w:tcW w:w="1267"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虎溪街道</w:t>
            </w:r>
          </w:p>
        </w:tc>
        <w:tc>
          <w:tcPr>
            <w:tcW w:w="160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数字文创</w:t>
            </w:r>
          </w:p>
        </w:tc>
        <w:tc>
          <w:tcPr>
            <w:tcW w:w="1574" w:type="dxa"/>
            <w:vAlign w:val="center"/>
          </w:tcPr>
          <w:p w:rsidR="00F9707F" w:rsidRDefault="00DE6B50">
            <w:pPr>
              <w:spacing w:line="240" w:lineRule="auto"/>
              <w:jc w:val="center"/>
              <w:rPr>
                <w:rFonts w:ascii="宋体" w:eastAsia="宋体" w:hAnsi="宋体"/>
                <w:sz w:val="24"/>
              </w:rPr>
            </w:pPr>
            <w:r>
              <w:rPr>
                <w:rFonts w:ascii="宋体" w:eastAsia="宋体" w:hAnsi="宋体"/>
                <w:sz w:val="24"/>
              </w:rPr>
              <w:t>100</w:t>
            </w:r>
          </w:p>
        </w:tc>
        <w:tc>
          <w:tcPr>
            <w:tcW w:w="1545" w:type="dxa"/>
            <w:vAlign w:val="center"/>
          </w:tcPr>
          <w:p w:rsidR="00F9707F" w:rsidRDefault="00DE6B50">
            <w:pPr>
              <w:spacing w:line="240" w:lineRule="auto"/>
              <w:jc w:val="center"/>
              <w:rPr>
                <w:rFonts w:ascii="宋体" w:eastAsia="宋体" w:hAnsi="宋体"/>
                <w:sz w:val="24"/>
              </w:rPr>
            </w:pPr>
            <w:r>
              <w:rPr>
                <w:rFonts w:ascii="宋体" w:eastAsia="宋体" w:hAnsi="宋体"/>
                <w:sz w:val="24"/>
              </w:rPr>
              <w:t>10</w:t>
            </w:r>
          </w:p>
        </w:tc>
      </w:tr>
      <w:tr w:rsidR="00F9707F">
        <w:trPr>
          <w:trHeight w:val="565"/>
        </w:trPr>
        <w:tc>
          <w:tcPr>
            <w:tcW w:w="279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川美工业设计中心</w:t>
            </w:r>
          </w:p>
        </w:tc>
        <w:tc>
          <w:tcPr>
            <w:tcW w:w="1267"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川美校内</w:t>
            </w:r>
          </w:p>
        </w:tc>
        <w:tc>
          <w:tcPr>
            <w:tcW w:w="1603" w:type="dxa"/>
            <w:vAlign w:val="center"/>
          </w:tcPr>
          <w:p w:rsidR="00F9707F" w:rsidRDefault="00DE6B50">
            <w:pPr>
              <w:pStyle w:val="a0"/>
              <w:jc w:val="center"/>
            </w:pPr>
            <w:r>
              <w:rPr>
                <w:rFonts w:ascii="宋体" w:eastAsia="宋体" w:hAnsi="宋体"/>
                <w:sz w:val="24"/>
                <w:szCs w:val="22"/>
              </w:rPr>
              <w:t>工业设计</w:t>
            </w:r>
          </w:p>
        </w:tc>
        <w:tc>
          <w:tcPr>
            <w:tcW w:w="1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w:t>
            </w:r>
          </w:p>
        </w:tc>
        <w:tc>
          <w:tcPr>
            <w:tcW w:w="154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w:t>
            </w:r>
          </w:p>
        </w:tc>
      </w:tr>
      <w:tr w:rsidR="00F9707F">
        <w:trPr>
          <w:trHeight w:val="559"/>
        </w:trPr>
        <w:tc>
          <w:tcPr>
            <w:tcW w:w="279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四川美术学院微企园</w:t>
            </w:r>
          </w:p>
        </w:tc>
        <w:tc>
          <w:tcPr>
            <w:tcW w:w="1267"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川美校内</w:t>
            </w:r>
          </w:p>
        </w:tc>
        <w:tc>
          <w:tcPr>
            <w:tcW w:w="160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数字文创</w:t>
            </w:r>
          </w:p>
        </w:tc>
        <w:tc>
          <w:tcPr>
            <w:tcW w:w="1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2</w:t>
            </w:r>
            <w:r>
              <w:rPr>
                <w:rFonts w:ascii="宋体" w:eastAsia="宋体" w:hAnsi="宋体"/>
                <w:sz w:val="24"/>
              </w:rPr>
              <w:t>5</w:t>
            </w:r>
          </w:p>
        </w:tc>
        <w:tc>
          <w:tcPr>
            <w:tcW w:w="154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w:t>
            </w:r>
          </w:p>
        </w:tc>
      </w:tr>
      <w:tr w:rsidR="00F9707F">
        <w:trPr>
          <w:trHeight w:val="553"/>
        </w:trPr>
        <w:tc>
          <w:tcPr>
            <w:tcW w:w="279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虎溪风情街</w:t>
            </w:r>
          </w:p>
        </w:tc>
        <w:tc>
          <w:tcPr>
            <w:tcW w:w="1267"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虎溪街道</w:t>
            </w:r>
          </w:p>
        </w:tc>
        <w:tc>
          <w:tcPr>
            <w:tcW w:w="160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数字文创</w:t>
            </w:r>
          </w:p>
        </w:tc>
        <w:tc>
          <w:tcPr>
            <w:tcW w:w="1574" w:type="dxa"/>
            <w:vAlign w:val="center"/>
          </w:tcPr>
          <w:p w:rsidR="00F9707F" w:rsidRDefault="00DE6B50">
            <w:pPr>
              <w:spacing w:line="240" w:lineRule="auto"/>
              <w:jc w:val="center"/>
              <w:rPr>
                <w:rFonts w:ascii="宋体" w:eastAsia="宋体" w:hAnsi="宋体"/>
                <w:sz w:val="24"/>
              </w:rPr>
            </w:pPr>
            <w:r>
              <w:rPr>
                <w:rFonts w:ascii="宋体" w:eastAsia="宋体" w:hAnsi="宋体"/>
                <w:sz w:val="24"/>
              </w:rPr>
              <w:t>150</w:t>
            </w:r>
          </w:p>
        </w:tc>
        <w:tc>
          <w:tcPr>
            <w:tcW w:w="1545" w:type="dxa"/>
            <w:vAlign w:val="center"/>
          </w:tcPr>
          <w:p w:rsidR="00F9707F" w:rsidRDefault="00DE6B50">
            <w:pPr>
              <w:spacing w:line="240" w:lineRule="auto"/>
              <w:jc w:val="center"/>
              <w:rPr>
                <w:rFonts w:ascii="宋体" w:eastAsia="宋体" w:hAnsi="宋体"/>
                <w:sz w:val="24"/>
              </w:rPr>
            </w:pPr>
            <w:r>
              <w:rPr>
                <w:rFonts w:ascii="宋体" w:eastAsia="宋体" w:hAnsi="宋体"/>
                <w:sz w:val="24"/>
              </w:rPr>
              <w:t>15</w:t>
            </w:r>
          </w:p>
        </w:tc>
      </w:tr>
      <w:tr w:rsidR="00F9707F">
        <w:trPr>
          <w:trHeight w:val="689"/>
        </w:trPr>
        <w:tc>
          <w:tcPr>
            <w:tcW w:w="279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游族西南总部项目</w:t>
            </w:r>
          </w:p>
        </w:tc>
        <w:tc>
          <w:tcPr>
            <w:tcW w:w="1267"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曾家镇</w:t>
            </w:r>
          </w:p>
        </w:tc>
        <w:tc>
          <w:tcPr>
            <w:tcW w:w="160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电子竞技</w:t>
            </w:r>
          </w:p>
        </w:tc>
        <w:tc>
          <w:tcPr>
            <w:tcW w:w="1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04</w:t>
            </w:r>
          </w:p>
        </w:tc>
        <w:tc>
          <w:tcPr>
            <w:tcW w:w="154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0</w:t>
            </w:r>
          </w:p>
        </w:tc>
      </w:tr>
      <w:tr w:rsidR="00F9707F">
        <w:trPr>
          <w:trHeight w:val="570"/>
        </w:trPr>
        <w:tc>
          <w:tcPr>
            <w:tcW w:w="279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完美世界文创项目</w:t>
            </w:r>
          </w:p>
        </w:tc>
        <w:tc>
          <w:tcPr>
            <w:tcW w:w="1267"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曾家镇</w:t>
            </w:r>
          </w:p>
        </w:tc>
        <w:tc>
          <w:tcPr>
            <w:tcW w:w="160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电子竞技</w:t>
            </w:r>
          </w:p>
        </w:tc>
        <w:tc>
          <w:tcPr>
            <w:tcW w:w="1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00</w:t>
            </w:r>
          </w:p>
        </w:tc>
        <w:tc>
          <w:tcPr>
            <w:tcW w:w="154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0</w:t>
            </w:r>
          </w:p>
        </w:tc>
      </w:tr>
      <w:tr w:rsidR="00F9707F">
        <w:trPr>
          <w:trHeight w:val="550"/>
        </w:trPr>
        <w:tc>
          <w:tcPr>
            <w:tcW w:w="279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文创项目拓展区</w:t>
            </w:r>
          </w:p>
        </w:tc>
        <w:tc>
          <w:tcPr>
            <w:tcW w:w="1267"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西永</w:t>
            </w:r>
          </w:p>
        </w:tc>
        <w:tc>
          <w:tcPr>
            <w:tcW w:w="160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电子竞技</w:t>
            </w:r>
          </w:p>
        </w:tc>
        <w:tc>
          <w:tcPr>
            <w:tcW w:w="1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3</w:t>
            </w:r>
            <w:r>
              <w:rPr>
                <w:rFonts w:ascii="宋体" w:eastAsia="宋体" w:hAnsi="宋体"/>
                <w:sz w:val="24"/>
              </w:rPr>
              <w:t>00</w:t>
            </w:r>
          </w:p>
        </w:tc>
        <w:tc>
          <w:tcPr>
            <w:tcW w:w="1545" w:type="dxa"/>
            <w:vAlign w:val="center"/>
          </w:tcPr>
          <w:p w:rsidR="00F9707F" w:rsidRDefault="00DE6B50">
            <w:pPr>
              <w:spacing w:line="240" w:lineRule="auto"/>
              <w:jc w:val="center"/>
              <w:rPr>
                <w:rFonts w:ascii="宋体" w:eastAsia="宋体" w:hAnsi="宋体"/>
                <w:sz w:val="24"/>
              </w:rPr>
            </w:pPr>
            <w:r>
              <w:rPr>
                <w:rFonts w:ascii="宋体" w:eastAsia="宋体" w:hAnsi="宋体"/>
                <w:sz w:val="24"/>
              </w:rPr>
              <w:t>30</w:t>
            </w:r>
          </w:p>
        </w:tc>
      </w:tr>
      <w:tr w:rsidR="00F9707F">
        <w:trPr>
          <w:trHeight w:val="559"/>
        </w:trPr>
        <w:tc>
          <w:tcPr>
            <w:tcW w:w="279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虎溪山村文创基地</w:t>
            </w:r>
          </w:p>
        </w:tc>
        <w:tc>
          <w:tcPr>
            <w:tcW w:w="1267"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虎溪街道</w:t>
            </w:r>
          </w:p>
        </w:tc>
        <w:tc>
          <w:tcPr>
            <w:tcW w:w="1603"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文化创意</w:t>
            </w:r>
          </w:p>
        </w:tc>
        <w:tc>
          <w:tcPr>
            <w:tcW w:w="1574"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3</w:t>
            </w:r>
            <w:r>
              <w:rPr>
                <w:rFonts w:ascii="宋体" w:eastAsia="宋体" w:hAnsi="宋体"/>
                <w:sz w:val="24"/>
              </w:rPr>
              <w:t>000</w:t>
            </w:r>
          </w:p>
        </w:tc>
        <w:tc>
          <w:tcPr>
            <w:tcW w:w="1545" w:type="dxa"/>
            <w:vAlign w:val="center"/>
          </w:tcPr>
          <w:p w:rsidR="00F9707F" w:rsidRDefault="00DE6B50">
            <w:pPr>
              <w:spacing w:line="240" w:lineRule="auto"/>
              <w:jc w:val="center"/>
              <w:rPr>
                <w:rFonts w:ascii="宋体" w:eastAsia="宋体" w:hAnsi="宋体"/>
                <w:sz w:val="24"/>
              </w:rPr>
            </w:pPr>
            <w:r>
              <w:rPr>
                <w:rFonts w:ascii="宋体" w:eastAsia="宋体" w:hAnsi="宋体" w:hint="eastAsia"/>
                <w:sz w:val="24"/>
              </w:rPr>
              <w:t>——</w:t>
            </w:r>
          </w:p>
        </w:tc>
      </w:tr>
    </w:tbl>
    <w:p w:rsidR="00F9707F" w:rsidRDefault="00DE6B50">
      <w:pPr>
        <w:pStyle w:val="2"/>
        <w:spacing w:line="640" w:lineRule="exact"/>
        <w:ind w:firstLine="640"/>
        <w:rPr>
          <w:b w:val="0"/>
        </w:rPr>
      </w:pPr>
      <w:bookmarkStart w:id="61" w:name="_Toc61271788"/>
      <w:bookmarkStart w:id="62" w:name="_Toc14174"/>
      <w:bookmarkStart w:id="63" w:name="_Toc31846"/>
      <w:bookmarkStart w:id="64" w:name="_Toc9527"/>
      <w:bookmarkEnd w:id="59"/>
      <w:bookmarkEnd w:id="60"/>
      <w:r>
        <w:rPr>
          <w:rFonts w:hint="eastAsia"/>
          <w:b w:val="0"/>
        </w:rPr>
        <w:t>（五）</w:t>
      </w:r>
      <w:r>
        <w:rPr>
          <w:b w:val="0"/>
        </w:rPr>
        <w:t>着力发展科技金融，打造创新金融示范区</w:t>
      </w:r>
      <w:bookmarkEnd w:id="61"/>
      <w:bookmarkEnd w:id="62"/>
    </w:p>
    <w:p w:rsidR="00F9707F" w:rsidRDefault="00DE6B50">
      <w:pPr>
        <w:spacing w:line="640" w:lineRule="exact"/>
        <w:ind w:firstLineChars="200" w:firstLine="640"/>
        <w:rPr>
          <w:rFonts w:ascii="仿宋_GB2312" w:hAnsi="仿宋"/>
          <w:szCs w:val="30"/>
        </w:rPr>
      </w:pPr>
      <w:r>
        <w:rPr>
          <w:rFonts w:ascii="仿宋_GB2312" w:hAnsi="仿宋" w:hint="eastAsia"/>
          <w:szCs w:val="30"/>
        </w:rPr>
        <w:t>立足服务实体经济需求，优先发展与高新区产业契合度高、需求性强、特色突出的科技金融，以科技金融为核心引领，拓展持牌主力金融、供应链金融等领域，并积极培育金融科技、绿色金融等新兴领域。</w:t>
      </w:r>
      <w:r>
        <w:rPr>
          <w:rFonts w:ascii="仿宋_GB2312" w:hAnsi="仿宋"/>
          <w:szCs w:val="30"/>
        </w:rPr>
        <w:t>力争到</w:t>
      </w:r>
      <w:r>
        <w:rPr>
          <w:szCs w:val="30"/>
        </w:rPr>
        <w:t>2025</w:t>
      </w:r>
      <w:r>
        <w:rPr>
          <w:rFonts w:ascii="仿宋_GB2312" w:hAnsi="仿宋"/>
          <w:szCs w:val="30"/>
        </w:rPr>
        <w:t>年，</w:t>
      </w:r>
      <w:r>
        <w:rPr>
          <w:rFonts w:ascii="仿宋_GB2312" w:hAnsi="仿宋" w:hint="eastAsia"/>
          <w:szCs w:val="30"/>
        </w:rPr>
        <w:t>各类持牌类金融机构、创新金融服务机构、金融交易平台和中介服务机构超过</w:t>
      </w:r>
      <w:r>
        <w:rPr>
          <w:rFonts w:ascii="仿宋_GB2312" w:hAnsi="仿宋" w:hint="eastAsia"/>
          <w:szCs w:val="30"/>
        </w:rPr>
        <w:t>100</w:t>
      </w:r>
      <w:r>
        <w:rPr>
          <w:rFonts w:ascii="仿宋_GB2312" w:hAnsi="仿宋" w:hint="eastAsia"/>
          <w:szCs w:val="30"/>
        </w:rPr>
        <w:t>家，金融增加值达</w:t>
      </w:r>
      <w:r>
        <w:rPr>
          <w:rFonts w:ascii="仿宋_GB2312" w:hAnsi="仿宋" w:hint="eastAsia"/>
          <w:szCs w:val="30"/>
        </w:rPr>
        <w:t>1</w:t>
      </w:r>
      <w:r>
        <w:rPr>
          <w:rFonts w:ascii="仿宋_GB2312" w:hAnsi="仿宋"/>
          <w:szCs w:val="30"/>
        </w:rPr>
        <w:t>50</w:t>
      </w:r>
      <w:r>
        <w:rPr>
          <w:rFonts w:ascii="仿宋_GB2312" w:hAnsi="仿宋"/>
          <w:szCs w:val="30"/>
        </w:rPr>
        <w:t>亿元</w:t>
      </w:r>
      <w:r>
        <w:rPr>
          <w:rFonts w:ascii="仿宋_GB2312" w:hAnsi="仿宋" w:hint="eastAsia"/>
          <w:szCs w:val="30"/>
        </w:rPr>
        <w:t>，建设成为西部地区创新型产业金融高地。</w:t>
      </w:r>
    </w:p>
    <w:p w:rsidR="00F9707F" w:rsidRDefault="00DE6B50">
      <w:pPr>
        <w:spacing w:line="640" w:lineRule="exact"/>
        <w:ind w:firstLineChars="200" w:firstLine="643"/>
        <w:rPr>
          <w:rFonts w:ascii="仿宋_GB2312" w:hAnsi="仿宋"/>
          <w:szCs w:val="30"/>
        </w:rPr>
      </w:pPr>
      <w:r>
        <w:rPr>
          <w:rFonts w:ascii="楷体" w:eastAsia="楷体" w:hAnsi="楷体" w:hint="eastAsia"/>
          <w:b/>
          <w:bCs/>
          <w:szCs w:val="30"/>
        </w:rPr>
        <w:t>发展重点：</w:t>
      </w:r>
      <w:r>
        <w:rPr>
          <w:rFonts w:ascii="仿宋_GB2312" w:hAnsi="仿宋" w:hint="eastAsia"/>
          <w:b/>
          <w:bCs/>
          <w:szCs w:val="30"/>
        </w:rPr>
        <w:t>一是重点发展科技风投。</w:t>
      </w:r>
      <w:r>
        <w:rPr>
          <w:rFonts w:ascii="仿宋_GB2312" w:hAnsi="仿宋" w:hint="eastAsia"/>
          <w:szCs w:val="30"/>
        </w:rPr>
        <w:t>集聚天使投资、风险投资、私募股权投资、科技成果转化基金</w:t>
      </w:r>
      <w:r>
        <w:rPr>
          <w:rFonts w:ascii="仿宋_GB2312" w:hAnsi="仿宋"/>
          <w:szCs w:val="30"/>
        </w:rPr>
        <w:t>等</w:t>
      </w:r>
      <w:r>
        <w:rPr>
          <w:rFonts w:ascii="仿宋_GB2312" w:hAnsi="仿宋" w:hint="eastAsia"/>
          <w:szCs w:val="30"/>
        </w:rPr>
        <w:t>科技风投机构，支持在高新区开展科技投资、创业基金、科技保险、企业创新战略咨询等业务，打造科技金融创新服务示范区。</w:t>
      </w:r>
      <w:r>
        <w:rPr>
          <w:rFonts w:ascii="仿宋_GB2312" w:hAnsi="仿宋" w:hint="eastAsia"/>
          <w:b/>
          <w:bCs/>
          <w:szCs w:val="30"/>
        </w:rPr>
        <w:t>二是发</w:t>
      </w:r>
      <w:r>
        <w:rPr>
          <w:rFonts w:ascii="仿宋_GB2312" w:hAnsi="仿宋" w:hint="eastAsia"/>
          <w:b/>
          <w:bCs/>
          <w:szCs w:val="30"/>
        </w:rPr>
        <w:lastRenderedPageBreak/>
        <w:t>展壮大主力金融。</w:t>
      </w:r>
      <w:r>
        <w:rPr>
          <w:rFonts w:ascii="仿宋_GB2312" w:hAnsi="仿宋" w:hint="eastAsia"/>
          <w:szCs w:val="30"/>
        </w:rPr>
        <w:t>引进银行、保险、证券、期货、信托、公募基金等持牌法人金融机构，引导银行在高新区设立一级支行以上分支机构，鼓励开展科技金融业务。</w:t>
      </w:r>
      <w:r>
        <w:rPr>
          <w:rFonts w:ascii="仿宋_GB2312" w:hAnsi="仿宋" w:hint="eastAsia"/>
          <w:b/>
          <w:bCs/>
          <w:szCs w:val="30"/>
        </w:rPr>
        <w:t>三是积极发展供应链金融。</w:t>
      </w:r>
      <w:r>
        <w:rPr>
          <w:rFonts w:ascii="仿宋_GB2312" w:hAnsi="仿宋" w:hint="eastAsia"/>
          <w:szCs w:val="30"/>
        </w:rPr>
        <w:t>鼓励金融机构围绕龙头企业供应链体系开展金融服务，积极争取供应链创新与应用试点，推动电商融资和大宗商品融资等领域创新。</w:t>
      </w:r>
      <w:r>
        <w:rPr>
          <w:rFonts w:ascii="仿宋_GB2312" w:hAnsi="仿宋" w:hint="eastAsia"/>
          <w:b/>
          <w:bCs/>
          <w:szCs w:val="30"/>
        </w:rPr>
        <w:t>四是培育金融科技。</w:t>
      </w:r>
      <w:r>
        <w:rPr>
          <w:rFonts w:ascii="仿宋_GB2312" w:hAnsi="仿宋" w:hint="eastAsia"/>
          <w:szCs w:val="30"/>
        </w:rPr>
        <w:t>支持以人工智能、大数据、云计算和区块链等技术为依托的金融科技企业在高新区集聚，重点推动量化交易、风险管理、资管理财、金融安全等新兴领域发展。</w:t>
      </w:r>
      <w:r>
        <w:rPr>
          <w:rFonts w:ascii="仿宋_GB2312" w:hAnsi="仿宋" w:hint="eastAsia"/>
          <w:b/>
          <w:bCs/>
          <w:szCs w:val="30"/>
        </w:rPr>
        <w:t>五是特色发展绿色金融。</w:t>
      </w:r>
      <w:r>
        <w:rPr>
          <w:rFonts w:ascii="仿宋_GB2312" w:hAnsi="仿宋" w:hint="eastAsia"/>
          <w:bCs/>
          <w:szCs w:val="30"/>
        </w:rPr>
        <w:t>积极</w:t>
      </w:r>
      <w:r>
        <w:rPr>
          <w:rFonts w:ascii="仿宋_GB2312" w:hAnsi="仿宋" w:hint="eastAsia"/>
          <w:szCs w:val="30"/>
        </w:rPr>
        <w:t>参与创建“长江经济带（重庆）绿色金融改革创新试验区”，围绕节能减排和绿色发展主题，鼓励金融机构设立绿色金融板块。</w:t>
      </w:r>
      <w:r>
        <w:rPr>
          <w:rFonts w:ascii="仿宋_GB2312" w:hAnsi="仿宋" w:hint="eastAsia"/>
          <w:b/>
          <w:szCs w:val="30"/>
        </w:rPr>
        <w:t>六是积极集聚与金融高度关联的专业服务。</w:t>
      </w:r>
      <w:r>
        <w:rPr>
          <w:rFonts w:ascii="仿宋_GB2312" w:hAnsi="仿宋" w:hint="eastAsia"/>
          <w:szCs w:val="30"/>
        </w:rPr>
        <w:t>积极引进人力资源、会计、法律、审计、公证、咨询、信用等专业服务领域的国内外知名机构入驻高新区，鼓励企业管理、工程建设、市场调查分析和政策研究（智库）等咨询机构在高新区设立分支机构，提升高新区专业服务能力和水平。</w:t>
      </w:r>
    </w:p>
    <w:p w:rsidR="00F9707F" w:rsidRDefault="00DE6B50">
      <w:pPr>
        <w:spacing w:line="640" w:lineRule="exact"/>
        <w:ind w:firstLineChars="200" w:firstLine="643"/>
      </w:pPr>
      <w:r>
        <w:rPr>
          <w:rFonts w:ascii="楷体" w:eastAsia="楷体" w:hAnsi="楷体" w:hint="eastAsia"/>
          <w:b/>
          <w:bCs/>
          <w:szCs w:val="30"/>
        </w:rPr>
        <w:t>关键路径：</w:t>
      </w:r>
      <w:r>
        <w:rPr>
          <w:rFonts w:ascii="仿宋_GB2312" w:hAnsi="仿宋" w:hint="eastAsia"/>
          <w:b/>
          <w:bCs/>
          <w:szCs w:val="30"/>
        </w:rPr>
        <w:t>一是加快引进金融市场主体。</w:t>
      </w:r>
      <w:r>
        <w:rPr>
          <w:rFonts w:ascii="仿宋_GB2312" w:hAnsi="仿宋" w:hint="eastAsia"/>
          <w:szCs w:val="30"/>
        </w:rPr>
        <w:t>利用高新区政策优势，吸引国内外知名商业银行、保险公司、投资银行、资产管理公司等金融机构在高新区设立区域性总部。鼓励银行、证券、期货等金融机构在高新区设立结算中心、数据中心和灾备中心等功能性机构。</w:t>
      </w:r>
      <w:r>
        <w:rPr>
          <w:rFonts w:ascii="仿宋_GB2312" w:hAnsi="仿宋" w:hint="eastAsia"/>
          <w:b/>
          <w:bCs/>
          <w:szCs w:val="30"/>
        </w:rPr>
        <w:t>二是</w:t>
      </w:r>
      <w:r>
        <w:rPr>
          <w:rFonts w:ascii="仿宋_GB2312" w:hAnsi="仿宋"/>
          <w:b/>
          <w:bCs/>
          <w:szCs w:val="30"/>
        </w:rPr>
        <w:t>打造标志性的金融集聚区</w:t>
      </w:r>
      <w:r>
        <w:rPr>
          <w:rFonts w:ascii="仿宋_GB2312" w:hAnsi="仿宋" w:hint="eastAsia"/>
          <w:b/>
          <w:bCs/>
          <w:szCs w:val="30"/>
        </w:rPr>
        <w:t>。</w:t>
      </w:r>
      <w:r>
        <w:rPr>
          <w:rFonts w:ascii="仿宋_GB2312" w:hAnsi="仿宋" w:hint="eastAsia"/>
          <w:szCs w:val="30"/>
        </w:rPr>
        <w:lastRenderedPageBreak/>
        <w:t>以科学城中央商务区为依托，积极谋划打造基金小镇、科技金融街、科创大厦等功能载体，重点集聚持牌主力金融机构、新型金融机构和股权投资机构总部，承担金融服务核心功能，构建具有强大辐射能力的金融产业生态群。积极谋划打造基金小镇和金融街。</w:t>
      </w:r>
      <w:r>
        <w:rPr>
          <w:rFonts w:ascii="仿宋_GB2312" w:hAnsi="仿宋" w:hint="eastAsia"/>
          <w:b/>
          <w:szCs w:val="30"/>
        </w:rPr>
        <w:t>三是强化专业服务的招商引资。</w:t>
      </w:r>
      <w:r>
        <w:rPr>
          <w:rFonts w:ascii="仿宋_GB2312" w:hAnsi="仿宋" w:hint="eastAsia"/>
          <w:szCs w:val="30"/>
        </w:rPr>
        <w:t>打造一批高品质的楼宇载体，各行业主管部门积极出台针对性政策，吸引集聚会计审计、工程咨询、资产评估、法律服务、绩效评价、决策咨询等领域的国内外知名企业和机构，加强政府对专业服务的购买服务，支持专业服务发展。</w:t>
      </w:r>
    </w:p>
    <w:p w:rsidR="00F9707F" w:rsidRDefault="00DE6B50">
      <w:pPr>
        <w:pStyle w:val="affd"/>
        <w:keepLines w:val="0"/>
        <w:spacing w:line="640" w:lineRule="exact"/>
        <w:ind w:firstLineChars="200" w:firstLine="602"/>
        <w:rPr>
          <w:rFonts w:ascii="仿宋_GB2312" w:eastAsia="方正仿宋_GBK" w:hAnsi="仿宋"/>
          <w:b w:val="0"/>
          <w:bCs w:val="0"/>
          <w:sz w:val="32"/>
        </w:rPr>
      </w:pPr>
      <w:r>
        <w:rPr>
          <w:rFonts w:ascii="楷体" w:eastAsia="楷体" w:hAnsi="楷体" w:cstheme="minorBidi" w:hint="eastAsia"/>
        </w:rPr>
        <w:t>空间布局：</w:t>
      </w:r>
      <w:r>
        <w:rPr>
          <w:rFonts w:ascii="仿宋_GB2312" w:eastAsia="方正仿宋_GBK" w:hAnsi="仿宋" w:hint="eastAsia"/>
          <w:b w:val="0"/>
          <w:bCs w:val="0"/>
          <w:sz w:val="32"/>
        </w:rPr>
        <w:t>科技金融服务业主要布局在高新区管委会周边，重点打造占地</w:t>
      </w:r>
      <w:r>
        <w:rPr>
          <w:rFonts w:ascii="仿宋_GB2312" w:eastAsia="方正仿宋_GBK" w:hAnsi="仿宋" w:hint="eastAsia"/>
          <w:b w:val="0"/>
          <w:bCs w:val="0"/>
          <w:sz w:val="32"/>
        </w:rPr>
        <w:t>24</w:t>
      </w:r>
      <w:r>
        <w:rPr>
          <w:rFonts w:ascii="仿宋_GB2312" w:eastAsia="方正仿宋_GBK" w:hAnsi="仿宋"/>
          <w:b w:val="0"/>
          <w:bCs w:val="0"/>
          <w:sz w:val="32"/>
        </w:rPr>
        <w:t>00</w:t>
      </w:r>
      <w:r>
        <w:rPr>
          <w:rFonts w:ascii="仿宋_GB2312" w:eastAsia="方正仿宋_GBK" w:hAnsi="仿宋"/>
          <w:b w:val="0"/>
          <w:bCs w:val="0"/>
          <w:sz w:val="32"/>
        </w:rPr>
        <w:t>亩的</w:t>
      </w:r>
      <w:r>
        <w:rPr>
          <w:rFonts w:ascii="仿宋_GB2312" w:eastAsia="方正仿宋_GBK" w:hAnsi="仿宋" w:hint="eastAsia"/>
          <w:b w:val="0"/>
          <w:bCs w:val="0"/>
          <w:sz w:val="32"/>
        </w:rPr>
        <w:t>科技金融街板块。“十四五”期间高新区高标准高起点推进科技金融街金融、科创、商务、咨询、展览、文化等高端服务功能设施布局，加快形成以金融和科技为主导，多业态融合发展的高能级中央商务区。</w:t>
      </w:r>
    </w:p>
    <w:p w:rsidR="00F9707F" w:rsidRDefault="00DE6B50">
      <w:pPr>
        <w:adjustRightInd w:val="0"/>
        <w:snapToGrid w:val="0"/>
        <w:spacing w:line="640" w:lineRule="exact"/>
        <w:ind w:firstLineChars="200" w:firstLine="640"/>
        <w:jc w:val="left"/>
        <w:outlineLvl w:val="0"/>
        <w:rPr>
          <w:rFonts w:eastAsia="方正黑体_GBK"/>
          <w:bCs/>
          <w:kern w:val="44"/>
          <w:szCs w:val="30"/>
        </w:rPr>
      </w:pPr>
      <w:bookmarkStart w:id="65" w:name="_Toc5572"/>
      <w:bookmarkEnd w:id="63"/>
      <w:bookmarkEnd w:id="64"/>
      <w:r>
        <w:rPr>
          <w:rFonts w:eastAsia="方正黑体_GBK" w:hint="eastAsia"/>
          <w:bCs/>
          <w:kern w:val="44"/>
          <w:szCs w:val="30"/>
        </w:rPr>
        <w:t>四、大力实施八大重点行动</w:t>
      </w:r>
      <w:bookmarkEnd w:id="65"/>
    </w:p>
    <w:p w:rsidR="00F9707F" w:rsidRDefault="00DE6B50">
      <w:pPr>
        <w:adjustRightInd w:val="0"/>
        <w:snapToGrid w:val="0"/>
        <w:spacing w:line="640" w:lineRule="exact"/>
        <w:ind w:firstLineChars="200" w:firstLine="640"/>
        <w:jc w:val="left"/>
        <w:outlineLvl w:val="1"/>
        <w:rPr>
          <w:rFonts w:eastAsia="方正楷体_GBK"/>
          <w:bCs/>
          <w:szCs w:val="30"/>
        </w:rPr>
      </w:pPr>
      <w:bookmarkStart w:id="66" w:name="_Toc7956"/>
      <w:bookmarkStart w:id="67" w:name="_Toc21206"/>
      <w:bookmarkStart w:id="68" w:name="_Toc61271795"/>
      <w:bookmarkStart w:id="69" w:name="_Toc7515"/>
      <w:r>
        <w:rPr>
          <w:rFonts w:eastAsia="方正楷体_GBK" w:hint="eastAsia"/>
          <w:bCs/>
          <w:szCs w:val="30"/>
        </w:rPr>
        <w:t>（一）</w:t>
      </w:r>
      <w:r>
        <w:rPr>
          <w:rFonts w:eastAsia="方正楷体_GBK"/>
          <w:bCs/>
          <w:szCs w:val="30"/>
        </w:rPr>
        <w:t>实施龙头企业引培行动</w:t>
      </w:r>
      <w:bookmarkEnd w:id="66"/>
      <w:bookmarkEnd w:id="67"/>
      <w:bookmarkEnd w:id="68"/>
      <w:bookmarkEnd w:id="69"/>
    </w:p>
    <w:p w:rsidR="00F9707F" w:rsidRDefault="00DE6B50">
      <w:pPr>
        <w:spacing w:line="640" w:lineRule="exact"/>
        <w:ind w:firstLineChars="200" w:firstLine="640"/>
        <w:rPr>
          <w:szCs w:val="30"/>
        </w:rPr>
      </w:pPr>
      <w:r>
        <w:rPr>
          <w:rFonts w:ascii="仿宋_GB2312" w:hAnsi="仿宋" w:hint="eastAsia"/>
          <w:szCs w:val="30"/>
        </w:rPr>
        <w:t>致力于抓企业引进、企业培育、企业扶持和企业成长，让大企业顶天立地，小企业铺天盖地。一</w:t>
      </w:r>
      <w:r>
        <w:rPr>
          <w:rFonts w:ascii="仿宋_GB2312" w:hAnsi="仿宋" w:hint="eastAsia"/>
          <w:b/>
          <w:bCs/>
          <w:szCs w:val="30"/>
        </w:rPr>
        <w:t>是实施“头部企业引培计划”。</w:t>
      </w:r>
      <w:r>
        <w:rPr>
          <w:rFonts w:ascii="仿宋_GB2312" w:hAnsi="仿宋" w:hint="eastAsia"/>
          <w:bCs/>
          <w:szCs w:val="30"/>
        </w:rPr>
        <w:t>引进一批国内外知名的研发孵化、软件信息、检验检测、数字文创、金融服务、专业服务头部企业机构，</w:t>
      </w:r>
      <w:r>
        <w:rPr>
          <w:bCs/>
          <w:szCs w:val="30"/>
        </w:rPr>
        <w:t>拟定</w:t>
      </w:r>
      <w:r>
        <w:rPr>
          <w:rFonts w:hint="eastAsia"/>
          <w:bCs/>
          <w:szCs w:val="30"/>
        </w:rPr>
        <w:t>本地</w:t>
      </w:r>
      <w:r>
        <w:rPr>
          <w:bCs/>
          <w:szCs w:val="30"/>
        </w:rPr>
        <w:t>企业上市扶持计划，力争到</w:t>
      </w:r>
      <w:r>
        <w:rPr>
          <w:bCs/>
          <w:szCs w:val="30"/>
        </w:rPr>
        <w:t>2025</w:t>
      </w:r>
      <w:r>
        <w:rPr>
          <w:bCs/>
          <w:szCs w:val="30"/>
        </w:rPr>
        <w:t>年</w:t>
      </w:r>
      <w:r>
        <w:rPr>
          <w:szCs w:val="30"/>
        </w:rPr>
        <w:t>高新区引进</w:t>
      </w:r>
      <w:r>
        <w:rPr>
          <w:szCs w:val="30"/>
        </w:rPr>
        <w:t>5</w:t>
      </w:r>
      <w:r>
        <w:rPr>
          <w:szCs w:val="30"/>
        </w:rPr>
        <w:lastRenderedPageBreak/>
        <w:t>家</w:t>
      </w:r>
      <w:r>
        <w:rPr>
          <w:rFonts w:hint="eastAsia"/>
          <w:szCs w:val="30"/>
        </w:rPr>
        <w:t>服务业</w:t>
      </w:r>
      <w:r>
        <w:rPr>
          <w:szCs w:val="30"/>
        </w:rPr>
        <w:t>上市企业</w:t>
      </w:r>
      <w:r>
        <w:rPr>
          <w:rFonts w:hint="eastAsia"/>
          <w:szCs w:val="30"/>
        </w:rPr>
        <w:t>。二</w:t>
      </w:r>
      <w:r>
        <w:rPr>
          <w:b/>
          <w:szCs w:val="30"/>
        </w:rPr>
        <w:t>是实施</w:t>
      </w:r>
      <w:r>
        <w:rPr>
          <w:rFonts w:hint="eastAsia"/>
          <w:b/>
          <w:szCs w:val="30"/>
        </w:rPr>
        <w:t>“本土企业增能计划”。</w:t>
      </w:r>
      <w:r>
        <w:rPr>
          <w:rFonts w:hint="eastAsia"/>
          <w:szCs w:val="30"/>
        </w:rPr>
        <w:t>加快建立高新区高技术服务业重点企业培育库，建立“一对一”服务跟踪机制，支持企业加强核心技术研发、延伸业务板块、建设功能平台，鼓励企业在本地及全国全球开展并购重组，提升一批扎根高新区的品牌企业。</w:t>
      </w:r>
      <w:r>
        <w:rPr>
          <w:rFonts w:ascii="仿宋_GB2312" w:hAnsi="仿宋" w:hint="eastAsia"/>
          <w:b/>
          <w:bCs/>
          <w:szCs w:val="30"/>
        </w:rPr>
        <w:t>三是实施“平台企业成长计划”。</w:t>
      </w:r>
      <w:r>
        <w:rPr>
          <w:rFonts w:ascii="仿宋_GB2312" w:hAnsi="仿宋" w:hint="eastAsia"/>
          <w:szCs w:val="30"/>
        </w:rPr>
        <w:t>瞄准一批拥有核心技术、用户流量、商业模式的新经济领域创新型头部企业和领军企业，引进国内知名平台企业的分支机构、业务总部，以及在工业互联网、产业互联网、数字文创等新兴领域的成长型平台，</w:t>
      </w:r>
      <w:r>
        <w:rPr>
          <w:szCs w:val="30"/>
        </w:rPr>
        <w:t>力争</w:t>
      </w:r>
      <w:r>
        <w:rPr>
          <w:szCs w:val="30"/>
        </w:rPr>
        <w:t>2025</w:t>
      </w:r>
      <w:r>
        <w:rPr>
          <w:szCs w:val="30"/>
        </w:rPr>
        <w:t>年引进</w:t>
      </w:r>
      <w:r>
        <w:rPr>
          <w:rFonts w:hint="eastAsia"/>
          <w:szCs w:val="30"/>
        </w:rPr>
        <w:t>2-3</w:t>
      </w:r>
      <w:r>
        <w:rPr>
          <w:szCs w:val="30"/>
        </w:rPr>
        <w:t>家国内知名高技术平台企业，培育本土独角兽企业</w:t>
      </w:r>
      <w:r>
        <w:rPr>
          <w:rFonts w:hint="eastAsia"/>
          <w:szCs w:val="30"/>
        </w:rPr>
        <w:t>3</w:t>
      </w:r>
      <w:r>
        <w:rPr>
          <w:szCs w:val="30"/>
        </w:rPr>
        <w:t>家。</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70" w:name="_Toc27659"/>
      <w:bookmarkStart w:id="71" w:name="_Toc26149"/>
      <w:bookmarkStart w:id="72" w:name="_Toc61271796"/>
      <w:bookmarkStart w:id="73" w:name="_Toc3901"/>
      <w:r>
        <w:rPr>
          <w:rFonts w:eastAsia="方正楷体_GBK" w:hint="eastAsia"/>
          <w:bCs/>
          <w:szCs w:val="30"/>
        </w:rPr>
        <w:t>（二）</w:t>
      </w:r>
      <w:r>
        <w:rPr>
          <w:rFonts w:eastAsia="方正楷体_GBK"/>
          <w:bCs/>
          <w:szCs w:val="30"/>
        </w:rPr>
        <w:t>实施跨界融合提升行动</w:t>
      </w:r>
      <w:bookmarkEnd w:id="70"/>
      <w:bookmarkEnd w:id="71"/>
      <w:bookmarkEnd w:id="72"/>
      <w:bookmarkEnd w:id="73"/>
    </w:p>
    <w:p w:rsidR="00F9707F" w:rsidRDefault="00DE6B50">
      <w:pPr>
        <w:spacing w:line="640" w:lineRule="exact"/>
        <w:ind w:firstLineChars="200" w:firstLine="640"/>
        <w:rPr>
          <w:rFonts w:ascii="仿宋_GB2312" w:hAnsi="仿宋"/>
          <w:szCs w:val="30"/>
        </w:rPr>
      </w:pPr>
      <w:r>
        <w:rPr>
          <w:rFonts w:ascii="仿宋_GB2312" w:hAnsi="仿宋" w:hint="eastAsia"/>
          <w:szCs w:val="30"/>
        </w:rPr>
        <w:t>促进服务业跨领域、多元化、多层次的深度融合，催生裂变服务经济新业态新模式，增强高技术服务业发展动能和发展活力。</w:t>
      </w:r>
      <w:r>
        <w:rPr>
          <w:rFonts w:ascii="仿宋_GB2312" w:hAnsi="仿宋" w:hint="eastAsia"/>
          <w:b/>
          <w:bCs/>
          <w:szCs w:val="30"/>
        </w:rPr>
        <w:t>一是推动传统服务数字化转型。</w:t>
      </w:r>
      <w:r>
        <w:rPr>
          <w:rFonts w:ascii="仿宋_GB2312" w:hAnsi="仿宋" w:hint="eastAsia"/>
          <w:szCs w:val="30"/>
        </w:rPr>
        <w:t>鼓励</w:t>
      </w:r>
      <w:r>
        <w:rPr>
          <w:rFonts w:ascii="仿宋_GB2312" w:hAnsi="仿宋"/>
          <w:szCs w:val="30"/>
        </w:rPr>
        <w:t>软件信息</w:t>
      </w:r>
      <w:r>
        <w:rPr>
          <w:rFonts w:ascii="仿宋_GB2312" w:hAnsi="仿宋" w:hint="eastAsia"/>
          <w:szCs w:val="30"/>
        </w:rPr>
        <w:t>、</w:t>
      </w:r>
      <w:r>
        <w:rPr>
          <w:rFonts w:ascii="仿宋_GB2312" w:hAnsi="仿宋"/>
          <w:szCs w:val="30"/>
        </w:rPr>
        <w:t>动漫游戏、影视制作、</w:t>
      </w:r>
      <w:r>
        <w:rPr>
          <w:rFonts w:ascii="仿宋_GB2312" w:hAnsi="仿宋" w:hint="eastAsia"/>
          <w:szCs w:val="30"/>
        </w:rPr>
        <w:t>智慧</w:t>
      </w:r>
      <w:r>
        <w:rPr>
          <w:rFonts w:ascii="仿宋_GB2312" w:hAnsi="仿宋"/>
          <w:szCs w:val="30"/>
        </w:rPr>
        <w:t>医疗、教育</w:t>
      </w:r>
      <w:r>
        <w:rPr>
          <w:rFonts w:ascii="仿宋_GB2312" w:hAnsi="仿宋" w:hint="eastAsia"/>
          <w:szCs w:val="30"/>
        </w:rPr>
        <w:t>培训</w:t>
      </w:r>
      <w:r>
        <w:rPr>
          <w:rFonts w:ascii="仿宋_GB2312" w:hAnsi="仿宋"/>
          <w:szCs w:val="30"/>
        </w:rPr>
        <w:t>等服务业领域</w:t>
      </w:r>
      <w:r>
        <w:rPr>
          <w:rFonts w:ascii="仿宋_GB2312" w:hAnsi="仿宋" w:hint="eastAsia"/>
          <w:szCs w:val="30"/>
        </w:rPr>
        <w:t>采用新一代信息技术</w:t>
      </w:r>
      <w:r>
        <w:rPr>
          <w:rFonts w:ascii="仿宋_GB2312" w:hAnsi="仿宋"/>
          <w:szCs w:val="30"/>
        </w:rPr>
        <w:t>，加快培育一批新业态、新模式、新产品</w:t>
      </w:r>
      <w:r>
        <w:rPr>
          <w:rFonts w:ascii="仿宋_GB2312" w:hAnsi="仿宋" w:hint="eastAsia"/>
          <w:szCs w:val="30"/>
        </w:rPr>
        <w:t>，</w:t>
      </w:r>
      <w:r>
        <w:rPr>
          <w:szCs w:val="30"/>
        </w:rPr>
        <w:t>形成</w:t>
      </w:r>
      <w:r>
        <w:rPr>
          <w:rFonts w:hint="eastAsia"/>
          <w:szCs w:val="30"/>
        </w:rPr>
        <w:t>“</w:t>
      </w:r>
      <w:r>
        <w:rPr>
          <w:szCs w:val="30"/>
        </w:rPr>
        <w:t>100+</w:t>
      </w:r>
      <w:r>
        <w:rPr>
          <w:rFonts w:hint="eastAsia"/>
          <w:szCs w:val="30"/>
        </w:rPr>
        <w:t>”</w:t>
      </w:r>
      <w:r>
        <w:rPr>
          <w:szCs w:val="30"/>
        </w:rPr>
        <w:t>创新型企业、</w:t>
      </w:r>
      <w:r>
        <w:rPr>
          <w:rFonts w:hint="eastAsia"/>
          <w:szCs w:val="30"/>
        </w:rPr>
        <w:t>“</w:t>
      </w:r>
      <w:r>
        <w:rPr>
          <w:szCs w:val="30"/>
        </w:rPr>
        <w:t>200+</w:t>
      </w:r>
      <w:r>
        <w:rPr>
          <w:rFonts w:hint="eastAsia"/>
          <w:szCs w:val="30"/>
        </w:rPr>
        <w:t>”</w:t>
      </w:r>
      <w:r>
        <w:rPr>
          <w:szCs w:val="30"/>
        </w:rPr>
        <w:t>应用场景、</w:t>
      </w:r>
      <w:r>
        <w:rPr>
          <w:rFonts w:hint="eastAsia"/>
          <w:szCs w:val="30"/>
        </w:rPr>
        <w:t>“</w:t>
      </w:r>
      <w:r>
        <w:rPr>
          <w:szCs w:val="30"/>
        </w:rPr>
        <w:t>1000+</w:t>
      </w:r>
      <w:r>
        <w:rPr>
          <w:rFonts w:hint="eastAsia"/>
          <w:szCs w:val="30"/>
        </w:rPr>
        <w:t>”</w:t>
      </w:r>
      <w:r>
        <w:rPr>
          <w:szCs w:val="30"/>
        </w:rPr>
        <w:t>品牌产品</w:t>
      </w:r>
      <w:r>
        <w:rPr>
          <w:rFonts w:hint="eastAsia"/>
          <w:szCs w:val="30"/>
        </w:rPr>
        <w:t>和解决方案</w:t>
      </w:r>
      <w:r>
        <w:rPr>
          <w:szCs w:val="30"/>
        </w:rPr>
        <w:t>。</w:t>
      </w:r>
      <w:r>
        <w:rPr>
          <w:rFonts w:ascii="仿宋_GB2312" w:hAnsi="仿宋" w:hint="eastAsia"/>
          <w:b/>
          <w:bCs/>
          <w:szCs w:val="30"/>
        </w:rPr>
        <w:t>二是促进制造服务“两业”融合。</w:t>
      </w:r>
      <w:r>
        <w:rPr>
          <w:rFonts w:ascii="仿宋_GB2312" w:hAnsi="仿宋" w:hint="eastAsia"/>
          <w:bCs/>
          <w:szCs w:val="30"/>
        </w:rPr>
        <w:t>开展区域、行业、企业制造服务试点，</w:t>
      </w:r>
      <w:r>
        <w:rPr>
          <w:rFonts w:ascii="仿宋_GB2312" w:hAnsi="仿宋" w:hint="eastAsia"/>
          <w:szCs w:val="30"/>
        </w:rPr>
        <w:t>实施龙头制造业服务剥离计划和集成服务供应商培育计划，引导企业设立独立法人，剥离研发、检测、工业设计等高技术服务环节；促进生产基</w:t>
      </w:r>
      <w:r>
        <w:rPr>
          <w:rFonts w:ascii="仿宋_GB2312" w:hAnsi="仿宋" w:hint="eastAsia"/>
          <w:szCs w:val="30"/>
        </w:rPr>
        <w:lastRenderedPageBreak/>
        <w:t>地向研发、投资、运营总部基地升级，加快发展供应链管理、总集成总承包服务、信息增值服务、柔性化个性化定制、云制造、协同制造等服务型制造新模式，打造带动效应突出的深度融合发展企业</w:t>
      </w:r>
      <w:r>
        <w:rPr>
          <w:szCs w:val="30"/>
        </w:rPr>
        <w:t>20</w:t>
      </w:r>
      <w:r>
        <w:rPr>
          <w:szCs w:val="30"/>
        </w:rPr>
        <w:t>家（规上工业年产值、规上服务业年营收</w:t>
      </w:r>
      <w:r>
        <w:rPr>
          <w:szCs w:val="30"/>
        </w:rPr>
        <w:t>10</w:t>
      </w:r>
      <w:r>
        <w:rPr>
          <w:szCs w:val="30"/>
        </w:rPr>
        <w:t>亿元以上）、服务平台</w:t>
      </w:r>
      <w:r>
        <w:rPr>
          <w:szCs w:val="30"/>
        </w:rPr>
        <w:t>3</w:t>
      </w:r>
      <w:r>
        <w:rPr>
          <w:szCs w:val="30"/>
        </w:rPr>
        <w:t>个（年收入</w:t>
      </w:r>
      <w:r>
        <w:rPr>
          <w:szCs w:val="30"/>
        </w:rPr>
        <w:t>5</w:t>
      </w:r>
      <w:r>
        <w:rPr>
          <w:szCs w:val="30"/>
        </w:rPr>
        <w:t>亿元）。</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74" w:name="_Toc1825"/>
      <w:bookmarkStart w:id="75" w:name="_Toc22933"/>
      <w:bookmarkStart w:id="76" w:name="_Toc23162"/>
      <w:bookmarkStart w:id="77" w:name="_Toc61271797"/>
      <w:r>
        <w:rPr>
          <w:rFonts w:eastAsia="方正楷体_GBK" w:hint="eastAsia"/>
          <w:bCs/>
          <w:szCs w:val="30"/>
        </w:rPr>
        <w:t>（三）</w:t>
      </w:r>
      <w:r>
        <w:rPr>
          <w:rFonts w:eastAsia="方正楷体_GBK"/>
          <w:bCs/>
          <w:szCs w:val="30"/>
        </w:rPr>
        <w:t>实施载体</w:t>
      </w:r>
      <w:r>
        <w:rPr>
          <w:rFonts w:eastAsia="方正楷体_GBK" w:hint="eastAsia"/>
          <w:bCs/>
          <w:szCs w:val="30"/>
        </w:rPr>
        <w:t>集聚建设</w:t>
      </w:r>
      <w:r>
        <w:rPr>
          <w:rFonts w:eastAsia="方正楷体_GBK"/>
          <w:bCs/>
          <w:szCs w:val="30"/>
        </w:rPr>
        <w:t>行动</w:t>
      </w:r>
      <w:bookmarkEnd w:id="74"/>
      <w:bookmarkEnd w:id="75"/>
      <w:bookmarkEnd w:id="76"/>
      <w:bookmarkEnd w:id="77"/>
    </w:p>
    <w:p w:rsidR="00F9707F" w:rsidRDefault="00DE6B50">
      <w:pPr>
        <w:spacing w:line="640" w:lineRule="exact"/>
        <w:ind w:firstLineChars="200" w:firstLine="640"/>
        <w:rPr>
          <w:rFonts w:ascii="仿宋_GB2312" w:hAnsi="仿宋"/>
          <w:b/>
          <w:szCs w:val="30"/>
        </w:rPr>
      </w:pPr>
      <w:r>
        <w:rPr>
          <w:rFonts w:ascii="仿宋_GB2312" w:hAnsi="仿宋" w:hint="eastAsia"/>
          <w:szCs w:val="30"/>
        </w:rPr>
        <w:t>按照增量布局和存量调整的要求，坚持扶持资金优先安排、重点项目优先布局、资源要素优先保障、工作谋划优先考虑的原则，打造多类型、多层次的高技术服务业集聚区。</w:t>
      </w:r>
      <w:r>
        <w:rPr>
          <w:rFonts w:ascii="仿宋_GB2312" w:hAnsi="仿宋" w:hint="eastAsia"/>
          <w:b/>
          <w:bCs/>
          <w:szCs w:val="30"/>
        </w:rPr>
        <w:t>一是打造高技术服务品牌集聚区。</w:t>
      </w:r>
      <w:r>
        <w:rPr>
          <w:rFonts w:ascii="仿宋_GB2312" w:hAnsi="仿宋" w:hint="eastAsia"/>
          <w:szCs w:val="30"/>
        </w:rPr>
        <w:t>依托大学城，推进大学校区、科技园区、城市社区“三区联动”，联动打造“大学城创新创意集聚区”，推进以科学谷为核心的创新生态圈建设，策划以大学科技园、高新研发园和科创服务园为载体的重点项目，打造高技术服务核心功能区。</w:t>
      </w:r>
      <w:r>
        <w:rPr>
          <w:rFonts w:ascii="仿宋_GB2312" w:hAnsi="仿宋" w:hint="eastAsia"/>
          <w:b/>
          <w:szCs w:val="30"/>
        </w:rPr>
        <w:t>二是打造金融科创</w:t>
      </w:r>
      <w:r>
        <w:rPr>
          <w:rFonts w:ascii="仿宋_GB2312" w:hAnsi="仿宋"/>
          <w:b/>
          <w:szCs w:val="30"/>
        </w:rPr>
        <w:t>CBD</w:t>
      </w:r>
      <w:r>
        <w:rPr>
          <w:rFonts w:ascii="仿宋_GB2312" w:hAnsi="仿宋"/>
          <w:b/>
          <w:szCs w:val="30"/>
        </w:rPr>
        <w:t>。</w:t>
      </w:r>
      <w:r>
        <w:rPr>
          <w:rFonts w:ascii="仿宋_GB2312" w:hAnsi="仿宋" w:hint="eastAsia"/>
          <w:szCs w:val="30"/>
        </w:rPr>
        <w:t>依托科技金融街</w:t>
      </w:r>
      <w:r>
        <w:rPr>
          <w:rFonts w:ascii="仿宋_GB2312" w:hAnsi="仿宋"/>
          <w:szCs w:val="30"/>
        </w:rPr>
        <w:t>打造核心</w:t>
      </w:r>
      <w:r>
        <w:rPr>
          <w:rFonts w:ascii="仿宋_GB2312" w:hAnsi="仿宋"/>
          <w:szCs w:val="30"/>
        </w:rPr>
        <w:t>CBD</w:t>
      </w:r>
      <w:r>
        <w:rPr>
          <w:rFonts w:ascii="仿宋_GB2312" w:hAnsi="仿宋"/>
          <w:szCs w:val="30"/>
        </w:rPr>
        <w:t>，</w:t>
      </w:r>
      <w:r>
        <w:rPr>
          <w:rFonts w:ascii="仿宋_GB2312" w:hAnsi="仿宋" w:hint="eastAsia"/>
          <w:szCs w:val="30"/>
        </w:rPr>
        <w:t>建设高品质商务楼宇，集聚企业总部、创新要素，建设成为融合总部经济、科创服务、产业创新、科技金融于一体的科创中央商务区。</w:t>
      </w:r>
      <w:r>
        <w:rPr>
          <w:rFonts w:ascii="仿宋_GB2312" w:hAnsi="仿宋" w:hint="eastAsia"/>
          <w:b/>
          <w:szCs w:val="30"/>
        </w:rPr>
        <w:t>三是打造创新创意特色街区。</w:t>
      </w:r>
      <w:r>
        <w:rPr>
          <w:rFonts w:ascii="仿宋_GB2312" w:hAnsi="仿宋" w:hint="eastAsia"/>
          <w:szCs w:val="30"/>
        </w:rPr>
        <w:t>以“特色街区</w:t>
      </w:r>
      <w:r>
        <w:rPr>
          <w:rFonts w:ascii="仿宋_GB2312" w:hAnsi="仿宋" w:hint="eastAsia"/>
          <w:szCs w:val="30"/>
        </w:rPr>
        <w:t>+</w:t>
      </w:r>
      <w:r>
        <w:rPr>
          <w:rFonts w:ascii="仿宋_GB2312" w:hAnsi="仿宋" w:hint="eastAsia"/>
          <w:szCs w:val="30"/>
        </w:rPr>
        <w:t>商务楼宇”、“特色街区</w:t>
      </w:r>
      <w:r>
        <w:rPr>
          <w:rFonts w:ascii="仿宋_GB2312" w:hAnsi="仿宋" w:hint="eastAsia"/>
          <w:szCs w:val="30"/>
        </w:rPr>
        <w:t>+</w:t>
      </w:r>
      <w:r>
        <w:rPr>
          <w:rFonts w:ascii="仿宋_GB2312" w:hAnsi="仿宋" w:hint="eastAsia"/>
          <w:szCs w:val="30"/>
        </w:rPr>
        <w:t>创意</w:t>
      </w:r>
      <w:r>
        <w:rPr>
          <w:rFonts w:ascii="仿宋_GB2312" w:hAnsi="仿宋" w:hint="eastAsia"/>
          <w:szCs w:val="30"/>
        </w:rPr>
        <w:t>loft</w:t>
      </w:r>
      <w:r>
        <w:rPr>
          <w:rFonts w:ascii="仿宋_GB2312" w:hAnsi="仿宋" w:hint="eastAsia"/>
          <w:szCs w:val="30"/>
        </w:rPr>
        <w:t>”等模式，打造大学城创业大街、金凤创业大街等双创特色街区，集聚创客空间、创意设计工作室、艺术工坊、科学秀场、创意盒子、科学酒吧、创意书店等业态。</w:t>
      </w:r>
      <w:r>
        <w:rPr>
          <w:rFonts w:ascii="仿宋_GB2312" w:hAnsi="仿宋" w:hint="eastAsia"/>
          <w:b/>
          <w:szCs w:val="30"/>
        </w:rPr>
        <w:t>四是谋</w:t>
      </w:r>
      <w:r>
        <w:rPr>
          <w:rFonts w:ascii="仿宋_GB2312" w:hAnsi="仿宋" w:hint="eastAsia"/>
          <w:b/>
          <w:szCs w:val="30"/>
        </w:rPr>
        <w:lastRenderedPageBreak/>
        <w:t>划在线新经济生态园。</w:t>
      </w:r>
      <w:r>
        <w:rPr>
          <w:rFonts w:ascii="仿宋_GB2312" w:hAnsi="仿宋" w:hint="eastAsia"/>
          <w:szCs w:val="30"/>
        </w:rPr>
        <w:t>选择适宜园区基地，围绕人工智能、数字经济、工业互联网等新兴领域打造一批特色鲜明、线上线下互动，融合技术、平台、应用、体验于一体，充分彰显高技术服务业数字化、网络化、智能化趋势的在线新经济生态园。</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78" w:name="_Toc22928"/>
      <w:bookmarkStart w:id="79" w:name="_Toc26645"/>
      <w:bookmarkStart w:id="80" w:name="_Toc61271798"/>
      <w:bookmarkStart w:id="81" w:name="_Toc14816"/>
      <w:r>
        <w:rPr>
          <w:rFonts w:eastAsia="方正楷体_GBK" w:hint="eastAsia"/>
          <w:bCs/>
          <w:szCs w:val="30"/>
        </w:rPr>
        <w:t>（四）实施战略平台增能行动</w:t>
      </w:r>
      <w:bookmarkEnd w:id="78"/>
      <w:bookmarkEnd w:id="79"/>
      <w:bookmarkEnd w:id="80"/>
      <w:bookmarkEnd w:id="81"/>
    </w:p>
    <w:p w:rsidR="00F9707F" w:rsidRDefault="00DE6B50">
      <w:pPr>
        <w:spacing w:line="640" w:lineRule="exact"/>
        <w:ind w:firstLineChars="200" w:firstLine="640"/>
        <w:rPr>
          <w:rFonts w:ascii="仿宋_GB2312" w:hAnsi="仿宋"/>
          <w:szCs w:val="30"/>
        </w:rPr>
      </w:pPr>
      <w:r>
        <w:rPr>
          <w:rFonts w:ascii="仿宋_GB2312" w:hAnsi="仿宋" w:hint="eastAsia"/>
          <w:szCs w:val="30"/>
        </w:rPr>
        <w:t>遵循产业平台化的发展思路，加快布局构建支撑服务经济发展的各类功能平台，完善高技术服务业快速发展的平台体系。</w:t>
      </w:r>
      <w:r>
        <w:rPr>
          <w:rFonts w:ascii="仿宋_GB2312" w:hAnsi="仿宋" w:hint="eastAsia"/>
          <w:b/>
          <w:bCs/>
          <w:szCs w:val="30"/>
        </w:rPr>
        <w:t>一是搭建研发公共服务平台。</w:t>
      </w:r>
      <w:r>
        <w:rPr>
          <w:rFonts w:ascii="仿宋_GB2312" w:hAnsi="仿宋" w:hint="eastAsia"/>
          <w:szCs w:val="30"/>
        </w:rPr>
        <w:t>搭建研发设计、检验检测、技术交易、知识产权运营、成果转化等基础领域公共技术服务平台，建设面向国际的知识产权交易服务平台。依托英特尔</w:t>
      </w:r>
      <w:r>
        <w:rPr>
          <w:rFonts w:ascii="仿宋_GB2312" w:hAnsi="仿宋"/>
          <w:szCs w:val="30"/>
        </w:rPr>
        <w:t>FPGA</w:t>
      </w:r>
      <w:r>
        <w:rPr>
          <w:rFonts w:ascii="仿宋_GB2312" w:hAnsi="仿宋" w:hint="eastAsia"/>
          <w:szCs w:val="30"/>
        </w:rPr>
        <w:t>创新中心、鲲鹏计算产业生态重庆中心等项目，配套创客基地等公共服务平台，引进第三方科技众包平台。</w:t>
      </w:r>
      <w:r>
        <w:rPr>
          <w:rFonts w:ascii="仿宋_GB2312" w:hAnsi="仿宋" w:hint="eastAsia"/>
          <w:b/>
          <w:szCs w:val="30"/>
        </w:rPr>
        <w:t>二是引入产业创新服务平台。</w:t>
      </w:r>
      <w:r>
        <w:rPr>
          <w:rFonts w:ascii="仿宋_GB2312" w:hAnsi="仿宋" w:hint="eastAsia"/>
          <w:szCs w:val="30"/>
        </w:rPr>
        <w:t>打造产业创新服务综合体，引进各类技术</w:t>
      </w:r>
      <w:r>
        <w:rPr>
          <w:rFonts w:ascii="仿宋_GB2312" w:hAnsi="仿宋" w:hint="eastAsia"/>
          <w:szCs w:val="30"/>
        </w:rPr>
        <w:t>/</w:t>
      </w:r>
      <w:r>
        <w:rPr>
          <w:rFonts w:ascii="仿宋_GB2312" w:hAnsi="仿宋" w:hint="eastAsia"/>
          <w:szCs w:val="30"/>
        </w:rPr>
        <w:t>产业创新中心、工程技术中心、产业研究院、新型研发组织等各类平台，设立生物医药、人工智能、集成电路、新材料等产业技术研究院等一批新型研发机构；建设央企研究院园区，引进一批央企研究院。</w:t>
      </w:r>
      <w:r>
        <w:rPr>
          <w:rFonts w:ascii="仿宋_GB2312" w:hAnsi="仿宋" w:hint="eastAsia"/>
          <w:b/>
          <w:szCs w:val="30"/>
        </w:rPr>
        <w:t>三是搭建国际技术交流交易平台。</w:t>
      </w:r>
      <w:r>
        <w:rPr>
          <w:rFonts w:ascii="仿宋_GB2312" w:hAnsi="仿宋" w:hint="eastAsia"/>
          <w:szCs w:val="30"/>
        </w:rPr>
        <w:t>依托科学会堂，争取举办高层级科技类主题的国际峰会、科技博览、国际论坛、国际赛事、国际活动。对接“一带一路”国家，设立技术交易市场、科技金融服务</w:t>
      </w:r>
      <w:r>
        <w:rPr>
          <w:rFonts w:ascii="仿宋_GB2312" w:hAnsi="仿宋" w:hint="eastAsia"/>
          <w:szCs w:val="30"/>
        </w:rPr>
        <w:lastRenderedPageBreak/>
        <w:t>平台，共同打造一批国际金融合作示范基地、国际创新创业众创空间、国际科技合作示范基地等。</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82" w:name="_Toc28526"/>
      <w:bookmarkStart w:id="83" w:name="_Toc61271799"/>
      <w:bookmarkStart w:id="84" w:name="_Toc12164"/>
      <w:bookmarkStart w:id="85" w:name="_Toc14283"/>
      <w:r>
        <w:rPr>
          <w:rFonts w:eastAsia="方正楷体_GBK" w:hint="eastAsia"/>
          <w:bCs/>
          <w:szCs w:val="30"/>
        </w:rPr>
        <w:t>（五）</w:t>
      </w:r>
      <w:r>
        <w:rPr>
          <w:rFonts w:eastAsia="方正楷体_GBK"/>
          <w:bCs/>
          <w:szCs w:val="30"/>
        </w:rPr>
        <w:t>实施服务品牌</w:t>
      </w:r>
      <w:r>
        <w:rPr>
          <w:rFonts w:eastAsia="方正楷体_GBK" w:hint="eastAsia"/>
          <w:bCs/>
          <w:szCs w:val="30"/>
        </w:rPr>
        <w:t>创优</w:t>
      </w:r>
      <w:r>
        <w:rPr>
          <w:rFonts w:eastAsia="方正楷体_GBK"/>
          <w:bCs/>
          <w:szCs w:val="30"/>
        </w:rPr>
        <w:t>行动</w:t>
      </w:r>
      <w:bookmarkEnd w:id="82"/>
      <w:bookmarkEnd w:id="83"/>
      <w:bookmarkEnd w:id="84"/>
      <w:bookmarkEnd w:id="85"/>
    </w:p>
    <w:p w:rsidR="00F9707F" w:rsidRDefault="00DE6B50">
      <w:pPr>
        <w:spacing w:line="640" w:lineRule="exact"/>
        <w:ind w:firstLineChars="200" w:firstLine="640"/>
        <w:rPr>
          <w:rFonts w:ascii="仿宋_GB2312" w:hAnsi="仿宋"/>
          <w:szCs w:val="30"/>
        </w:rPr>
      </w:pPr>
      <w:r>
        <w:rPr>
          <w:rFonts w:ascii="仿宋_GB2312" w:hAnsi="仿宋" w:hint="eastAsia"/>
          <w:szCs w:val="30"/>
        </w:rPr>
        <w:t>以提高技术高服务业发展质量和效益为中心，积极引导高新区服务企业树立品牌意识、加强质量治理、完善标准体系，加快培育发展“重庆服务”品牌，提升高技术服务业的竞争力、辐射力和显示度。</w:t>
      </w:r>
      <w:r>
        <w:rPr>
          <w:rFonts w:ascii="仿宋_GB2312" w:hAnsi="仿宋" w:hint="eastAsia"/>
          <w:b/>
          <w:bCs/>
          <w:szCs w:val="30"/>
        </w:rPr>
        <w:t>一是强化服务标准建设。</w:t>
      </w:r>
      <w:r>
        <w:rPr>
          <w:rFonts w:ascii="仿宋_GB2312" w:hAnsi="仿宋" w:hint="eastAsia"/>
          <w:szCs w:val="30"/>
        </w:rPr>
        <w:t>围绕研发孵化服务、信息服务、检验检测、数字文创等重点领域，鼓励支持企业、行业组织主导参与国际、国家和行业标准制定，鼓励行业协会、社会团体制定发布满足市场需求和创新需要的团体标准。</w:t>
      </w:r>
      <w:r>
        <w:rPr>
          <w:rFonts w:ascii="仿宋_GB2312" w:hAnsi="仿宋" w:hint="eastAsia"/>
          <w:b/>
          <w:bCs/>
          <w:szCs w:val="30"/>
        </w:rPr>
        <w:t>二是实施“质量创优”工程。</w:t>
      </w:r>
      <w:r>
        <w:rPr>
          <w:rFonts w:ascii="仿宋_GB2312" w:hAnsi="仿宋" w:hint="eastAsia"/>
          <w:szCs w:val="30"/>
        </w:rPr>
        <w:t>积极创建服务领域“全国知名品牌创建示范区”，聚焦高技术服务业加快制定优质服务规范，引导重点行业服务企业实施质量升级计划，加快标准创新、技术创新和管理创新，鼓励高新区名优服务企业积极争创“国家质量奖”，以及重庆市市长质量管理奖和标准创新贡献奖，为打造品质重庆、建设质量强市作出积极贡献。</w:t>
      </w:r>
      <w:r>
        <w:rPr>
          <w:rFonts w:ascii="仿宋_GB2312" w:hAnsi="仿宋" w:hint="eastAsia"/>
          <w:b/>
          <w:bCs/>
          <w:szCs w:val="30"/>
        </w:rPr>
        <w:t>三是加强品牌推广。</w:t>
      </w:r>
      <w:r>
        <w:rPr>
          <w:rFonts w:ascii="仿宋_GB2312" w:hAnsi="仿宋"/>
          <w:szCs w:val="30"/>
        </w:rPr>
        <w:t>立足</w:t>
      </w:r>
      <w:r>
        <w:rPr>
          <w:rFonts w:ascii="仿宋_GB2312" w:hAnsi="仿宋" w:hint="eastAsia"/>
          <w:szCs w:val="30"/>
        </w:rPr>
        <w:t>高新区</w:t>
      </w:r>
      <w:r>
        <w:rPr>
          <w:rFonts w:ascii="仿宋_GB2312" w:hAnsi="仿宋"/>
          <w:szCs w:val="30"/>
        </w:rPr>
        <w:t>特</w:t>
      </w:r>
      <w:r>
        <w:rPr>
          <w:rFonts w:ascii="仿宋_GB2312" w:hAnsi="仿宋" w:hint="eastAsia"/>
          <w:szCs w:val="30"/>
        </w:rPr>
        <w:t>色和发展优势，依托国际智能产业博览会、长江经济带绿色发展高峰论坛、科技金融创新发展论坛、创新创业大赛、渝英汇双创品牌活动等会展活动和新媒体营销平台，积极开展形式多样的高技术服务品牌宣传推广活动。</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86" w:name="_Toc15795"/>
      <w:bookmarkStart w:id="87" w:name="_Toc61271800"/>
      <w:bookmarkStart w:id="88" w:name="_Toc21763"/>
      <w:bookmarkStart w:id="89" w:name="_Toc3724"/>
      <w:r>
        <w:rPr>
          <w:rFonts w:eastAsia="方正楷体_GBK" w:hint="eastAsia"/>
          <w:bCs/>
          <w:szCs w:val="30"/>
        </w:rPr>
        <w:lastRenderedPageBreak/>
        <w:t>（六）</w:t>
      </w:r>
      <w:r>
        <w:rPr>
          <w:rFonts w:eastAsia="方正楷体_GBK"/>
          <w:bCs/>
          <w:szCs w:val="30"/>
        </w:rPr>
        <w:t>实施专业人才凝聚行动</w:t>
      </w:r>
      <w:bookmarkEnd w:id="86"/>
      <w:bookmarkEnd w:id="87"/>
      <w:bookmarkEnd w:id="88"/>
      <w:bookmarkEnd w:id="89"/>
    </w:p>
    <w:p w:rsidR="00F9707F" w:rsidRDefault="00DE6B50">
      <w:pPr>
        <w:spacing w:line="640" w:lineRule="exact"/>
        <w:ind w:firstLineChars="200" w:firstLine="640"/>
        <w:rPr>
          <w:rFonts w:ascii="仿宋_GB2312" w:hAnsi="仿宋"/>
          <w:szCs w:val="30"/>
        </w:rPr>
      </w:pPr>
      <w:r>
        <w:rPr>
          <w:rFonts w:ascii="仿宋_GB2312" w:hAnsi="仿宋" w:hint="eastAsia"/>
          <w:szCs w:val="30"/>
        </w:rPr>
        <w:t>继续发挥重庆市首批“人才特区”优势，积极创新重庆高新区人才工作体制机制，搭建人才服务平台，以“重庆市英才计划”和高新区“金凤凰”人才扶持政策为抓手，加快营造具有国际竞争力的人才发展环境，吸引集聚一批服务业领军人才、高端人才和综合性人才。</w:t>
      </w:r>
      <w:r>
        <w:rPr>
          <w:rFonts w:ascii="仿宋_GB2312" w:hAnsi="仿宋" w:hint="eastAsia"/>
          <w:b/>
          <w:bCs/>
          <w:szCs w:val="30"/>
        </w:rPr>
        <w:t>一是实施行业领军人才“领航计划”。</w:t>
      </w:r>
      <w:r>
        <w:rPr>
          <w:rFonts w:ascii="仿宋_GB2312" w:hAnsi="仿宋" w:hint="eastAsia"/>
          <w:szCs w:val="30"/>
        </w:rPr>
        <w:t>加快营造具有</w:t>
      </w:r>
      <w:r w:rsidR="00835226">
        <w:rPr>
          <w:rFonts w:ascii="仿宋_GB2312" w:hAnsi="仿宋" w:hint="eastAsia"/>
          <w:szCs w:val="30"/>
        </w:rPr>
        <w:t>国际竞争力的人才发展环境，积极引进</w:t>
      </w:r>
      <w:r>
        <w:rPr>
          <w:rFonts w:ascii="仿宋_GB2312" w:hAnsi="仿宋" w:hint="eastAsia"/>
          <w:szCs w:val="30"/>
        </w:rPr>
        <w:t>海内外顶尖人才，以及掌握核心技术资源、具有较强创新创业能力的领军人才、管理人才和创业团队；设立海外服务业引进人才联络站和技术合作平台，完善人才跨境流动配套政策措施，为海外高层次科技人才在高新区工作、出入境和居留创造更加宽松的条件。</w:t>
      </w:r>
      <w:r>
        <w:rPr>
          <w:rFonts w:ascii="仿宋_GB2312" w:hAnsi="仿宋" w:hint="eastAsia"/>
          <w:b/>
          <w:bCs/>
          <w:szCs w:val="30"/>
        </w:rPr>
        <w:t>二是实施专业服务人才“菁英计划”。</w:t>
      </w:r>
      <w:r>
        <w:rPr>
          <w:rFonts w:ascii="仿宋_GB2312" w:hAnsi="仿宋" w:hint="eastAsia"/>
          <w:szCs w:val="30"/>
        </w:rPr>
        <w:t>面向海内外引进检验检测认证、研发设计、技术转移转化、科技金融、软件信息等领域高层次创业创新人才和团队；设立专业化产业人才学院，加强专业技术人才培养，为高新区产业发展提供高素质人才支撑。</w:t>
      </w:r>
      <w:r>
        <w:rPr>
          <w:rFonts w:ascii="仿宋_GB2312" w:hAnsi="仿宋" w:hint="eastAsia"/>
          <w:b/>
          <w:bCs/>
          <w:szCs w:val="30"/>
        </w:rPr>
        <w:t>三是实施专业技术人才“工匠计划”。</w:t>
      </w:r>
      <w:r>
        <w:rPr>
          <w:rFonts w:ascii="仿宋_GB2312" w:hAnsi="仿宋" w:hint="eastAsia"/>
          <w:szCs w:val="30"/>
        </w:rPr>
        <w:t>支持驻高新区各类院校增设一批高技术服务业紧缺专业、打造一批具有国内影响力的“王牌专业”，进一步深化产教融合、校企合作，以培养研发人才、企业工程师等服务业人才为重点，加快推动高技术专业人才队伍建设。</w:t>
      </w:r>
      <w:r>
        <w:rPr>
          <w:rFonts w:ascii="仿宋_GB2312" w:hAnsi="仿宋" w:hint="eastAsia"/>
          <w:b/>
          <w:bCs/>
          <w:szCs w:val="30"/>
        </w:rPr>
        <w:t>四是实施青年服务人才“筑梦计划”。</w:t>
      </w:r>
      <w:r>
        <w:rPr>
          <w:rFonts w:ascii="仿宋_GB2312" w:hAnsi="仿宋" w:hint="eastAsia"/>
          <w:szCs w:val="30"/>
        </w:rPr>
        <w:t>围绕高技</w:t>
      </w:r>
      <w:r>
        <w:rPr>
          <w:rFonts w:ascii="仿宋_GB2312" w:hAnsi="仿宋" w:hint="eastAsia"/>
          <w:szCs w:val="30"/>
        </w:rPr>
        <w:lastRenderedPageBreak/>
        <w:t>术服务业重点领域领域，择优资助一批优秀博士、博士后人才，加速培养一批创新型青年人才。支持高等院校、职业学校和科研院所与有条件的服务企业合作建设人才培养和实训基地，鼓励采用“订单式”教育、“定制式”培养等方式培养更多综合性、高技能、专业化人才。</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90" w:name="_Toc26790"/>
      <w:bookmarkStart w:id="91" w:name="_Toc1521"/>
      <w:bookmarkStart w:id="92" w:name="_Toc27681"/>
      <w:bookmarkStart w:id="93" w:name="_Toc61271801"/>
      <w:r>
        <w:rPr>
          <w:rFonts w:eastAsia="方正楷体_GBK" w:hint="eastAsia"/>
          <w:bCs/>
          <w:szCs w:val="30"/>
        </w:rPr>
        <w:t>（七）</w:t>
      </w:r>
      <w:r>
        <w:rPr>
          <w:rFonts w:eastAsia="方正楷体_GBK"/>
          <w:bCs/>
          <w:szCs w:val="30"/>
        </w:rPr>
        <w:t>实施服务</w:t>
      </w:r>
      <w:r>
        <w:rPr>
          <w:rFonts w:eastAsia="方正楷体_GBK" w:hint="eastAsia"/>
          <w:bCs/>
          <w:szCs w:val="30"/>
        </w:rPr>
        <w:t>联动协同</w:t>
      </w:r>
      <w:r>
        <w:rPr>
          <w:rFonts w:eastAsia="方正楷体_GBK"/>
          <w:bCs/>
          <w:szCs w:val="30"/>
        </w:rPr>
        <w:t>行动</w:t>
      </w:r>
      <w:bookmarkEnd w:id="90"/>
      <w:bookmarkEnd w:id="91"/>
      <w:bookmarkEnd w:id="92"/>
      <w:bookmarkEnd w:id="93"/>
    </w:p>
    <w:p w:rsidR="00F9707F" w:rsidRDefault="00DE6B50">
      <w:pPr>
        <w:spacing w:line="640" w:lineRule="exact"/>
        <w:ind w:firstLineChars="200" w:firstLine="640"/>
        <w:rPr>
          <w:rFonts w:ascii="仿宋_GB2312" w:hAnsi="仿宋"/>
          <w:szCs w:val="30"/>
        </w:rPr>
      </w:pPr>
      <w:r>
        <w:rPr>
          <w:rFonts w:ascii="仿宋_GB2312" w:hAnsi="仿宋" w:hint="eastAsia"/>
          <w:szCs w:val="30"/>
        </w:rPr>
        <w:t>充分发挥自贸试验区与自主创新示范区“双自联动”的政策优势、成渝双城经济圈建设的市场潜力、高校院所和产业园区产学研合作的通道作用，推动人才、资本、技术、知识等多要素联动，着力打造良好的服务业发展生态。</w:t>
      </w:r>
      <w:r>
        <w:rPr>
          <w:rFonts w:ascii="仿宋_GB2312" w:hAnsi="仿宋" w:hint="eastAsia"/>
          <w:b/>
          <w:bCs/>
          <w:szCs w:val="30"/>
        </w:rPr>
        <w:t>一是“双自联动”集聚国际研发创新机构。</w:t>
      </w:r>
      <w:r>
        <w:rPr>
          <w:rFonts w:ascii="仿宋_GB2312" w:hAnsi="仿宋" w:hint="eastAsia"/>
          <w:szCs w:val="30"/>
        </w:rPr>
        <w:t>充分发挥自贸试验区和自主创新示范区政策叠加优势，积极探索新一轮服务业扩大开放措施先行先试，支持跨国公司在高新区设立研发中心和开放式创新平台，吸引国际知名孵化器、创业投资机构落户高新区，为跨境研发活动提供便利。</w:t>
      </w:r>
      <w:r>
        <w:rPr>
          <w:rFonts w:ascii="仿宋_GB2312" w:hAnsi="仿宋" w:hint="eastAsia"/>
          <w:b/>
          <w:bCs/>
          <w:szCs w:val="30"/>
        </w:rPr>
        <w:t>二是“双区联动”推动高技术服务业协同发展。</w:t>
      </w:r>
      <w:r>
        <w:rPr>
          <w:rFonts w:ascii="仿宋_GB2312" w:hAnsi="仿宋" w:hint="eastAsia"/>
          <w:szCs w:val="30"/>
        </w:rPr>
        <w:t>围绕成渝地区双城经济圈建设，落实重庆高新区、成都高新区“双区联动”战略协议，加强资源共建共享，协同对接产业政策，联手成都高新区向国家积极争取内陆自贸港试点，共同实施一批高技术服务业重大项目和事项，构建高效分工、错位发展、有序竞争、相互融合的高技术服务产业集群。</w:t>
      </w:r>
      <w:r>
        <w:rPr>
          <w:rFonts w:ascii="仿宋_GB2312" w:hAnsi="仿宋" w:hint="eastAsia"/>
          <w:b/>
          <w:bCs/>
          <w:szCs w:val="30"/>
        </w:rPr>
        <w:t>三是“校地联动”打造科创服务生态</w:t>
      </w:r>
      <w:r>
        <w:rPr>
          <w:rFonts w:ascii="仿宋_GB2312" w:hAnsi="仿宋" w:hint="eastAsia"/>
          <w:b/>
          <w:bCs/>
          <w:szCs w:val="30"/>
        </w:rPr>
        <w:lastRenderedPageBreak/>
        <w:t>圈。</w:t>
      </w:r>
      <w:r>
        <w:rPr>
          <w:rFonts w:ascii="仿宋_GB2312" w:hAnsi="仿宋" w:hint="eastAsia"/>
          <w:szCs w:val="30"/>
        </w:rPr>
        <w:t>以大学城为核心，以智慧芯城、信创产业基地、高新区科创示范基地等园区为产业支撑，推进大学校区、科技园区、城市社区“三区联动”，打造集研发孵化、数字文创、软件信息、科技金融等高技术服务业融合发展的科创新城。</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94" w:name="_Toc61271802"/>
      <w:bookmarkStart w:id="95" w:name="_Toc11267"/>
      <w:bookmarkStart w:id="96" w:name="_Toc32618"/>
      <w:bookmarkStart w:id="97" w:name="_Toc28457"/>
      <w:r>
        <w:rPr>
          <w:rFonts w:eastAsia="方正楷体_GBK" w:hint="eastAsia"/>
          <w:bCs/>
          <w:szCs w:val="30"/>
        </w:rPr>
        <w:t>（八）</w:t>
      </w:r>
      <w:r>
        <w:rPr>
          <w:rFonts w:eastAsia="方正楷体_GBK"/>
          <w:bCs/>
          <w:szCs w:val="30"/>
        </w:rPr>
        <w:t>实施</w:t>
      </w:r>
      <w:r>
        <w:rPr>
          <w:rFonts w:eastAsia="方正楷体_GBK" w:hint="eastAsia"/>
          <w:bCs/>
          <w:szCs w:val="30"/>
        </w:rPr>
        <w:t>综合</w:t>
      </w:r>
      <w:r>
        <w:rPr>
          <w:rFonts w:eastAsia="方正楷体_GBK"/>
          <w:bCs/>
          <w:szCs w:val="30"/>
        </w:rPr>
        <w:t>环境</w:t>
      </w:r>
      <w:r>
        <w:rPr>
          <w:rFonts w:eastAsia="方正楷体_GBK" w:hint="eastAsia"/>
          <w:bCs/>
          <w:szCs w:val="30"/>
        </w:rPr>
        <w:t>优化</w:t>
      </w:r>
      <w:r>
        <w:rPr>
          <w:rFonts w:eastAsia="方正楷体_GBK"/>
          <w:bCs/>
          <w:szCs w:val="30"/>
        </w:rPr>
        <w:t>行动</w:t>
      </w:r>
      <w:bookmarkEnd w:id="94"/>
      <w:bookmarkEnd w:id="95"/>
      <w:bookmarkEnd w:id="96"/>
      <w:bookmarkEnd w:id="97"/>
    </w:p>
    <w:p w:rsidR="00F9707F" w:rsidRDefault="00DE6B50">
      <w:pPr>
        <w:spacing w:line="640" w:lineRule="exact"/>
        <w:ind w:firstLineChars="200" w:firstLine="640"/>
        <w:rPr>
          <w:rFonts w:ascii="仿宋_GB2312" w:hAnsi="仿宋"/>
          <w:szCs w:val="30"/>
        </w:rPr>
      </w:pPr>
      <w:r>
        <w:rPr>
          <w:rFonts w:ascii="仿宋_GB2312" w:hAnsi="仿宋" w:hint="eastAsia"/>
          <w:szCs w:val="30"/>
        </w:rPr>
        <w:t>以服务业扩大开放作为重要抓手，对标国际一流标准，围绕企业关切诉求，打造国际化法治化市场化营商环境，完善各类生活服务配套，优化高新区综合环境。</w:t>
      </w:r>
      <w:r>
        <w:rPr>
          <w:rFonts w:ascii="仿宋_GB2312" w:hAnsi="仿宋" w:hint="eastAsia"/>
          <w:b/>
          <w:bCs/>
          <w:szCs w:val="30"/>
        </w:rPr>
        <w:t>一是深化服务业改革试点。</w:t>
      </w:r>
      <w:r>
        <w:rPr>
          <w:rFonts w:ascii="仿宋_GB2312" w:hAnsi="仿宋" w:hint="eastAsia"/>
          <w:szCs w:val="30"/>
        </w:rPr>
        <w:t>发挥全国首批研发孵化业试点区域的政策优势，积极复制渝中区国家服务业综合改革试点、两江新区服务贸易创新发展试点等制度创新成果，放宽服务业市场准入，实施负面清单管理，推进服务业准入后体制改革。</w:t>
      </w:r>
      <w:r>
        <w:rPr>
          <w:rFonts w:ascii="仿宋_GB2312" w:hAnsi="仿宋" w:hint="eastAsia"/>
          <w:b/>
          <w:bCs/>
          <w:szCs w:val="30"/>
        </w:rPr>
        <w:t>二是推进“放管服”改革。</w:t>
      </w:r>
      <w:r>
        <w:rPr>
          <w:rFonts w:ascii="仿宋_GB2312" w:hAnsi="仿宋" w:hint="eastAsia"/>
          <w:szCs w:val="30"/>
        </w:rPr>
        <w:t>持续深化“放管服”改革，开展跨行业、多业态服务企业注册登记审批试点，支持企业跨区域跨行业经营。全面推行“最多跑一次”、“一网通办”、“一网统管”改革，增强企业获得感和满意度。</w:t>
      </w:r>
      <w:r>
        <w:rPr>
          <w:rFonts w:ascii="仿宋_GB2312" w:hAnsi="仿宋" w:hint="eastAsia"/>
          <w:b/>
          <w:szCs w:val="30"/>
        </w:rPr>
        <w:t>三是营造公平竞争市场环境。</w:t>
      </w:r>
      <w:r>
        <w:rPr>
          <w:rFonts w:ascii="仿宋_GB2312" w:hAnsi="仿宋" w:hint="eastAsia"/>
          <w:szCs w:val="30"/>
        </w:rPr>
        <w:t>全力维护高技术服务业各类所有制企业和大中小型企业公平竞争市场环境，创新新兴服务包容审慎监管模式。高质量执行《外商投资法》，依法保护外资企业平等地位和合法权益。</w:t>
      </w:r>
      <w:r>
        <w:rPr>
          <w:rFonts w:ascii="仿宋_GB2312" w:hAnsi="仿宋" w:hint="eastAsia"/>
          <w:b/>
          <w:bCs/>
          <w:szCs w:val="30"/>
        </w:rPr>
        <w:t>四是完善综合配套环境。</w:t>
      </w:r>
      <w:r>
        <w:rPr>
          <w:rFonts w:ascii="仿宋_GB2312" w:hAnsi="仿宋" w:hint="eastAsia"/>
          <w:bCs/>
          <w:szCs w:val="30"/>
        </w:rPr>
        <w:t>推动科学大道、轨道</w:t>
      </w:r>
      <w:r>
        <w:rPr>
          <w:bCs/>
          <w:szCs w:val="30"/>
        </w:rPr>
        <w:t>15</w:t>
      </w:r>
      <w:r>
        <w:rPr>
          <w:bCs/>
          <w:szCs w:val="30"/>
        </w:rPr>
        <w:t>号线、轨道</w:t>
      </w:r>
      <w:r>
        <w:rPr>
          <w:rFonts w:hint="eastAsia"/>
          <w:bCs/>
          <w:szCs w:val="30"/>
        </w:rPr>
        <w:t>27</w:t>
      </w:r>
      <w:r>
        <w:rPr>
          <w:bCs/>
          <w:szCs w:val="30"/>
        </w:rPr>
        <w:t>号线</w:t>
      </w:r>
      <w:r>
        <w:rPr>
          <w:rFonts w:ascii="仿宋_GB2312" w:hAnsi="仿宋" w:hint="eastAsia"/>
          <w:bCs/>
          <w:szCs w:val="30"/>
        </w:rPr>
        <w:t>、轨道</w:t>
      </w:r>
      <w:r>
        <w:rPr>
          <w:rFonts w:ascii="仿宋_GB2312" w:hAnsi="仿宋" w:hint="eastAsia"/>
          <w:bCs/>
          <w:szCs w:val="30"/>
        </w:rPr>
        <w:t>17</w:t>
      </w:r>
      <w:r>
        <w:rPr>
          <w:rFonts w:ascii="仿宋_GB2312" w:hAnsi="仿宋" w:hint="eastAsia"/>
          <w:bCs/>
          <w:szCs w:val="30"/>
        </w:rPr>
        <w:t>号线、轨道</w:t>
      </w:r>
      <w:r>
        <w:rPr>
          <w:rFonts w:ascii="仿宋_GB2312" w:hAnsi="仿宋" w:hint="eastAsia"/>
          <w:bCs/>
          <w:szCs w:val="30"/>
        </w:rPr>
        <w:t>7</w:t>
      </w:r>
      <w:r>
        <w:rPr>
          <w:rFonts w:ascii="仿宋_GB2312" w:hAnsi="仿宋" w:hint="eastAsia"/>
          <w:bCs/>
          <w:szCs w:val="30"/>
        </w:rPr>
        <w:t>号线、金凤隧道、大学城</w:t>
      </w:r>
      <w:r>
        <w:rPr>
          <w:rFonts w:ascii="仿宋_GB2312" w:hAnsi="仿宋" w:hint="eastAsia"/>
          <w:bCs/>
          <w:szCs w:val="30"/>
        </w:rPr>
        <w:lastRenderedPageBreak/>
        <w:t>复线隧道、高速铁路及科学城站（渝昆高铁在建）等重大交通基础设施项目建设。全面提升</w:t>
      </w:r>
      <w:r>
        <w:rPr>
          <w:rFonts w:ascii="仿宋_GB2312" w:hAnsi="楷体" w:hint="eastAsia"/>
          <w:szCs w:val="30"/>
        </w:rPr>
        <w:t>高新区网络及信息基础设施，实现高新区重点区域</w:t>
      </w:r>
      <w:r>
        <w:rPr>
          <w:szCs w:val="30"/>
        </w:rPr>
        <w:t>5G</w:t>
      </w:r>
      <w:r>
        <w:rPr>
          <w:rFonts w:ascii="仿宋_GB2312" w:hAnsi="楷体" w:hint="eastAsia"/>
          <w:szCs w:val="30"/>
        </w:rPr>
        <w:t>网络部署以及光纤宽带和无线网络全覆盖</w:t>
      </w:r>
      <w:r>
        <w:rPr>
          <w:rFonts w:ascii="仿宋_GB2312" w:hAnsi="仿宋" w:hint="eastAsia"/>
          <w:szCs w:val="30"/>
        </w:rPr>
        <w:t>。引入优质教育、医疗资源，加快建设一批国际学校、国际医院、国际社区，完善商品房、酒店式公寓、人才公寓、公共租赁住房配套，更好实现科学城职住平衡。</w:t>
      </w:r>
    </w:p>
    <w:p w:rsidR="00F9707F" w:rsidRDefault="00DE6B50">
      <w:pPr>
        <w:adjustRightInd w:val="0"/>
        <w:snapToGrid w:val="0"/>
        <w:spacing w:line="640" w:lineRule="exact"/>
        <w:ind w:firstLineChars="200" w:firstLine="640"/>
        <w:jc w:val="left"/>
        <w:outlineLvl w:val="0"/>
        <w:rPr>
          <w:rFonts w:eastAsia="方正黑体_GBK"/>
          <w:bCs/>
          <w:kern w:val="44"/>
          <w:szCs w:val="30"/>
        </w:rPr>
      </w:pPr>
      <w:bookmarkStart w:id="98" w:name="_Toc3287"/>
      <w:bookmarkStart w:id="99" w:name="_Toc11165"/>
      <w:bookmarkStart w:id="100" w:name="_Toc30683"/>
      <w:bookmarkStart w:id="101" w:name="_Toc61271803"/>
      <w:r>
        <w:rPr>
          <w:rFonts w:eastAsia="方正黑体_GBK" w:hint="eastAsia"/>
          <w:bCs/>
          <w:kern w:val="44"/>
          <w:szCs w:val="30"/>
        </w:rPr>
        <w:t>五、强化实施保障</w:t>
      </w:r>
      <w:bookmarkEnd w:id="98"/>
      <w:bookmarkEnd w:id="99"/>
      <w:bookmarkEnd w:id="100"/>
      <w:bookmarkEnd w:id="101"/>
    </w:p>
    <w:p w:rsidR="00F9707F" w:rsidRDefault="00DE6B50">
      <w:pPr>
        <w:adjustRightInd w:val="0"/>
        <w:snapToGrid w:val="0"/>
        <w:spacing w:line="640" w:lineRule="exact"/>
        <w:ind w:firstLineChars="200" w:firstLine="640"/>
        <w:jc w:val="left"/>
        <w:outlineLvl w:val="1"/>
        <w:rPr>
          <w:rFonts w:eastAsia="方正楷体_GBK"/>
          <w:bCs/>
          <w:szCs w:val="30"/>
        </w:rPr>
      </w:pPr>
      <w:bookmarkStart w:id="102" w:name="_Toc61271804"/>
      <w:bookmarkStart w:id="103" w:name="_Toc27357"/>
      <w:bookmarkStart w:id="104" w:name="_Toc23335"/>
      <w:bookmarkStart w:id="105" w:name="_Toc6905"/>
      <w:r>
        <w:rPr>
          <w:rFonts w:eastAsia="方正楷体_GBK" w:hint="eastAsia"/>
          <w:bCs/>
          <w:szCs w:val="30"/>
        </w:rPr>
        <w:t>（一）</w:t>
      </w:r>
      <w:r>
        <w:rPr>
          <w:rFonts w:eastAsia="方正楷体_GBK"/>
          <w:bCs/>
          <w:szCs w:val="30"/>
        </w:rPr>
        <w:t>加强组织领导</w:t>
      </w:r>
      <w:bookmarkEnd w:id="102"/>
      <w:bookmarkEnd w:id="103"/>
      <w:bookmarkEnd w:id="104"/>
      <w:bookmarkEnd w:id="105"/>
    </w:p>
    <w:p w:rsidR="00F9707F" w:rsidRDefault="00DE6B50">
      <w:pPr>
        <w:spacing w:line="640" w:lineRule="exact"/>
        <w:ind w:firstLineChars="200" w:firstLine="640"/>
        <w:rPr>
          <w:rFonts w:ascii="仿宋_GB2312" w:hAnsi="仿宋"/>
          <w:szCs w:val="30"/>
        </w:rPr>
      </w:pPr>
      <w:r>
        <w:rPr>
          <w:rFonts w:ascii="仿宋_GB2312" w:hAnsi="仿宋" w:hint="eastAsia"/>
          <w:szCs w:val="30"/>
        </w:rPr>
        <w:t>完善高新区高技术服务业发展统筹推进体系，由高新区改发局牵头建立高新区高技术服务业发展联席会议，统筹协调高新区高技术服务业发展的重点项目、重大政策、重要事项等。落实部门责任分工，根据高技术服务业重点行业领域设立专项推进工作组，协同解决项目落地面临的瓶颈问题。</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106" w:name="_Toc7207"/>
      <w:bookmarkStart w:id="107" w:name="_Toc26402"/>
      <w:bookmarkStart w:id="108" w:name="_Toc3684"/>
      <w:bookmarkStart w:id="109" w:name="_Toc61271805"/>
      <w:r>
        <w:rPr>
          <w:rFonts w:eastAsia="方正楷体_GBK" w:hint="eastAsia"/>
          <w:bCs/>
          <w:szCs w:val="30"/>
        </w:rPr>
        <w:t>（二）</w:t>
      </w:r>
      <w:r>
        <w:rPr>
          <w:rFonts w:eastAsia="方正楷体_GBK"/>
          <w:bCs/>
          <w:szCs w:val="30"/>
        </w:rPr>
        <w:t>加强政策支持</w:t>
      </w:r>
      <w:bookmarkEnd w:id="106"/>
      <w:bookmarkEnd w:id="107"/>
      <w:bookmarkEnd w:id="108"/>
      <w:bookmarkEnd w:id="109"/>
    </w:p>
    <w:p w:rsidR="00F9707F" w:rsidRDefault="00DE6B50">
      <w:pPr>
        <w:spacing w:line="640" w:lineRule="exact"/>
        <w:ind w:firstLineChars="200" w:firstLine="640"/>
        <w:rPr>
          <w:rFonts w:ascii="仿宋_GB2312" w:hAnsi="仿宋"/>
          <w:szCs w:val="30"/>
        </w:rPr>
      </w:pPr>
      <w:r>
        <w:rPr>
          <w:rFonts w:ascii="仿宋_GB2312" w:hAnsi="仿宋" w:hint="eastAsia"/>
          <w:szCs w:val="30"/>
        </w:rPr>
        <w:t>根据高新区高技术服务业规划方向，形成高新区高技术服务业发展实施意见，并针对重点领域出台针对性的扶持政策和实施细则，形成高新区服务业发展政策支撑体系，给予企业在项目用地、设备投资、人才引进、平台搭建、应用示范、提升资质、拓展市场等方面的扶持。积极争取国家、市级层面各项政策支持，主动承接高技术服务业领域全国全市先行先试试点项目。</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110" w:name="_Toc32649"/>
      <w:bookmarkStart w:id="111" w:name="_Toc61271806"/>
      <w:bookmarkStart w:id="112" w:name="_Toc3678"/>
      <w:bookmarkStart w:id="113" w:name="_Toc6705"/>
      <w:r>
        <w:rPr>
          <w:rFonts w:eastAsia="方正楷体_GBK" w:hint="eastAsia"/>
          <w:bCs/>
          <w:szCs w:val="30"/>
        </w:rPr>
        <w:lastRenderedPageBreak/>
        <w:t>（三）</w:t>
      </w:r>
      <w:r>
        <w:rPr>
          <w:rFonts w:eastAsia="方正楷体_GBK"/>
          <w:bCs/>
          <w:szCs w:val="30"/>
        </w:rPr>
        <w:t>加强投资促进</w:t>
      </w:r>
      <w:bookmarkEnd w:id="110"/>
      <w:bookmarkEnd w:id="111"/>
      <w:bookmarkEnd w:id="112"/>
      <w:bookmarkEnd w:id="113"/>
    </w:p>
    <w:p w:rsidR="00F9707F" w:rsidRDefault="00DE6B50">
      <w:pPr>
        <w:spacing w:line="640" w:lineRule="exact"/>
        <w:ind w:firstLineChars="200" w:firstLine="640"/>
        <w:rPr>
          <w:rFonts w:ascii="仿宋_GB2312" w:hAnsi="仿宋"/>
          <w:szCs w:val="30"/>
        </w:rPr>
      </w:pPr>
      <w:r>
        <w:rPr>
          <w:rFonts w:ascii="仿宋_GB2312" w:hAnsi="仿宋" w:hint="eastAsia"/>
          <w:szCs w:val="30"/>
        </w:rPr>
        <w:t>加强招商统筹、市区联动，建立重大项目落户的市区协调机制。深化高新区管委会下属国有企业改革，增强平台公司市场化、专业化水平，积极引进专业招商人才，打造专业化招商队伍。制定高新区高技术服务业招商地图，编制招商图谱，建立高技术服务业重点项目库，强化项目跟踪落实。在上海、北京、深圳等地设立全球招商中心，举办高新区高层次推介活动。创新市场化招商方式，拓展产业链招商、基金</w:t>
      </w:r>
      <w:r>
        <w:rPr>
          <w:rFonts w:ascii="仿宋_GB2312" w:hAnsi="仿宋" w:hint="eastAsia"/>
          <w:szCs w:val="30"/>
        </w:rPr>
        <w:t>+</w:t>
      </w:r>
      <w:r>
        <w:rPr>
          <w:rFonts w:ascii="仿宋_GB2312" w:hAnsi="仿宋" w:hint="eastAsia"/>
          <w:szCs w:val="30"/>
        </w:rPr>
        <w:t>技术团队招商、赛事活动平台招商、专业中介招商等多种市场化招商方式。借助智博会、西洽会、进博会等重要平台，深化线上招商、云上签约。</w:t>
      </w:r>
    </w:p>
    <w:p w:rsidR="00F9707F" w:rsidRDefault="00DE6B50">
      <w:pPr>
        <w:adjustRightInd w:val="0"/>
        <w:snapToGrid w:val="0"/>
        <w:spacing w:line="640" w:lineRule="exact"/>
        <w:ind w:firstLineChars="200" w:firstLine="640"/>
        <w:jc w:val="left"/>
        <w:outlineLvl w:val="1"/>
        <w:rPr>
          <w:rFonts w:eastAsia="方正楷体_GBK"/>
          <w:bCs/>
          <w:szCs w:val="30"/>
        </w:rPr>
      </w:pPr>
      <w:bookmarkStart w:id="114" w:name="_Toc26448"/>
      <w:bookmarkStart w:id="115" w:name="_Toc27922"/>
      <w:bookmarkStart w:id="116" w:name="_Toc17326"/>
      <w:bookmarkStart w:id="117" w:name="_Toc61271807"/>
      <w:r>
        <w:rPr>
          <w:rFonts w:eastAsia="方正楷体_GBK" w:hint="eastAsia"/>
          <w:bCs/>
          <w:szCs w:val="30"/>
        </w:rPr>
        <w:t>（四）加强监测评估</w:t>
      </w:r>
      <w:bookmarkEnd w:id="114"/>
      <w:bookmarkEnd w:id="115"/>
      <w:bookmarkEnd w:id="116"/>
      <w:bookmarkEnd w:id="117"/>
    </w:p>
    <w:p w:rsidR="00F9707F" w:rsidRDefault="00DE6B50">
      <w:pPr>
        <w:spacing w:line="640" w:lineRule="exact"/>
        <w:ind w:firstLineChars="200" w:firstLine="640"/>
        <w:rPr>
          <w:rFonts w:ascii="仿宋_GB2312" w:hAnsi="仿宋"/>
          <w:szCs w:val="30"/>
        </w:rPr>
      </w:pPr>
      <w:r>
        <w:rPr>
          <w:rFonts w:ascii="仿宋_GB2312" w:hAnsi="仿宋" w:hint="eastAsia"/>
          <w:szCs w:val="30"/>
        </w:rPr>
        <w:t>完善高技术服务业统计体系，丰富调查方法和手段，加强对重点领域和新兴业态的统计核算。建立高技术服务业发展形势分析制度，完善高新区重点企业运行监测分析。将规划中明确的任务纳入工作目标责任考核，加强高技术服务业指标、重点任务、重大工程、重点项目推进和完成情况的监督。编制高新区高技术服务业年度发展报告，开展发展状况评估和政策评估。开展“高新区服务”品牌企业评选，加大优秀案例宣传推广。</w:t>
      </w:r>
    </w:p>
    <w:sectPr w:rsidR="00F9707F" w:rsidSect="00F9707F">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58" w:rsidRDefault="008C3158" w:rsidP="00F9707F">
      <w:pPr>
        <w:spacing w:line="240" w:lineRule="auto"/>
      </w:pPr>
      <w:r>
        <w:separator/>
      </w:r>
    </w:p>
  </w:endnote>
  <w:endnote w:type="continuationSeparator" w:id="0">
    <w:p w:rsidR="008C3158" w:rsidRDefault="008C3158" w:rsidP="00F97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楷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50" w:rsidRDefault="008C3158">
    <w:pPr>
      <w:pStyle w:val="a0"/>
    </w:pPr>
    <w:r>
      <w:pict>
        <v:shapetype id="_x0000_t202" coordsize="21600,21600" o:spt="202" path="m,l,21600r21600,l21600,xe">
          <v:stroke joinstyle="miter"/>
          <v:path gradientshapeok="t" o:connecttype="rect"/>
        </v:shapetype>
        <v:shape id="_x0000_s2054" type="#_x0000_t202" style="position:absolute;margin-left:0;margin-top:0;width:9.05pt;height:12pt;z-index:251662336;mso-wrap-style:none;mso-position-horizontal:center;mso-position-horizontal-relative:margin" o:gfxdata="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7yycdIAAAADAQAADwAAAAAAAAABACAA&#10;AAAiAAAAZHJzL2Rvd25yZXYueG1sUEsBAhQAFAAAAAgAh07iQF5IImITAgAABQQAAA4AAAAAAAAA&#10;AQAgAAAAIQEAAGRycy9lMm9Eb2MueG1sUEsFBgAAAAAGAAYAWQEAAKYFAAAAAA==&#10;" filled="f" stroked="f" strokeweight=".5pt">
          <v:textbox style="mso-fit-shape-to-text:t" inset="0,0,0,0">
            <w:txbxContent>
              <w:p w:rsidR="00DE6B50" w:rsidRDefault="00DE6B50">
                <w:pPr>
                  <w:pStyle w:val="a0"/>
                  <w:rPr>
                    <w:rStyle w:val="af8"/>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50" w:rsidRDefault="008C3158">
    <w:pPr>
      <w:pStyle w:val="a0"/>
      <w:jc w:val="center"/>
    </w:pPr>
    <w:r>
      <w:pict>
        <v:shapetype id="_x0000_t202" coordsize="21600,21600" o:spt="202" path="m,l,21600r21600,l21600,xe">
          <v:stroke joinstyle="miter"/>
          <v:path gradientshapeok="t" o:connecttype="rect"/>
        </v:shapetype>
        <v:shape id="文本框 8" o:spid="_x0000_s2050" type="#_x0000_t202" style="position:absolute;left:0;text-align:left;margin-left:0;margin-top:0;width:39.05pt;height:42pt;z-index:251661312;mso-wrap-style:none;mso-position-horizontal:center;mso-position-horizontal-relative:margin" o:gfxdata="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DXfod&#10;0AAAAAMBAAAPAAAAAAAAAAEAIAAAACIAAABkcnMvZG93bnJldi54bWxQSwECFAAUAAAACACHTuJA&#10;uP58bPABAAC1AwAADgAAAAAAAAABACAAAAAfAQAAZHJzL2Uyb0RvYy54bWxQSwUGAAAAAAYABgBZ&#10;AQAAgQUAAAAA&#10;" filled="f" stroked="f">
          <v:textbox style="mso-fit-shape-to-text:t" inset="0,0,0,0">
            <w:txbxContent>
              <w:sdt>
                <w:sdtPr>
                  <w:id w:val="-1010838247"/>
                  <w:showingPlcHdr/>
                </w:sdtPr>
                <w:sdtEndPr/>
                <w:sdtContent>
                  <w:p w:rsidR="00DE6B50" w:rsidRDefault="008C3158">
                    <w:pPr>
                      <w:pStyle w:val="a0"/>
                      <w:jc w:val="center"/>
                    </w:pPr>
                  </w:p>
                </w:sdtContent>
              </w:sdt>
              <w:p w:rsidR="00DE6B50" w:rsidRDefault="00DE6B50">
                <w:pPr>
                  <w:ind w:firstLine="600"/>
                </w:pPr>
              </w:p>
            </w:txbxContent>
          </v:textbox>
          <w10:wrap anchorx="margin"/>
        </v:shape>
      </w:pict>
    </w:r>
  </w:p>
  <w:p w:rsidR="00DE6B50" w:rsidRDefault="00DE6B50">
    <w:pPr>
      <w:pStyle w:val="30"/>
      <w:tabs>
        <w:tab w:val="clear" w:pos="8296"/>
        <w:tab w:val="right" w:leader="dot" w:pos="8300"/>
      </w:tabs>
      <w:spacing w:line="300" w:lineRule="auto"/>
      <w:ind w:left="960" w:firstLineChars="300"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50" w:rsidRDefault="008C3158">
    <w:pPr>
      <w:pStyle w:val="a0"/>
    </w:pPr>
    <w:r>
      <w:pict>
        <v:shapetype id="_x0000_t202" coordsize="21600,21600" o:spt="202" path="m,l,21600r21600,l21600,xe">
          <v:stroke joinstyle="miter"/>
          <v:path gradientshapeok="t" o:connecttype="rect"/>
        </v:shapetype>
        <v:shape id="_x0000_s2052" type="#_x0000_t202" style="position:absolute;margin-left:0;margin-top:0;width:6pt;height:12pt;z-index:251663360;mso-wrap-style:none;mso-position-horizontal:center;mso-position-horizontal-relative:margin" o:gfxdata="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tfoR0AAAAAMBAAAPAAAAAAAAAAEAIAAAACIA&#10;AABkcnMvZG93bnJldi54bWxQSwECFAAUAAAACACHTuJAIRbOExECAAAEBAAADgAAAAAAAAABACAA&#10;AAAfAQAAZHJzL2Uyb0RvYy54bWxQSwUGAAAAAAYABgBZAQAAogUAAAAA&#10;" filled="f" stroked="f" strokeweight=".5pt">
          <v:textbox style="mso-fit-shape-to-text:t" inset="0,0,0,0">
            <w:txbxContent>
              <w:p w:rsidR="00DE6B50" w:rsidRDefault="00DE6B50">
                <w:pPr>
                  <w:pStyle w:val="a0"/>
                  <w:rPr>
                    <w:rStyle w:val="af8"/>
                  </w:rP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50" w:rsidRDefault="008C3158">
    <w:pPr>
      <w:pStyle w:val="a0"/>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DE6B50" w:rsidRDefault="008C3158">
                <w:pPr>
                  <w:pStyle w:val="a0"/>
                </w:pPr>
                <w:r>
                  <w:fldChar w:fldCharType="begin"/>
                </w:r>
                <w:r>
                  <w:instrText xml:space="preserve"> PAGE  \* MERGEFORMAT </w:instrText>
                </w:r>
                <w:r>
                  <w:fldChar w:fldCharType="separate"/>
                </w:r>
                <w:r w:rsidR="0057288C">
                  <w:rPr>
                    <w:noProof/>
                  </w:rPr>
                  <w:t>I</w:t>
                </w:r>
                <w:r>
                  <w:rPr>
                    <w:noProof/>
                  </w:rPr>
                  <w:fldChar w:fldCharType="end"/>
                </w:r>
              </w:p>
            </w:txbxContent>
          </v:textbox>
          <w10:wrap anchorx="margin"/>
        </v:shape>
      </w:pict>
    </w:r>
  </w:p>
  <w:p w:rsidR="00DE6B50" w:rsidRDefault="00DE6B50">
    <w:pPr>
      <w:pStyle w:val="30"/>
      <w:tabs>
        <w:tab w:val="clear" w:pos="8296"/>
        <w:tab w:val="right" w:leader="dot" w:pos="8300"/>
      </w:tabs>
      <w:spacing w:line="300" w:lineRule="auto"/>
      <w:ind w:left="960" w:firstLineChars="300" w:firstLine="7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50" w:rsidRDefault="008C3158">
    <w:pPr>
      <w:pStyle w:val="a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E6B50" w:rsidRDefault="008C3158">
                <w:pPr>
                  <w:pStyle w:val="a0"/>
                </w:pPr>
                <w:r>
                  <w:fldChar w:fldCharType="begin"/>
                </w:r>
                <w:r>
                  <w:instrText xml:space="preserve"> PAGE  \* MERGEFORMAT </w:instrText>
                </w:r>
                <w:r>
                  <w:fldChar w:fldCharType="separate"/>
                </w:r>
                <w:r w:rsidR="0057288C">
                  <w:rPr>
                    <w:noProof/>
                  </w:rPr>
                  <w:t>18</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58" w:rsidRDefault="008C3158" w:rsidP="00F9707F">
      <w:pPr>
        <w:spacing w:line="240" w:lineRule="auto"/>
      </w:pPr>
      <w:r>
        <w:separator/>
      </w:r>
    </w:p>
  </w:footnote>
  <w:footnote w:type="continuationSeparator" w:id="0">
    <w:p w:rsidR="008C3158" w:rsidRDefault="008C3158" w:rsidP="00F9707F">
      <w:pPr>
        <w:spacing w:line="240" w:lineRule="auto"/>
      </w:pPr>
      <w:r>
        <w:continuationSeparator/>
      </w:r>
    </w:p>
  </w:footnote>
  <w:footnote w:id="1">
    <w:p w:rsidR="00DE6B50" w:rsidRDefault="00DE6B50">
      <w:pPr>
        <w:pStyle w:val="af"/>
        <w:spacing w:line="240" w:lineRule="auto"/>
        <w:rPr>
          <w:sz w:val="21"/>
          <w:szCs w:val="21"/>
        </w:rPr>
      </w:pPr>
      <w:r>
        <w:rPr>
          <w:rStyle w:val="afd"/>
          <w:sz w:val="21"/>
          <w:szCs w:val="21"/>
        </w:rPr>
        <w:footnoteRef/>
      </w:r>
      <w:r>
        <w:rPr>
          <w:rFonts w:hint="eastAsia"/>
          <w:sz w:val="21"/>
          <w:szCs w:val="21"/>
        </w:rPr>
        <w:t>表</w:t>
      </w:r>
      <w:r>
        <w:rPr>
          <w:rFonts w:hint="eastAsia"/>
          <w:sz w:val="21"/>
          <w:szCs w:val="21"/>
        </w:rPr>
        <w:t>2</w:t>
      </w:r>
      <w:r>
        <w:rPr>
          <w:rFonts w:hint="eastAsia"/>
          <w:sz w:val="21"/>
          <w:szCs w:val="21"/>
        </w:rPr>
        <w:t>中产值目标为到</w:t>
      </w:r>
      <w:r>
        <w:rPr>
          <w:rFonts w:hint="eastAsia"/>
          <w:sz w:val="21"/>
          <w:szCs w:val="21"/>
        </w:rPr>
        <w:t>2</w:t>
      </w:r>
      <w:r>
        <w:rPr>
          <w:sz w:val="21"/>
          <w:szCs w:val="21"/>
        </w:rPr>
        <w:t>025</w:t>
      </w:r>
      <w:r>
        <w:rPr>
          <w:sz w:val="21"/>
          <w:szCs w:val="21"/>
        </w:rPr>
        <w:t>年该产业平台全部完成开发</w:t>
      </w:r>
      <w:r>
        <w:rPr>
          <w:rFonts w:hint="eastAsia"/>
          <w:sz w:val="21"/>
          <w:szCs w:val="21"/>
        </w:rPr>
        <w:t>、</w:t>
      </w:r>
      <w:r>
        <w:rPr>
          <w:sz w:val="21"/>
          <w:szCs w:val="21"/>
        </w:rPr>
        <w:t>入驻饱和后的预计产值指标</w:t>
      </w:r>
      <w:r>
        <w:rPr>
          <w:rFonts w:hint="eastAsia"/>
          <w:sz w:val="21"/>
          <w:szCs w:val="21"/>
        </w:rPr>
        <w:t>，表</w:t>
      </w:r>
      <w:r>
        <w:rPr>
          <w:rFonts w:hint="eastAsia"/>
          <w:sz w:val="21"/>
          <w:szCs w:val="21"/>
        </w:rPr>
        <w:t>3</w:t>
      </w:r>
      <w:r>
        <w:rPr>
          <w:rFonts w:hint="eastAsia"/>
          <w:sz w:val="21"/>
          <w:szCs w:val="21"/>
        </w:rPr>
        <w:t>、表</w:t>
      </w:r>
      <w:r>
        <w:rPr>
          <w:rFonts w:hint="eastAsia"/>
          <w:sz w:val="21"/>
          <w:szCs w:val="21"/>
        </w:rPr>
        <w:t>4</w:t>
      </w:r>
      <w:r>
        <w:rPr>
          <w:rFonts w:hint="eastAsia"/>
          <w:sz w:val="21"/>
          <w:szCs w:val="21"/>
        </w:rPr>
        <w:t>、表</w:t>
      </w:r>
      <w:r>
        <w:rPr>
          <w:rFonts w:hint="eastAsia"/>
          <w:sz w:val="21"/>
          <w:szCs w:val="21"/>
        </w:rPr>
        <w:t>5</w:t>
      </w:r>
      <w:r>
        <w:rPr>
          <w:rFonts w:hint="eastAsia"/>
          <w:sz w:val="21"/>
          <w:szCs w:val="21"/>
        </w:rPr>
        <w:t>、表</w:t>
      </w:r>
      <w:r>
        <w:rPr>
          <w:rFonts w:hint="eastAsia"/>
          <w:sz w:val="21"/>
          <w:szCs w:val="21"/>
        </w:rPr>
        <w:t>6</w:t>
      </w:r>
      <w:r>
        <w:rPr>
          <w:rFonts w:hint="eastAsia"/>
          <w:sz w:val="21"/>
          <w:szCs w:val="21"/>
        </w:rPr>
        <w:t>同理。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50" w:rsidRDefault="00DE6B50">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50" w:rsidRDefault="00DE6B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85CD78"/>
    <w:multiLevelType w:val="singleLevel"/>
    <w:tmpl w:val="E785CD78"/>
    <w:lvl w:ilvl="0">
      <w:start w:val="1"/>
      <w:numFmt w:val="chineseCounting"/>
      <w:pStyle w:val="CharChar1"/>
      <w:suff w:val="nothing"/>
      <w:lvlText w:val="%1、"/>
      <w:lvlJc w:val="left"/>
      <w:rPr>
        <w:rFonts w:hint="eastAsia"/>
      </w:rPr>
    </w:lvl>
  </w:abstractNum>
  <w:abstractNum w:abstractNumId="1" w15:restartNumberingAfterBreak="0">
    <w:nsid w:val="521A7AA4"/>
    <w:multiLevelType w:val="multilevel"/>
    <w:tmpl w:val="521A7AA4"/>
    <w:lvl w:ilvl="0">
      <w:start w:val="1"/>
      <w:numFmt w:val="decimal"/>
      <w:pStyle w:val="5"/>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4249"/>
    <w:rsid w:val="00043C50"/>
    <w:rsid w:val="000820FA"/>
    <w:rsid w:val="000853EB"/>
    <w:rsid w:val="000C2F30"/>
    <w:rsid w:val="000C52B5"/>
    <w:rsid w:val="0012315E"/>
    <w:rsid w:val="00147480"/>
    <w:rsid w:val="001E68F4"/>
    <w:rsid w:val="002A7561"/>
    <w:rsid w:val="002B0C3C"/>
    <w:rsid w:val="002B248B"/>
    <w:rsid w:val="002F6516"/>
    <w:rsid w:val="003A2D24"/>
    <w:rsid w:val="003B6E34"/>
    <w:rsid w:val="004B38C6"/>
    <w:rsid w:val="004B72EA"/>
    <w:rsid w:val="004C2A1E"/>
    <w:rsid w:val="0057288C"/>
    <w:rsid w:val="005B6C51"/>
    <w:rsid w:val="006279F3"/>
    <w:rsid w:val="006B6F46"/>
    <w:rsid w:val="00744249"/>
    <w:rsid w:val="007514E7"/>
    <w:rsid w:val="00787816"/>
    <w:rsid w:val="00835226"/>
    <w:rsid w:val="00895507"/>
    <w:rsid w:val="008A04CA"/>
    <w:rsid w:val="008C3158"/>
    <w:rsid w:val="009B17BA"/>
    <w:rsid w:val="00A51905"/>
    <w:rsid w:val="00A60CDA"/>
    <w:rsid w:val="00AA3A54"/>
    <w:rsid w:val="00B57917"/>
    <w:rsid w:val="00B65B0A"/>
    <w:rsid w:val="00BF71DA"/>
    <w:rsid w:val="00DA5C7F"/>
    <w:rsid w:val="00DE6B50"/>
    <w:rsid w:val="00E64D11"/>
    <w:rsid w:val="00E65D41"/>
    <w:rsid w:val="00E9741A"/>
    <w:rsid w:val="00F27870"/>
    <w:rsid w:val="00F9707F"/>
    <w:rsid w:val="00FD4C5A"/>
    <w:rsid w:val="3B042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06A9698-D133-4BCB-B410-2261E57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uiPriority="9" w:unhideWhenUsed="1" w:qFormat="1"/>
    <w:lsdException w:name="heading 5" w:uiPriority="9"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9707F"/>
    <w:pPr>
      <w:widowControl w:val="0"/>
      <w:spacing w:line="600" w:lineRule="exact"/>
      <w:jc w:val="both"/>
    </w:pPr>
    <w:rPr>
      <w:rFonts w:eastAsia="方正仿宋_GBK"/>
      <w:kern w:val="2"/>
      <w:sz w:val="32"/>
      <w:szCs w:val="22"/>
    </w:rPr>
  </w:style>
  <w:style w:type="paragraph" w:styleId="1">
    <w:name w:val="heading 1"/>
    <w:basedOn w:val="a"/>
    <w:next w:val="a"/>
    <w:link w:val="11"/>
    <w:qFormat/>
    <w:rsid w:val="00F9707F"/>
    <w:pPr>
      <w:adjustRightInd w:val="0"/>
      <w:snapToGrid w:val="0"/>
      <w:ind w:firstLineChars="200" w:firstLine="200"/>
      <w:jc w:val="left"/>
      <w:outlineLvl w:val="0"/>
    </w:pPr>
    <w:rPr>
      <w:rFonts w:eastAsia="方正黑体_GBK"/>
      <w:bCs/>
      <w:kern w:val="44"/>
      <w:szCs w:val="30"/>
    </w:rPr>
  </w:style>
  <w:style w:type="paragraph" w:styleId="2">
    <w:name w:val="heading 2"/>
    <w:basedOn w:val="a"/>
    <w:next w:val="a"/>
    <w:link w:val="22"/>
    <w:qFormat/>
    <w:rsid w:val="00F9707F"/>
    <w:pPr>
      <w:adjustRightInd w:val="0"/>
      <w:snapToGrid w:val="0"/>
      <w:ind w:firstLineChars="200" w:firstLine="200"/>
      <w:jc w:val="left"/>
      <w:outlineLvl w:val="1"/>
    </w:pPr>
    <w:rPr>
      <w:rFonts w:eastAsia="方正楷体_GBK"/>
      <w:b/>
      <w:bCs/>
      <w:szCs w:val="30"/>
    </w:rPr>
  </w:style>
  <w:style w:type="paragraph" w:styleId="3">
    <w:name w:val="heading 3"/>
    <w:basedOn w:val="a"/>
    <w:next w:val="a"/>
    <w:link w:val="33"/>
    <w:uiPriority w:val="9"/>
    <w:unhideWhenUsed/>
    <w:qFormat/>
    <w:rsid w:val="00F9707F"/>
    <w:pPr>
      <w:keepNext/>
      <w:keepLines/>
      <w:spacing w:before="260" w:after="260" w:line="416" w:lineRule="atLeast"/>
      <w:outlineLvl w:val="2"/>
    </w:pPr>
    <w:rPr>
      <w:b/>
      <w:bCs/>
      <w:kern w:val="0"/>
      <w:szCs w:val="32"/>
    </w:rPr>
  </w:style>
  <w:style w:type="paragraph" w:styleId="4">
    <w:name w:val="heading 4"/>
    <w:basedOn w:val="a"/>
    <w:next w:val="a"/>
    <w:link w:val="44"/>
    <w:uiPriority w:val="9"/>
    <w:unhideWhenUsed/>
    <w:qFormat/>
    <w:rsid w:val="00F9707F"/>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1"/>
    <w:next w:val="a"/>
    <w:link w:val="50"/>
    <w:uiPriority w:val="9"/>
    <w:qFormat/>
    <w:rsid w:val="00F9707F"/>
    <w:pPr>
      <w:numPr>
        <w:numId w:val="1"/>
      </w:numPr>
      <w:adjustRightInd w:val="0"/>
      <w:snapToGrid w:val="0"/>
      <w:spacing w:line="440" w:lineRule="atLeast"/>
      <w:ind w:firstLineChars="0" w:firstLine="0"/>
      <w:outlineLvl w:val="4"/>
    </w:pPr>
    <w:rPr>
      <w:rFonts w:eastAsia="宋体"/>
      <w:color w:val="000000"/>
      <w:sz w:val="24"/>
      <w:szCs w:val="24"/>
    </w:rPr>
  </w:style>
  <w:style w:type="paragraph" w:styleId="6">
    <w:name w:val="heading 6"/>
    <w:basedOn w:val="a"/>
    <w:next w:val="a"/>
    <w:link w:val="60"/>
    <w:uiPriority w:val="9"/>
    <w:unhideWhenUsed/>
    <w:qFormat/>
    <w:rsid w:val="00F9707F"/>
    <w:pPr>
      <w:keepNext/>
      <w:keepLines/>
      <w:spacing w:before="240" w:after="64" w:line="320" w:lineRule="auto"/>
      <w:ind w:left="1152" w:hanging="1152"/>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F9707F"/>
    <w:pPr>
      <w:keepNext/>
      <w:keepLines/>
      <w:spacing w:before="240" w:after="64" w:line="320" w:lineRule="auto"/>
      <w:ind w:left="1296" w:hanging="1296"/>
      <w:outlineLvl w:val="6"/>
    </w:pPr>
    <w:rPr>
      <w:rFonts w:eastAsia="宋体"/>
      <w:b/>
      <w:bCs/>
      <w:sz w:val="24"/>
      <w:szCs w:val="24"/>
    </w:rPr>
  </w:style>
  <w:style w:type="paragraph" w:styleId="8">
    <w:name w:val="heading 8"/>
    <w:basedOn w:val="a"/>
    <w:next w:val="a"/>
    <w:link w:val="80"/>
    <w:uiPriority w:val="9"/>
    <w:unhideWhenUsed/>
    <w:qFormat/>
    <w:rsid w:val="00F9707F"/>
    <w:pPr>
      <w:keepNext/>
      <w:keepLines/>
      <w:spacing w:before="240" w:after="64" w:line="320" w:lineRule="auto"/>
      <w:ind w:left="1440" w:hanging="1440"/>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F9707F"/>
    <w:pPr>
      <w:keepNext/>
      <w:keepLines/>
      <w:spacing w:before="240" w:after="64" w:line="320" w:lineRule="auto"/>
      <w:ind w:left="1584" w:hanging="1584"/>
      <w:outlineLvl w:val="8"/>
    </w:pPr>
    <w:rPr>
      <w:rFonts w:eastAsia="宋体"/>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10"/>
    <w:uiPriority w:val="99"/>
    <w:unhideWhenUsed/>
    <w:qFormat/>
    <w:rsid w:val="00F9707F"/>
    <w:pPr>
      <w:tabs>
        <w:tab w:val="center" w:pos="4153"/>
        <w:tab w:val="right" w:pos="8306"/>
      </w:tabs>
      <w:snapToGrid w:val="0"/>
      <w:spacing w:line="240" w:lineRule="atLeast"/>
      <w:jc w:val="left"/>
    </w:pPr>
    <w:rPr>
      <w:kern w:val="0"/>
      <w:sz w:val="18"/>
      <w:szCs w:val="18"/>
    </w:rPr>
  </w:style>
  <w:style w:type="paragraph" w:styleId="a1">
    <w:name w:val="List Paragraph"/>
    <w:basedOn w:val="a"/>
    <w:uiPriority w:val="34"/>
    <w:qFormat/>
    <w:rsid w:val="00F9707F"/>
    <w:pPr>
      <w:ind w:firstLineChars="200" w:firstLine="420"/>
    </w:pPr>
  </w:style>
  <w:style w:type="paragraph" w:styleId="71">
    <w:name w:val="toc 7"/>
    <w:basedOn w:val="a"/>
    <w:next w:val="a"/>
    <w:uiPriority w:val="39"/>
    <w:unhideWhenUsed/>
    <w:qFormat/>
    <w:rsid w:val="00F9707F"/>
    <w:pPr>
      <w:ind w:left="1260"/>
      <w:jc w:val="left"/>
    </w:pPr>
    <w:rPr>
      <w:rFonts w:ascii="Calibri" w:hAnsi="Calibri"/>
      <w:sz w:val="18"/>
      <w:szCs w:val="18"/>
    </w:rPr>
  </w:style>
  <w:style w:type="paragraph" w:styleId="a5">
    <w:name w:val="Document Map"/>
    <w:basedOn w:val="a"/>
    <w:link w:val="a6"/>
    <w:uiPriority w:val="99"/>
    <w:unhideWhenUsed/>
    <w:qFormat/>
    <w:rsid w:val="00F9707F"/>
    <w:rPr>
      <w:rFonts w:ascii="宋体" w:eastAsia="宋体"/>
      <w:sz w:val="18"/>
      <w:szCs w:val="18"/>
    </w:rPr>
  </w:style>
  <w:style w:type="paragraph" w:styleId="a7">
    <w:name w:val="annotation text"/>
    <w:basedOn w:val="a"/>
    <w:link w:val="20"/>
    <w:uiPriority w:val="99"/>
    <w:unhideWhenUsed/>
    <w:qFormat/>
    <w:rsid w:val="00F9707F"/>
    <w:pPr>
      <w:jc w:val="left"/>
    </w:pPr>
  </w:style>
  <w:style w:type="paragraph" w:styleId="51">
    <w:name w:val="toc 5"/>
    <w:basedOn w:val="a"/>
    <w:next w:val="a"/>
    <w:uiPriority w:val="39"/>
    <w:unhideWhenUsed/>
    <w:qFormat/>
    <w:rsid w:val="00F9707F"/>
    <w:pPr>
      <w:ind w:left="840"/>
      <w:jc w:val="left"/>
    </w:pPr>
    <w:rPr>
      <w:rFonts w:ascii="Calibri" w:hAnsi="Calibri"/>
      <w:sz w:val="18"/>
      <w:szCs w:val="18"/>
    </w:rPr>
  </w:style>
  <w:style w:type="paragraph" w:styleId="30">
    <w:name w:val="toc 3"/>
    <w:basedOn w:val="a"/>
    <w:next w:val="a"/>
    <w:uiPriority w:val="39"/>
    <w:unhideWhenUsed/>
    <w:qFormat/>
    <w:rsid w:val="00F9707F"/>
    <w:pPr>
      <w:tabs>
        <w:tab w:val="left" w:pos="1260"/>
        <w:tab w:val="right" w:leader="dot" w:pos="8296"/>
      </w:tabs>
      <w:ind w:leftChars="300" w:left="300"/>
      <w:jc w:val="left"/>
    </w:pPr>
    <w:rPr>
      <w:iCs/>
      <w:sz w:val="24"/>
      <w:szCs w:val="20"/>
    </w:rPr>
  </w:style>
  <w:style w:type="paragraph" w:styleId="a8">
    <w:name w:val="Plain Text"/>
    <w:basedOn w:val="a"/>
    <w:next w:val="a"/>
    <w:link w:val="a9"/>
    <w:uiPriority w:val="99"/>
    <w:unhideWhenUsed/>
    <w:qFormat/>
    <w:rsid w:val="00F9707F"/>
    <w:pPr>
      <w:keepLines/>
      <w:topLinePunct/>
      <w:spacing w:line="640" w:lineRule="exact"/>
      <w:ind w:firstLineChars="200" w:firstLine="648"/>
    </w:pPr>
    <w:rPr>
      <w:rFonts w:ascii="方正黑体_GBK" w:eastAsia="宋体" w:hAnsi="方正黑体_GBK" w:cs="Courier New"/>
      <w:sz w:val="21"/>
      <w:szCs w:val="21"/>
    </w:rPr>
  </w:style>
  <w:style w:type="paragraph" w:styleId="81">
    <w:name w:val="toc 8"/>
    <w:basedOn w:val="a"/>
    <w:next w:val="a"/>
    <w:uiPriority w:val="39"/>
    <w:unhideWhenUsed/>
    <w:qFormat/>
    <w:rsid w:val="00F9707F"/>
    <w:pPr>
      <w:ind w:left="1470"/>
      <w:jc w:val="left"/>
    </w:pPr>
    <w:rPr>
      <w:rFonts w:ascii="Calibri" w:hAnsi="Calibri"/>
      <w:sz w:val="18"/>
      <w:szCs w:val="18"/>
    </w:rPr>
  </w:style>
  <w:style w:type="paragraph" w:styleId="aa">
    <w:name w:val="Date"/>
    <w:basedOn w:val="a"/>
    <w:next w:val="a"/>
    <w:link w:val="ab"/>
    <w:uiPriority w:val="99"/>
    <w:qFormat/>
    <w:rsid w:val="00F9707F"/>
    <w:pPr>
      <w:ind w:leftChars="2500" w:left="2500"/>
    </w:pPr>
    <w:rPr>
      <w:rFonts w:ascii="黑体" w:eastAsia="黑体"/>
      <w:szCs w:val="24"/>
    </w:rPr>
  </w:style>
  <w:style w:type="paragraph" w:styleId="ac">
    <w:name w:val="Balloon Text"/>
    <w:basedOn w:val="a"/>
    <w:link w:val="12"/>
    <w:uiPriority w:val="99"/>
    <w:unhideWhenUsed/>
    <w:qFormat/>
    <w:rsid w:val="00F9707F"/>
    <w:pPr>
      <w:spacing w:line="240" w:lineRule="auto"/>
    </w:pPr>
    <w:rPr>
      <w:kern w:val="0"/>
      <w:sz w:val="18"/>
      <w:szCs w:val="18"/>
    </w:rPr>
  </w:style>
  <w:style w:type="paragraph" w:styleId="ad">
    <w:name w:val="header"/>
    <w:basedOn w:val="a"/>
    <w:link w:val="ae"/>
    <w:uiPriority w:val="99"/>
    <w:semiHidden/>
    <w:unhideWhenUsed/>
    <w:qFormat/>
    <w:rsid w:val="00F9707F"/>
    <w:pPr>
      <w:pBdr>
        <w:bottom w:val="single" w:sz="6" w:space="1" w:color="auto"/>
      </w:pBdr>
      <w:tabs>
        <w:tab w:val="center" w:pos="4153"/>
        <w:tab w:val="right" w:pos="8306"/>
      </w:tabs>
      <w:snapToGrid w:val="0"/>
      <w:spacing w:line="240" w:lineRule="atLeast"/>
      <w:jc w:val="center"/>
    </w:pPr>
    <w:rPr>
      <w:sz w:val="18"/>
      <w:szCs w:val="18"/>
    </w:rPr>
  </w:style>
  <w:style w:type="paragraph" w:styleId="13">
    <w:name w:val="toc 1"/>
    <w:basedOn w:val="a"/>
    <w:next w:val="a"/>
    <w:uiPriority w:val="39"/>
    <w:unhideWhenUsed/>
    <w:qFormat/>
    <w:rsid w:val="00F9707F"/>
    <w:pPr>
      <w:spacing w:line="500" w:lineRule="exact"/>
    </w:pPr>
    <w:rPr>
      <w:rFonts w:ascii="Calibri" w:eastAsia="黑体" w:hAnsi="Calibri"/>
      <w:bCs/>
      <w:caps/>
      <w:sz w:val="28"/>
      <w:szCs w:val="20"/>
    </w:rPr>
  </w:style>
  <w:style w:type="paragraph" w:styleId="40">
    <w:name w:val="toc 4"/>
    <w:basedOn w:val="a"/>
    <w:next w:val="a"/>
    <w:uiPriority w:val="39"/>
    <w:unhideWhenUsed/>
    <w:qFormat/>
    <w:rsid w:val="00F9707F"/>
    <w:pPr>
      <w:ind w:left="851"/>
      <w:jc w:val="left"/>
    </w:pPr>
    <w:rPr>
      <w:rFonts w:ascii="Calibri" w:hAnsi="Calibri"/>
      <w:sz w:val="18"/>
      <w:szCs w:val="18"/>
    </w:rPr>
  </w:style>
  <w:style w:type="paragraph" w:styleId="af">
    <w:name w:val="footnote text"/>
    <w:basedOn w:val="a"/>
    <w:link w:val="af0"/>
    <w:uiPriority w:val="99"/>
    <w:unhideWhenUsed/>
    <w:qFormat/>
    <w:rsid w:val="00F9707F"/>
    <w:pPr>
      <w:snapToGrid w:val="0"/>
      <w:jc w:val="left"/>
    </w:pPr>
    <w:rPr>
      <w:sz w:val="18"/>
      <w:szCs w:val="18"/>
    </w:rPr>
  </w:style>
  <w:style w:type="paragraph" w:styleId="61">
    <w:name w:val="toc 6"/>
    <w:basedOn w:val="a"/>
    <w:next w:val="a"/>
    <w:uiPriority w:val="39"/>
    <w:unhideWhenUsed/>
    <w:qFormat/>
    <w:rsid w:val="00F9707F"/>
    <w:pPr>
      <w:ind w:left="1050"/>
      <w:jc w:val="left"/>
    </w:pPr>
    <w:rPr>
      <w:rFonts w:ascii="Calibri" w:hAnsi="Calibri"/>
      <w:sz w:val="18"/>
      <w:szCs w:val="18"/>
    </w:rPr>
  </w:style>
  <w:style w:type="paragraph" w:styleId="31">
    <w:name w:val="Body Text Indent 3"/>
    <w:basedOn w:val="a"/>
    <w:link w:val="32"/>
    <w:qFormat/>
    <w:rsid w:val="00F9707F"/>
    <w:pPr>
      <w:spacing w:after="120"/>
      <w:ind w:leftChars="200" w:left="420"/>
    </w:pPr>
    <w:rPr>
      <w:rFonts w:eastAsia="宋体"/>
      <w:sz w:val="16"/>
      <w:szCs w:val="16"/>
    </w:rPr>
  </w:style>
  <w:style w:type="paragraph" w:styleId="21">
    <w:name w:val="toc 2"/>
    <w:basedOn w:val="a"/>
    <w:next w:val="a"/>
    <w:uiPriority w:val="39"/>
    <w:unhideWhenUsed/>
    <w:qFormat/>
    <w:rsid w:val="00F9707F"/>
    <w:pPr>
      <w:tabs>
        <w:tab w:val="left" w:pos="1050"/>
        <w:tab w:val="right" w:leader="dot" w:pos="8296"/>
      </w:tabs>
      <w:ind w:leftChars="150" w:left="150"/>
    </w:pPr>
    <w:rPr>
      <w:rFonts w:ascii="黑体" w:eastAsia="楷体_GB2312" w:hAnsi="黑体"/>
      <w:smallCaps/>
      <w:sz w:val="28"/>
      <w:szCs w:val="20"/>
    </w:rPr>
  </w:style>
  <w:style w:type="paragraph" w:styleId="91">
    <w:name w:val="toc 9"/>
    <w:basedOn w:val="a"/>
    <w:next w:val="a"/>
    <w:uiPriority w:val="39"/>
    <w:unhideWhenUsed/>
    <w:qFormat/>
    <w:rsid w:val="00F9707F"/>
    <w:pPr>
      <w:ind w:left="1680"/>
      <w:jc w:val="left"/>
    </w:pPr>
    <w:rPr>
      <w:rFonts w:ascii="Calibri" w:hAnsi="Calibri"/>
      <w:sz w:val="18"/>
      <w:szCs w:val="18"/>
    </w:rPr>
  </w:style>
  <w:style w:type="paragraph" w:styleId="af1">
    <w:name w:val="Normal (Web)"/>
    <w:basedOn w:val="a"/>
    <w:uiPriority w:val="99"/>
    <w:unhideWhenUsed/>
    <w:qFormat/>
    <w:rsid w:val="00F9707F"/>
    <w:pPr>
      <w:widowControl/>
      <w:spacing w:before="100" w:beforeAutospacing="1" w:after="100" w:afterAutospacing="1" w:line="240" w:lineRule="auto"/>
      <w:jc w:val="left"/>
    </w:pPr>
    <w:rPr>
      <w:rFonts w:ascii="宋体" w:eastAsia="宋体" w:hAnsi="宋体" w:cs="宋体"/>
      <w:kern w:val="0"/>
      <w:sz w:val="24"/>
      <w:szCs w:val="24"/>
    </w:rPr>
  </w:style>
  <w:style w:type="paragraph" w:styleId="af2">
    <w:name w:val="Title"/>
    <w:basedOn w:val="a"/>
    <w:next w:val="a"/>
    <w:link w:val="af3"/>
    <w:uiPriority w:val="10"/>
    <w:qFormat/>
    <w:rsid w:val="00F9707F"/>
    <w:pPr>
      <w:jc w:val="center"/>
      <w:outlineLvl w:val="3"/>
    </w:pPr>
    <w:rPr>
      <w:bCs/>
      <w:sz w:val="24"/>
      <w:szCs w:val="32"/>
    </w:rPr>
  </w:style>
  <w:style w:type="paragraph" w:styleId="af4">
    <w:name w:val="annotation subject"/>
    <w:basedOn w:val="a7"/>
    <w:next w:val="a7"/>
    <w:link w:val="af5"/>
    <w:uiPriority w:val="99"/>
    <w:unhideWhenUsed/>
    <w:qFormat/>
    <w:rsid w:val="00F9707F"/>
    <w:rPr>
      <w:b/>
      <w:bCs/>
    </w:rPr>
  </w:style>
  <w:style w:type="table" w:styleId="af6">
    <w:name w:val="Table Grid"/>
    <w:basedOn w:val="a3"/>
    <w:uiPriority w:val="39"/>
    <w:qFormat/>
    <w:rsid w:val="00F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F9707F"/>
    <w:rPr>
      <w:b/>
      <w:bCs/>
    </w:rPr>
  </w:style>
  <w:style w:type="character" w:styleId="af8">
    <w:name w:val="page number"/>
    <w:basedOn w:val="a2"/>
    <w:uiPriority w:val="99"/>
    <w:semiHidden/>
    <w:unhideWhenUsed/>
    <w:qFormat/>
    <w:rsid w:val="00F9707F"/>
  </w:style>
  <w:style w:type="character" w:styleId="af9">
    <w:name w:val="FollowedHyperlink"/>
    <w:basedOn w:val="a2"/>
    <w:uiPriority w:val="99"/>
    <w:semiHidden/>
    <w:unhideWhenUsed/>
    <w:qFormat/>
    <w:rsid w:val="00F9707F"/>
    <w:rPr>
      <w:color w:val="954F72" w:themeColor="followedHyperlink"/>
      <w:u w:val="single"/>
    </w:rPr>
  </w:style>
  <w:style w:type="character" w:styleId="afa">
    <w:name w:val="Emphasis"/>
    <w:basedOn w:val="a2"/>
    <w:uiPriority w:val="20"/>
    <w:qFormat/>
    <w:rsid w:val="00F9707F"/>
    <w:rPr>
      <w:i/>
      <w:iCs/>
    </w:rPr>
  </w:style>
  <w:style w:type="character" w:styleId="afb">
    <w:name w:val="Hyperlink"/>
    <w:basedOn w:val="a2"/>
    <w:uiPriority w:val="99"/>
    <w:unhideWhenUsed/>
    <w:qFormat/>
    <w:rsid w:val="00F9707F"/>
    <w:rPr>
      <w:color w:val="0563C1" w:themeColor="hyperlink"/>
      <w:u w:val="single"/>
    </w:rPr>
  </w:style>
  <w:style w:type="character" w:styleId="afc">
    <w:name w:val="annotation reference"/>
    <w:uiPriority w:val="99"/>
    <w:unhideWhenUsed/>
    <w:qFormat/>
    <w:rsid w:val="00F9707F"/>
    <w:rPr>
      <w:sz w:val="21"/>
      <w:szCs w:val="21"/>
    </w:rPr>
  </w:style>
  <w:style w:type="character" w:styleId="afd">
    <w:name w:val="footnote reference"/>
    <w:uiPriority w:val="99"/>
    <w:unhideWhenUsed/>
    <w:qFormat/>
    <w:rsid w:val="00F9707F"/>
    <w:rPr>
      <w:vertAlign w:val="superscript"/>
    </w:rPr>
  </w:style>
  <w:style w:type="character" w:customStyle="1" w:styleId="10">
    <w:name w:val="页脚 字符1"/>
    <w:basedOn w:val="a2"/>
    <w:link w:val="a0"/>
    <w:uiPriority w:val="99"/>
    <w:qFormat/>
    <w:rsid w:val="00F9707F"/>
    <w:rPr>
      <w:rFonts w:ascii="Times New Roman" w:eastAsia="方正仿宋_GBK" w:hAnsi="Times New Roman" w:cs="Times New Roman"/>
      <w:sz w:val="18"/>
      <w:szCs w:val="18"/>
    </w:rPr>
  </w:style>
  <w:style w:type="character" w:customStyle="1" w:styleId="11">
    <w:name w:val="标题 1 字符1"/>
    <w:link w:val="1"/>
    <w:qFormat/>
    <w:rsid w:val="00F9707F"/>
    <w:rPr>
      <w:rFonts w:eastAsia="方正黑体_GBK"/>
      <w:bCs/>
      <w:kern w:val="44"/>
      <w:sz w:val="32"/>
      <w:szCs w:val="30"/>
    </w:rPr>
  </w:style>
  <w:style w:type="character" w:customStyle="1" w:styleId="22">
    <w:name w:val="标题 2 字符2"/>
    <w:link w:val="2"/>
    <w:qFormat/>
    <w:rsid w:val="00F9707F"/>
    <w:rPr>
      <w:rFonts w:ascii="Times New Roman" w:eastAsia="方正楷体_GBK" w:hAnsi="Times New Roman"/>
      <w:b/>
      <w:bCs/>
      <w:kern w:val="2"/>
      <w:sz w:val="32"/>
      <w:szCs w:val="30"/>
    </w:rPr>
  </w:style>
  <w:style w:type="character" w:customStyle="1" w:styleId="33">
    <w:name w:val="标题 3 字符3"/>
    <w:basedOn w:val="a2"/>
    <w:link w:val="3"/>
    <w:uiPriority w:val="9"/>
    <w:qFormat/>
    <w:rsid w:val="00F9707F"/>
    <w:rPr>
      <w:rFonts w:ascii="Times New Roman" w:eastAsia="方正仿宋_GBK" w:hAnsi="Times New Roman" w:cs="Times New Roman"/>
      <w:b/>
      <w:bCs/>
      <w:sz w:val="32"/>
      <w:szCs w:val="32"/>
    </w:rPr>
  </w:style>
  <w:style w:type="character" w:customStyle="1" w:styleId="44">
    <w:name w:val="标题 4 字符4"/>
    <w:basedOn w:val="a2"/>
    <w:link w:val="4"/>
    <w:uiPriority w:val="9"/>
    <w:qFormat/>
    <w:rsid w:val="00F9707F"/>
    <w:rPr>
      <w:rFonts w:asciiTheme="majorHAnsi" w:eastAsiaTheme="majorEastAsia" w:hAnsiTheme="majorHAnsi" w:cstheme="majorBidi"/>
      <w:b/>
      <w:bCs/>
      <w:kern w:val="2"/>
      <w:sz w:val="28"/>
      <w:szCs w:val="28"/>
    </w:rPr>
  </w:style>
  <w:style w:type="character" w:customStyle="1" w:styleId="50">
    <w:name w:val="标题 5 字符"/>
    <w:basedOn w:val="a2"/>
    <w:link w:val="5"/>
    <w:uiPriority w:val="9"/>
    <w:qFormat/>
    <w:rsid w:val="00F9707F"/>
    <w:rPr>
      <w:rFonts w:ascii="Times New Roman" w:hAnsi="Times New Roman"/>
      <w:color w:val="000000"/>
      <w:kern w:val="2"/>
      <w:sz w:val="24"/>
      <w:szCs w:val="24"/>
    </w:rPr>
  </w:style>
  <w:style w:type="character" w:customStyle="1" w:styleId="60">
    <w:name w:val="标题 6 字符"/>
    <w:basedOn w:val="a2"/>
    <w:link w:val="6"/>
    <w:uiPriority w:val="9"/>
    <w:qFormat/>
    <w:rsid w:val="00F9707F"/>
    <w:rPr>
      <w:rFonts w:asciiTheme="majorHAnsi" w:eastAsiaTheme="majorEastAsia" w:hAnsiTheme="majorHAnsi" w:cstheme="majorBidi"/>
      <w:b/>
      <w:bCs/>
      <w:kern w:val="2"/>
      <w:sz w:val="24"/>
      <w:szCs w:val="24"/>
    </w:rPr>
  </w:style>
  <w:style w:type="character" w:customStyle="1" w:styleId="6Char1">
    <w:name w:val="标题 6 Char1"/>
    <w:uiPriority w:val="9"/>
    <w:qFormat/>
    <w:rsid w:val="00F9707F"/>
    <w:rPr>
      <w:rFonts w:ascii="Times New Roman" w:hAnsi="Times New Roman"/>
      <w:b/>
      <w:bCs/>
      <w:kern w:val="2"/>
      <w:sz w:val="24"/>
      <w:szCs w:val="24"/>
    </w:rPr>
  </w:style>
  <w:style w:type="character" w:customStyle="1" w:styleId="70">
    <w:name w:val="标题 7 字符"/>
    <w:basedOn w:val="a2"/>
    <w:link w:val="7"/>
    <w:uiPriority w:val="9"/>
    <w:rsid w:val="00F9707F"/>
    <w:rPr>
      <w:b/>
      <w:bCs/>
      <w:kern w:val="2"/>
      <w:sz w:val="24"/>
      <w:szCs w:val="24"/>
    </w:rPr>
  </w:style>
  <w:style w:type="character" w:customStyle="1" w:styleId="7Char1">
    <w:name w:val="标题 7 Char1"/>
    <w:uiPriority w:val="9"/>
    <w:qFormat/>
    <w:rsid w:val="00F9707F"/>
    <w:rPr>
      <w:rFonts w:ascii="Times New Roman" w:hAnsi="Times New Roman"/>
      <w:b/>
      <w:bCs/>
      <w:kern w:val="2"/>
      <w:sz w:val="24"/>
      <w:szCs w:val="24"/>
    </w:rPr>
  </w:style>
  <w:style w:type="character" w:customStyle="1" w:styleId="80">
    <w:name w:val="标题 8 字符"/>
    <w:basedOn w:val="a2"/>
    <w:link w:val="8"/>
    <w:uiPriority w:val="9"/>
    <w:qFormat/>
    <w:rsid w:val="00F9707F"/>
    <w:rPr>
      <w:rFonts w:asciiTheme="majorHAnsi" w:eastAsiaTheme="majorEastAsia" w:hAnsiTheme="majorHAnsi" w:cstheme="majorBidi"/>
      <w:kern w:val="2"/>
      <w:sz w:val="24"/>
      <w:szCs w:val="24"/>
    </w:rPr>
  </w:style>
  <w:style w:type="character" w:customStyle="1" w:styleId="8Char1">
    <w:name w:val="标题 8 Char1"/>
    <w:uiPriority w:val="9"/>
    <w:qFormat/>
    <w:rsid w:val="00F9707F"/>
    <w:rPr>
      <w:rFonts w:ascii="Times New Roman" w:hAnsi="Times New Roman"/>
      <w:kern w:val="2"/>
      <w:sz w:val="24"/>
      <w:szCs w:val="24"/>
    </w:rPr>
  </w:style>
  <w:style w:type="character" w:customStyle="1" w:styleId="90">
    <w:name w:val="标题 9 字符"/>
    <w:basedOn w:val="a2"/>
    <w:link w:val="9"/>
    <w:uiPriority w:val="9"/>
    <w:rsid w:val="00F9707F"/>
    <w:rPr>
      <w:kern w:val="2"/>
      <w:sz w:val="32"/>
      <w:szCs w:val="21"/>
    </w:rPr>
  </w:style>
  <w:style w:type="character" w:customStyle="1" w:styleId="9Char1">
    <w:name w:val="标题 9 Char1"/>
    <w:uiPriority w:val="9"/>
    <w:qFormat/>
    <w:rsid w:val="00F9707F"/>
    <w:rPr>
      <w:rFonts w:ascii="Times New Roman" w:hAnsi="Times New Roman"/>
      <w:kern w:val="2"/>
      <w:sz w:val="32"/>
      <w:szCs w:val="21"/>
    </w:rPr>
  </w:style>
  <w:style w:type="character" w:customStyle="1" w:styleId="af0">
    <w:name w:val="脚注文本 字符"/>
    <w:basedOn w:val="a2"/>
    <w:link w:val="af"/>
    <w:uiPriority w:val="99"/>
    <w:qFormat/>
    <w:rsid w:val="00F9707F"/>
    <w:rPr>
      <w:rFonts w:ascii="Times New Roman" w:eastAsia="方正仿宋_GBK" w:hAnsi="Times New Roman"/>
      <w:kern w:val="2"/>
      <w:sz w:val="18"/>
      <w:szCs w:val="18"/>
    </w:rPr>
  </w:style>
  <w:style w:type="character" w:customStyle="1" w:styleId="20">
    <w:name w:val="批注文字 字符2"/>
    <w:basedOn w:val="a2"/>
    <w:link w:val="a7"/>
    <w:uiPriority w:val="99"/>
    <w:rsid w:val="00F9707F"/>
    <w:rPr>
      <w:rFonts w:ascii="Times New Roman" w:eastAsia="方正仿宋_GBK" w:hAnsi="Times New Roman"/>
      <w:kern w:val="2"/>
      <w:sz w:val="32"/>
      <w:szCs w:val="22"/>
    </w:rPr>
  </w:style>
  <w:style w:type="character" w:customStyle="1" w:styleId="ae">
    <w:name w:val="页眉 字符"/>
    <w:basedOn w:val="a2"/>
    <w:link w:val="ad"/>
    <w:uiPriority w:val="99"/>
    <w:semiHidden/>
    <w:rsid w:val="00F9707F"/>
    <w:rPr>
      <w:rFonts w:eastAsia="方正仿宋_GBK"/>
      <w:kern w:val="2"/>
      <w:sz w:val="18"/>
      <w:szCs w:val="18"/>
    </w:rPr>
  </w:style>
  <w:style w:type="character" w:customStyle="1" w:styleId="af3">
    <w:name w:val="标题 字符"/>
    <w:basedOn w:val="a2"/>
    <w:link w:val="af2"/>
    <w:uiPriority w:val="10"/>
    <w:rsid w:val="00F9707F"/>
    <w:rPr>
      <w:rFonts w:eastAsia="方正仿宋_GBK"/>
      <w:bCs/>
      <w:kern w:val="2"/>
      <w:sz w:val="24"/>
      <w:szCs w:val="32"/>
    </w:rPr>
  </w:style>
  <w:style w:type="character" w:customStyle="1" w:styleId="Char3">
    <w:name w:val="标题 Char3"/>
    <w:uiPriority w:val="10"/>
    <w:rsid w:val="00F9707F"/>
    <w:rPr>
      <w:rFonts w:ascii="Times New Roman" w:eastAsia="方正仿宋_GBK" w:hAnsi="Times New Roman"/>
      <w:bCs/>
      <w:kern w:val="2"/>
      <w:sz w:val="24"/>
      <w:szCs w:val="32"/>
    </w:rPr>
  </w:style>
  <w:style w:type="character" w:customStyle="1" w:styleId="ab">
    <w:name w:val="日期 字符"/>
    <w:basedOn w:val="a2"/>
    <w:link w:val="aa"/>
    <w:uiPriority w:val="99"/>
    <w:qFormat/>
    <w:rsid w:val="00F9707F"/>
    <w:rPr>
      <w:rFonts w:ascii="黑体" w:eastAsia="黑体" w:hAnsi="Times New Roman"/>
      <w:kern w:val="2"/>
      <w:sz w:val="32"/>
      <w:szCs w:val="24"/>
    </w:rPr>
  </w:style>
  <w:style w:type="character" w:customStyle="1" w:styleId="32">
    <w:name w:val="正文文本缩进 3 字符"/>
    <w:basedOn w:val="a2"/>
    <w:link w:val="31"/>
    <w:rsid w:val="00F9707F"/>
    <w:rPr>
      <w:rFonts w:ascii="Times New Roman" w:hAnsi="Times New Roman"/>
      <w:kern w:val="2"/>
      <w:sz w:val="16"/>
      <w:szCs w:val="16"/>
    </w:rPr>
  </w:style>
  <w:style w:type="character" w:customStyle="1" w:styleId="a6">
    <w:name w:val="文档结构图 字符"/>
    <w:basedOn w:val="a2"/>
    <w:link w:val="a5"/>
    <w:uiPriority w:val="99"/>
    <w:qFormat/>
    <w:rsid w:val="00F9707F"/>
    <w:rPr>
      <w:rFonts w:ascii="宋体" w:hAnsi="Times New Roman"/>
      <w:kern w:val="2"/>
      <w:sz w:val="18"/>
      <w:szCs w:val="18"/>
    </w:rPr>
  </w:style>
  <w:style w:type="character" w:customStyle="1" w:styleId="a9">
    <w:name w:val="纯文本 字符"/>
    <w:basedOn w:val="a2"/>
    <w:link w:val="a8"/>
    <w:uiPriority w:val="99"/>
    <w:qFormat/>
    <w:rsid w:val="00F9707F"/>
    <w:rPr>
      <w:rFonts w:ascii="方正黑体_GBK" w:hAnsi="方正黑体_GBK" w:cs="Courier New"/>
      <w:kern w:val="2"/>
      <w:sz w:val="21"/>
      <w:szCs w:val="21"/>
    </w:rPr>
  </w:style>
  <w:style w:type="character" w:customStyle="1" w:styleId="af5">
    <w:name w:val="批注主题 字符"/>
    <w:basedOn w:val="20"/>
    <w:link w:val="af4"/>
    <w:uiPriority w:val="99"/>
    <w:qFormat/>
    <w:rsid w:val="00F9707F"/>
    <w:rPr>
      <w:rFonts w:ascii="Times New Roman" w:eastAsia="方正仿宋_GBK" w:hAnsi="Times New Roman"/>
      <w:b/>
      <w:bCs/>
      <w:kern w:val="2"/>
      <w:sz w:val="32"/>
      <w:szCs w:val="22"/>
    </w:rPr>
  </w:style>
  <w:style w:type="character" w:customStyle="1" w:styleId="12">
    <w:name w:val="批注框文本 字符1"/>
    <w:basedOn w:val="a2"/>
    <w:link w:val="ac"/>
    <w:uiPriority w:val="99"/>
    <w:qFormat/>
    <w:rsid w:val="00F9707F"/>
    <w:rPr>
      <w:rFonts w:ascii="Times New Roman" w:eastAsia="方正仿宋_GBK" w:hAnsi="Times New Roman" w:cs="Times New Roman"/>
      <w:sz w:val="18"/>
      <w:szCs w:val="18"/>
    </w:rPr>
  </w:style>
  <w:style w:type="paragraph" w:styleId="afe">
    <w:name w:val="Intense Quote"/>
    <w:basedOn w:val="a"/>
    <w:next w:val="a"/>
    <w:link w:val="aff"/>
    <w:uiPriority w:val="30"/>
    <w:qFormat/>
    <w:rsid w:val="00F9707F"/>
    <w:pPr>
      <w:ind w:leftChars="-49" w:left="-103"/>
    </w:pPr>
    <w:rPr>
      <w:rFonts w:ascii="宋体" w:eastAsia="宋体" w:hAnsi="宋体"/>
      <w:sz w:val="18"/>
      <w:szCs w:val="18"/>
    </w:rPr>
  </w:style>
  <w:style w:type="character" w:customStyle="1" w:styleId="aff">
    <w:name w:val="明显引用 字符"/>
    <w:basedOn w:val="a2"/>
    <w:link w:val="afe"/>
    <w:uiPriority w:val="30"/>
    <w:rsid w:val="00F9707F"/>
    <w:rPr>
      <w:rFonts w:ascii="宋体" w:hAnsi="宋体"/>
      <w:kern w:val="2"/>
      <w:sz w:val="18"/>
      <w:szCs w:val="18"/>
    </w:rPr>
  </w:style>
  <w:style w:type="paragraph" w:customStyle="1" w:styleId="aff0">
    <w:name w:val="中创正文"/>
    <w:basedOn w:val="a"/>
    <w:next w:val="a"/>
    <w:qFormat/>
    <w:rsid w:val="00F9707F"/>
    <w:pPr>
      <w:keepNext/>
      <w:keepLines/>
      <w:spacing w:line="640" w:lineRule="exact"/>
      <w:ind w:firstLineChars="200" w:firstLine="643"/>
    </w:pPr>
    <w:rPr>
      <w:rFonts w:asciiTheme="minorHAnsi" w:eastAsia="仿宋_GB2312" w:hAnsiTheme="minorHAnsi" w:cstheme="minorBidi"/>
      <w:sz w:val="30"/>
    </w:rPr>
  </w:style>
  <w:style w:type="paragraph" w:customStyle="1" w:styleId="aff1">
    <w:name w:val="中创图表"/>
    <w:basedOn w:val="a"/>
    <w:next w:val="a"/>
    <w:link w:val="Char"/>
    <w:qFormat/>
    <w:rsid w:val="00F9707F"/>
    <w:pPr>
      <w:keepNext/>
      <w:keepLines/>
      <w:topLinePunct/>
      <w:spacing w:line="240" w:lineRule="atLeast"/>
    </w:pPr>
    <w:rPr>
      <w:rFonts w:ascii="Calibri" w:eastAsia="宋体" w:hAnsi="Calibri" w:cstheme="minorBidi"/>
      <w:kern w:val="0"/>
      <w:sz w:val="21"/>
      <w:szCs w:val="20"/>
    </w:rPr>
  </w:style>
  <w:style w:type="character" w:customStyle="1" w:styleId="Char">
    <w:name w:val="中创正文 Char"/>
    <w:link w:val="aff1"/>
    <w:qFormat/>
    <w:rsid w:val="00F9707F"/>
    <w:rPr>
      <w:rFonts w:ascii="Calibri" w:hAnsi="Calibri" w:cstheme="minorBidi"/>
      <w:sz w:val="21"/>
    </w:rPr>
  </w:style>
  <w:style w:type="character" w:customStyle="1" w:styleId="14">
    <w:name w:val="标题 1 字符"/>
    <w:basedOn w:val="a2"/>
    <w:qFormat/>
    <w:rsid w:val="00F9707F"/>
    <w:rPr>
      <w:rFonts w:ascii="Times New Roman" w:eastAsia="方正仿宋_GBK" w:hAnsi="Times New Roman" w:cs="Times New Roman"/>
      <w:b/>
      <w:bCs/>
      <w:kern w:val="44"/>
      <w:sz w:val="44"/>
      <w:szCs w:val="44"/>
    </w:rPr>
  </w:style>
  <w:style w:type="character" w:customStyle="1" w:styleId="23">
    <w:name w:val="标题 2 字符"/>
    <w:basedOn w:val="a2"/>
    <w:uiPriority w:val="9"/>
    <w:qFormat/>
    <w:rsid w:val="00F9707F"/>
    <w:rPr>
      <w:rFonts w:asciiTheme="majorHAnsi" w:eastAsiaTheme="majorEastAsia" w:hAnsiTheme="majorHAnsi" w:cstheme="majorBidi"/>
      <w:b/>
      <w:bCs/>
      <w:sz w:val="32"/>
      <w:szCs w:val="32"/>
    </w:rPr>
  </w:style>
  <w:style w:type="character" w:customStyle="1" w:styleId="15">
    <w:name w:val="未处理的提及1"/>
    <w:basedOn w:val="a2"/>
    <w:uiPriority w:val="99"/>
    <w:unhideWhenUsed/>
    <w:qFormat/>
    <w:rsid w:val="00F9707F"/>
    <w:rPr>
      <w:color w:val="605E5C"/>
      <w:shd w:val="clear" w:color="auto" w:fill="E1DFDD"/>
    </w:rPr>
  </w:style>
  <w:style w:type="character" w:customStyle="1" w:styleId="16">
    <w:name w:val="不明显参考1"/>
    <w:uiPriority w:val="31"/>
    <w:qFormat/>
    <w:rsid w:val="00F9707F"/>
    <w:rPr>
      <w:szCs w:val="21"/>
    </w:rPr>
  </w:style>
  <w:style w:type="paragraph" w:customStyle="1" w:styleId="aff2">
    <w:name w:val="专栏正文"/>
    <w:basedOn w:val="a"/>
    <w:link w:val="aff3"/>
    <w:qFormat/>
    <w:rsid w:val="00F9707F"/>
    <w:pPr>
      <w:spacing w:line="360" w:lineRule="auto"/>
      <w:ind w:firstLineChars="200" w:firstLine="200"/>
    </w:pPr>
    <w:rPr>
      <w:rFonts w:eastAsia="楷体_GB2312"/>
      <w:sz w:val="24"/>
      <w:szCs w:val="24"/>
    </w:rPr>
  </w:style>
  <w:style w:type="character" w:customStyle="1" w:styleId="aff3">
    <w:name w:val="专栏正文 字符"/>
    <w:link w:val="aff2"/>
    <w:rsid w:val="00F9707F"/>
    <w:rPr>
      <w:rFonts w:eastAsia="楷体_GB2312"/>
      <w:kern w:val="2"/>
      <w:sz w:val="24"/>
      <w:szCs w:val="24"/>
    </w:rPr>
  </w:style>
  <w:style w:type="paragraph" w:customStyle="1" w:styleId="aff4">
    <w:name w:val="说明书正文"/>
    <w:basedOn w:val="a"/>
    <w:link w:val="Char0"/>
    <w:qFormat/>
    <w:rsid w:val="00F9707F"/>
    <w:pPr>
      <w:adjustRightInd w:val="0"/>
      <w:snapToGrid w:val="0"/>
      <w:spacing w:line="440" w:lineRule="atLeast"/>
      <w:ind w:firstLineChars="200" w:firstLine="480"/>
    </w:pPr>
    <w:rPr>
      <w:rFonts w:eastAsia="宋体"/>
      <w:bCs/>
      <w:color w:val="000000"/>
      <w:sz w:val="24"/>
      <w:szCs w:val="24"/>
    </w:rPr>
  </w:style>
  <w:style w:type="character" w:customStyle="1" w:styleId="Char0">
    <w:name w:val="说明书正文 Char"/>
    <w:link w:val="aff4"/>
    <w:qFormat/>
    <w:rsid w:val="00F9707F"/>
    <w:rPr>
      <w:bCs/>
      <w:color w:val="000000"/>
      <w:kern w:val="2"/>
      <w:sz w:val="24"/>
      <w:szCs w:val="24"/>
    </w:rPr>
  </w:style>
  <w:style w:type="character" w:customStyle="1" w:styleId="41">
    <w:name w:val="标题 4 字符"/>
    <w:uiPriority w:val="9"/>
    <w:qFormat/>
    <w:rsid w:val="00F9707F"/>
    <w:rPr>
      <w:rFonts w:ascii="Times New Roman" w:eastAsia="方正黑体_GBK" w:hAnsi="Times New Roman"/>
      <w:kern w:val="2"/>
      <w:sz w:val="24"/>
      <w:szCs w:val="24"/>
    </w:rPr>
  </w:style>
  <w:style w:type="paragraph" w:customStyle="1" w:styleId="TOC1">
    <w:name w:val="TOC 标题1"/>
    <w:basedOn w:val="1"/>
    <w:next w:val="a"/>
    <w:uiPriority w:val="39"/>
    <w:unhideWhenUsed/>
    <w:qFormat/>
    <w:rsid w:val="00F9707F"/>
    <w:pPr>
      <w:keepNext/>
      <w:keepLines/>
      <w:widowControl/>
      <w:adjustRightInd/>
      <w:snapToGrid/>
      <w:spacing w:before="240" w:after="435" w:line="259" w:lineRule="auto"/>
      <w:outlineLvl w:val="9"/>
    </w:pPr>
    <w:rPr>
      <w:rFonts w:ascii="等线 Light" w:eastAsia="等线 Light" w:hAnsi="等线 Light"/>
      <w:b/>
      <w:bCs w:val="0"/>
      <w:color w:val="2E74B5"/>
      <w:kern w:val="0"/>
      <w:szCs w:val="32"/>
    </w:rPr>
  </w:style>
  <w:style w:type="character" w:customStyle="1" w:styleId="34">
    <w:name w:val="标题 3 字符"/>
    <w:qFormat/>
    <w:rsid w:val="00F9707F"/>
    <w:rPr>
      <w:rFonts w:ascii="Times New Roman" w:eastAsia="方正楷体_GBK" w:hAnsi="Times New Roman"/>
      <w:b/>
      <w:bCs/>
      <w:sz w:val="28"/>
      <w:szCs w:val="28"/>
      <w:lang w:val="zh-CN"/>
    </w:rPr>
  </w:style>
  <w:style w:type="character" w:customStyle="1" w:styleId="410">
    <w:name w:val="标题 4 字符1"/>
    <w:uiPriority w:val="9"/>
    <w:qFormat/>
    <w:rsid w:val="00F9707F"/>
    <w:rPr>
      <w:rFonts w:ascii="Times New Roman" w:eastAsia="方正黑体_GBK" w:hAnsi="Times New Roman"/>
      <w:kern w:val="2"/>
      <w:sz w:val="24"/>
      <w:szCs w:val="24"/>
    </w:rPr>
  </w:style>
  <w:style w:type="character" w:customStyle="1" w:styleId="42">
    <w:name w:val="标题 4 字符2"/>
    <w:uiPriority w:val="9"/>
    <w:qFormat/>
    <w:rsid w:val="00F9707F"/>
    <w:rPr>
      <w:rFonts w:ascii="Times New Roman" w:eastAsia="方正黑体_GBK" w:hAnsi="Times New Roman"/>
      <w:kern w:val="2"/>
      <w:sz w:val="24"/>
      <w:szCs w:val="24"/>
    </w:rPr>
  </w:style>
  <w:style w:type="character" w:customStyle="1" w:styleId="310">
    <w:name w:val="标题 3 字符1"/>
    <w:qFormat/>
    <w:rsid w:val="00F9707F"/>
    <w:rPr>
      <w:rFonts w:ascii="Times New Roman" w:hAnsi="Times New Roman"/>
      <w:b/>
      <w:bCs/>
      <w:sz w:val="28"/>
      <w:szCs w:val="28"/>
      <w:lang w:val="zh-CN"/>
    </w:rPr>
  </w:style>
  <w:style w:type="character" w:customStyle="1" w:styleId="43">
    <w:name w:val="标题 4 字符3"/>
    <w:uiPriority w:val="9"/>
    <w:qFormat/>
    <w:rsid w:val="00F9707F"/>
    <w:rPr>
      <w:rFonts w:ascii="Times New Roman" w:eastAsia="方正黑体_GBK" w:hAnsi="Times New Roman"/>
      <w:kern w:val="2"/>
      <w:sz w:val="24"/>
      <w:szCs w:val="24"/>
    </w:rPr>
  </w:style>
  <w:style w:type="character" w:customStyle="1" w:styleId="font41">
    <w:name w:val="font41"/>
    <w:qFormat/>
    <w:rsid w:val="00F9707F"/>
    <w:rPr>
      <w:rFonts w:ascii="仿宋_GB2312" w:eastAsia="仿宋_GB2312" w:cs="仿宋_GB2312" w:hint="eastAsia"/>
      <w:color w:val="000000"/>
      <w:sz w:val="28"/>
      <w:szCs w:val="28"/>
      <w:u w:val="none"/>
    </w:rPr>
  </w:style>
  <w:style w:type="paragraph" w:customStyle="1" w:styleId="aff5">
    <w:name w:val="图表正文"/>
    <w:link w:val="aff6"/>
    <w:qFormat/>
    <w:rsid w:val="00F9707F"/>
    <w:pPr>
      <w:adjustRightInd w:val="0"/>
      <w:snapToGrid w:val="0"/>
      <w:jc w:val="center"/>
    </w:pPr>
    <w:rPr>
      <w:rFonts w:ascii="等线" w:eastAsia="微软雅黑" w:hAnsi="等线"/>
      <w:kern w:val="2"/>
      <w:sz w:val="21"/>
      <w:szCs w:val="22"/>
    </w:rPr>
  </w:style>
  <w:style w:type="character" w:customStyle="1" w:styleId="aff6">
    <w:name w:val="图表正文 字符"/>
    <w:link w:val="aff5"/>
    <w:qFormat/>
    <w:rsid w:val="00F9707F"/>
    <w:rPr>
      <w:rFonts w:ascii="等线" w:eastAsia="微软雅黑" w:hAnsi="等线"/>
      <w:kern w:val="2"/>
      <w:sz w:val="21"/>
      <w:szCs w:val="22"/>
    </w:rPr>
  </w:style>
  <w:style w:type="paragraph" w:customStyle="1" w:styleId="aff7">
    <w:name w:val="图表标题"/>
    <w:link w:val="aff8"/>
    <w:qFormat/>
    <w:rsid w:val="00F9707F"/>
    <w:pPr>
      <w:adjustRightInd w:val="0"/>
      <w:snapToGrid w:val="0"/>
      <w:spacing w:line="600" w:lineRule="exact"/>
      <w:ind w:firstLineChars="200" w:firstLine="640"/>
      <w:jc w:val="center"/>
    </w:pPr>
    <w:rPr>
      <w:rFonts w:ascii="方正仿宋_GBK" w:eastAsia="微软雅黑"/>
      <w:sz w:val="30"/>
      <w:szCs w:val="24"/>
    </w:rPr>
  </w:style>
  <w:style w:type="character" w:customStyle="1" w:styleId="aff8">
    <w:name w:val="图表标题 字符"/>
    <w:link w:val="aff7"/>
    <w:rsid w:val="00F9707F"/>
    <w:rPr>
      <w:rFonts w:ascii="方正仿宋_GBK" w:eastAsia="微软雅黑"/>
      <w:sz w:val="30"/>
      <w:szCs w:val="24"/>
    </w:rPr>
  </w:style>
  <w:style w:type="character" w:customStyle="1" w:styleId="210">
    <w:name w:val="标题 2 字符1"/>
    <w:uiPriority w:val="9"/>
    <w:qFormat/>
    <w:rsid w:val="00F9707F"/>
    <w:rPr>
      <w:rFonts w:ascii="Times New Roman" w:eastAsia="黑体" w:hAnsi="Times New Roman" w:cs="Times New Roman"/>
      <w:b/>
      <w:bCs/>
      <w:sz w:val="30"/>
      <w:szCs w:val="32"/>
    </w:rPr>
  </w:style>
  <w:style w:type="paragraph" w:customStyle="1" w:styleId="aff9">
    <w:name w:val="修改部分"/>
    <w:basedOn w:val="a"/>
    <w:link w:val="Char1"/>
    <w:qFormat/>
    <w:rsid w:val="00F9707F"/>
    <w:pPr>
      <w:spacing w:line="440" w:lineRule="exact"/>
      <w:ind w:firstLineChars="200" w:firstLine="200"/>
    </w:pPr>
    <w:rPr>
      <w:rFonts w:ascii="Calibri" w:eastAsia="宋体" w:hAnsi="Calibri"/>
      <w:b/>
      <w:kern w:val="0"/>
      <w:sz w:val="24"/>
      <w:szCs w:val="20"/>
      <w:u w:val="single"/>
    </w:rPr>
  </w:style>
  <w:style w:type="character" w:customStyle="1" w:styleId="Char1">
    <w:name w:val="修改部分 Char"/>
    <w:link w:val="aff9"/>
    <w:rsid w:val="00F9707F"/>
    <w:rPr>
      <w:rFonts w:ascii="Calibri" w:hAnsi="Calibri"/>
      <w:b/>
      <w:sz w:val="24"/>
      <w:u w:val="single"/>
    </w:rPr>
  </w:style>
  <w:style w:type="paragraph" w:customStyle="1" w:styleId="affa">
    <w:name w:val="优化增加部分"/>
    <w:basedOn w:val="a"/>
    <w:link w:val="Char2"/>
    <w:qFormat/>
    <w:rsid w:val="00F9707F"/>
    <w:pPr>
      <w:spacing w:line="440" w:lineRule="exact"/>
      <w:ind w:firstLineChars="200" w:firstLine="480"/>
    </w:pPr>
    <w:rPr>
      <w:rFonts w:ascii="黑体" w:eastAsia="黑体" w:hAnsi="黑体"/>
      <w:b/>
      <w:kern w:val="0"/>
      <w:sz w:val="24"/>
      <w:szCs w:val="24"/>
    </w:rPr>
  </w:style>
  <w:style w:type="character" w:customStyle="1" w:styleId="Char2">
    <w:name w:val="优化增加部分 Char"/>
    <w:link w:val="affa"/>
    <w:qFormat/>
    <w:rsid w:val="00F9707F"/>
    <w:rPr>
      <w:rFonts w:ascii="黑体" w:eastAsia="黑体" w:hAnsi="黑体"/>
      <w:b/>
      <w:sz w:val="24"/>
      <w:szCs w:val="24"/>
    </w:rPr>
  </w:style>
  <w:style w:type="character" w:customStyle="1" w:styleId="Char10">
    <w:name w:val="标题 Char1"/>
    <w:uiPriority w:val="10"/>
    <w:qFormat/>
    <w:rsid w:val="00F9707F"/>
    <w:rPr>
      <w:rFonts w:ascii="Times New Roman" w:eastAsia="方正仿宋_GBK" w:hAnsi="Times New Roman"/>
      <w:bCs/>
      <w:kern w:val="2"/>
      <w:sz w:val="24"/>
      <w:szCs w:val="32"/>
    </w:rPr>
  </w:style>
  <w:style w:type="character" w:customStyle="1" w:styleId="Char11">
    <w:name w:val="明显引用 Char1"/>
    <w:uiPriority w:val="30"/>
    <w:qFormat/>
    <w:rsid w:val="00F9707F"/>
    <w:rPr>
      <w:rFonts w:ascii="等线" w:eastAsia="等线" w:hAnsi="等线"/>
      <w:b/>
      <w:bCs/>
      <w:i/>
      <w:iCs/>
      <w:color w:val="4F81BD"/>
      <w:kern w:val="2"/>
      <w:sz w:val="21"/>
      <w:szCs w:val="22"/>
    </w:rPr>
  </w:style>
  <w:style w:type="character" w:customStyle="1" w:styleId="Char12">
    <w:name w:val="日期 Char1"/>
    <w:uiPriority w:val="99"/>
    <w:semiHidden/>
    <w:qFormat/>
    <w:rsid w:val="00F9707F"/>
    <w:rPr>
      <w:rFonts w:ascii="等线" w:eastAsia="等线" w:hAnsi="等线"/>
      <w:kern w:val="2"/>
      <w:sz w:val="21"/>
      <w:szCs w:val="22"/>
    </w:rPr>
  </w:style>
  <w:style w:type="character" w:customStyle="1" w:styleId="3Char1">
    <w:name w:val="正文文本缩进 3 Char1"/>
    <w:uiPriority w:val="99"/>
    <w:semiHidden/>
    <w:qFormat/>
    <w:rsid w:val="00F9707F"/>
    <w:rPr>
      <w:rFonts w:ascii="等线" w:eastAsia="等线" w:hAnsi="等线"/>
      <w:kern w:val="2"/>
      <w:sz w:val="16"/>
      <w:szCs w:val="16"/>
    </w:rPr>
  </w:style>
  <w:style w:type="character" w:customStyle="1" w:styleId="Char13">
    <w:name w:val="文档结构图 Char1"/>
    <w:uiPriority w:val="99"/>
    <w:semiHidden/>
    <w:qFormat/>
    <w:rsid w:val="00F9707F"/>
    <w:rPr>
      <w:rFonts w:ascii="宋体" w:hAnsi="等线"/>
      <w:kern w:val="2"/>
      <w:sz w:val="18"/>
      <w:szCs w:val="18"/>
    </w:rPr>
  </w:style>
  <w:style w:type="character" w:customStyle="1" w:styleId="17">
    <w:name w:val="批注文字 字符1"/>
    <w:uiPriority w:val="99"/>
    <w:qFormat/>
    <w:rsid w:val="00F9707F"/>
    <w:rPr>
      <w:rFonts w:ascii="等线" w:eastAsia="等线" w:hAnsi="等线" w:cs="Times New Roman"/>
      <w:kern w:val="0"/>
      <w:sz w:val="20"/>
      <w:szCs w:val="20"/>
    </w:rPr>
  </w:style>
  <w:style w:type="character" w:customStyle="1" w:styleId="affb">
    <w:name w:val="批注文字 字符"/>
    <w:uiPriority w:val="99"/>
    <w:qFormat/>
    <w:rsid w:val="00F9707F"/>
    <w:rPr>
      <w:rFonts w:ascii="等线" w:eastAsia="等线" w:hAnsi="等线" w:cs="Times New Roman"/>
    </w:rPr>
  </w:style>
  <w:style w:type="character" w:customStyle="1" w:styleId="320">
    <w:name w:val="标题 3 字符2"/>
    <w:qFormat/>
    <w:rsid w:val="00F9707F"/>
    <w:rPr>
      <w:rFonts w:ascii="Times New Roman" w:eastAsia="方正黑体_GBK" w:hAnsi="Times New Roman"/>
      <w:b/>
      <w:bCs/>
      <w:sz w:val="36"/>
      <w:szCs w:val="28"/>
      <w:lang w:val="zh-CN"/>
    </w:rPr>
  </w:style>
  <w:style w:type="character" w:customStyle="1" w:styleId="content">
    <w:name w:val="content"/>
    <w:qFormat/>
    <w:rsid w:val="00F9707F"/>
  </w:style>
  <w:style w:type="paragraph" w:customStyle="1" w:styleId="affc">
    <w:name w:val="表里"/>
    <w:basedOn w:val="a"/>
    <w:link w:val="Char4"/>
    <w:qFormat/>
    <w:rsid w:val="00F9707F"/>
    <w:pPr>
      <w:widowControl/>
      <w:spacing w:line="240" w:lineRule="auto"/>
      <w:jc w:val="center"/>
    </w:pPr>
    <w:rPr>
      <w:rFonts w:eastAsia="仿宋"/>
      <w:b/>
      <w:color w:val="000000"/>
      <w:kern w:val="0"/>
      <w:sz w:val="24"/>
      <w:szCs w:val="24"/>
    </w:rPr>
  </w:style>
  <w:style w:type="character" w:customStyle="1" w:styleId="Char4">
    <w:name w:val="表里 Char"/>
    <w:link w:val="affc"/>
    <w:qFormat/>
    <w:rsid w:val="00F9707F"/>
    <w:rPr>
      <w:rFonts w:eastAsia="仿宋"/>
      <w:b/>
      <w:color w:val="000000"/>
      <w:sz w:val="24"/>
      <w:szCs w:val="24"/>
    </w:rPr>
  </w:style>
  <w:style w:type="paragraph" w:customStyle="1" w:styleId="Style115">
    <w:name w:val="_Style 115"/>
    <w:uiPriority w:val="99"/>
    <w:unhideWhenUsed/>
    <w:qFormat/>
    <w:rsid w:val="00F9707F"/>
    <w:pPr>
      <w:widowControl w:val="0"/>
      <w:spacing w:line="600" w:lineRule="exact"/>
      <w:jc w:val="both"/>
    </w:pPr>
    <w:rPr>
      <w:rFonts w:eastAsia="方正仿宋_GBK"/>
      <w:kern w:val="2"/>
      <w:sz w:val="32"/>
      <w:szCs w:val="22"/>
    </w:rPr>
  </w:style>
  <w:style w:type="paragraph" w:customStyle="1" w:styleId="msonormal0">
    <w:name w:val="msonormal"/>
    <w:basedOn w:val="a"/>
    <w:qFormat/>
    <w:rsid w:val="00F9707F"/>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font5">
    <w:name w:val="font5"/>
    <w:basedOn w:val="a"/>
    <w:qFormat/>
    <w:rsid w:val="00F9707F"/>
    <w:pPr>
      <w:widowControl/>
      <w:spacing w:before="100" w:beforeAutospacing="1" w:after="100" w:afterAutospacing="1" w:line="240" w:lineRule="auto"/>
      <w:jc w:val="left"/>
    </w:pPr>
    <w:rPr>
      <w:rFonts w:ascii="方正仿宋_GBK" w:hAnsi="宋体" w:cs="宋体"/>
      <w:color w:val="000000"/>
      <w:kern w:val="0"/>
      <w:sz w:val="22"/>
    </w:rPr>
  </w:style>
  <w:style w:type="paragraph" w:customStyle="1" w:styleId="font6">
    <w:name w:val="font6"/>
    <w:basedOn w:val="a"/>
    <w:qFormat/>
    <w:rsid w:val="00F9707F"/>
    <w:pPr>
      <w:widowControl/>
      <w:spacing w:before="100" w:beforeAutospacing="1" w:after="100" w:afterAutospacing="1" w:line="240" w:lineRule="auto"/>
      <w:jc w:val="left"/>
    </w:pPr>
    <w:rPr>
      <w:rFonts w:ascii="Tahoma" w:eastAsia="宋体" w:hAnsi="Tahoma" w:cs="Tahoma"/>
      <w:kern w:val="0"/>
      <w:sz w:val="18"/>
      <w:szCs w:val="18"/>
    </w:rPr>
  </w:style>
  <w:style w:type="paragraph" w:customStyle="1" w:styleId="font7">
    <w:name w:val="font7"/>
    <w:basedOn w:val="a"/>
    <w:qFormat/>
    <w:rsid w:val="00F9707F"/>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63">
    <w:name w:val="xl63"/>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方正仿宋_GBK" w:hAnsi="宋体" w:cs="宋体"/>
      <w:kern w:val="0"/>
      <w:sz w:val="24"/>
      <w:szCs w:val="24"/>
    </w:rPr>
  </w:style>
  <w:style w:type="paragraph" w:customStyle="1" w:styleId="xl65">
    <w:name w:val="xl65"/>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方正仿宋_GBK" w:hAnsi="宋体" w:cs="宋体"/>
      <w:kern w:val="0"/>
      <w:sz w:val="24"/>
      <w:szCs w:val="24"/>
    </w:rPr>
  </w:style>
  <w:style w:type="paragraph" w:customStyle="1" w:styleId="xl66">
    <w:name w:val="xl66"/>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方正仿宋_GBK" w:hAnsi="宋体" w:cs="宋体"/>
      <w:color w:val="000000"/>
      <w:kern w:val="0"/>
      <w:sz w:val="24"/>
      <w:szCs w:val="24"/>
    </w:rPr>
  </w:style>
  <w:style w:type="paragraph" w:customStyle="1" w:styleId="xl69">
    <w:name w:val="xl69"/>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方正仿宋_GBK" w:hAnsi="宋体" w:cs="宋体"/>
      <w:color w:val="000000"/>
      <w:kern w:val="0"/>
      <w:sz w:val="24"/>
      <w:szCs w:val="24"/>
    </w:rPr>
  </w:style>
  <w:style w:type="paragraph" w:customStyle="1" w:styleId="xl70">
    <w:name w:val="xl70"/>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1">
    <w:name w:val="xl71"/>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72">
    <w:name w:val="xl72"/>
    <w:basedOn w:val="a"/>
    <w:qFormat/>
    <w:rsid w:val="00F970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方正仿宋_GBK" w:hAnsi="宋体" w:cs="宋体"/>
      <w:kern w:val="0"/>
      <w:sz w:val="24"/>
      <w:szCs w:val="24"/>
    </w:rPr>
  </w:style>
  <w:style w:type="paragraph" w:customStyle="1" w:styleId="xl74">
    <w:name w:val="xl74"/>
    <w:basedOn w:val="a"/>
    <w:qFormat/>
    <w:rsid w:val="00F970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方正仿宋_GBK" w:hAnsi="宋体" w:cs="宋体"/>
      <w:kern w:val="0"/>
      <w:sz w:val="24"/>
      <w:szCs w:val="24"/>
    </w:rPr>
  </w:style>
  <w:style w:type="paragraph" w:customStyle="1" w:styleId="xl75">
    <w:name w:val="xl75"/>
    <w:basedOn w:val="a"/>
    <w:qFormat/>
    <w:rsid w:val="00F970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方正仿宋_GBK" w:hAnsi="宋体" w:cs="宋体"/>
      <w:color w:val="000000"/>
      <w:kern w:val="0"/>
      <w:sz w:val="24"/>
      <w:szCs w:val="24"/>
    </w:rPr>
  </w:style>
  <w:style w:type="paragraph" w:customStyle="1" w:styleId="xl77">
    <w:name w:val="xl77"/>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80">
    <w:name w:val="xl80"/>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方正仿宋_GBK" w:hAnsi="宋体" w:cs="宋体"/>
      <w:kern w:val="0"/>
      <w:sz w:val="21"/>
      <w:szCs w:val="21"/>
    </w:rPr>
  </w:style>
  <w:style w:type="paragraph" w:customStyle="1" w:styleId="xl81">
    <w:name w:val="xl81"/>
    <w:basedOn w:val="a"/>
    <w:qFormat/>
    <w:rsid w:val="00F970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方正仿宋_GBK" w:hAnsi="宋体" w:cs="宋体"/>
      <w:color w:val="000000"/>
      <w:kern w:val="0"/>
      <w:sz w:val="24"/>
      <w:szCs w:val="24"/>
    </w:rPr>
  </w:style>
  <w:style w:type="paragraph" w:customStyle="1" w:styleId="xl82">
    <w:name w:val="xl82"/>
    <w:basedOn w:val="a"/>
    <w:qFormat/>
    <w:rsid w:val="00F9707F"/>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方正仿宋_GBK" w:hAnsi="宋体" w:cs="宋体"/>
      <w:b/>
      <w:bCs/>
      <w:kern w:val="0"/>
      <w:sz w:val="24"/>
      <w:szCs w:val="24"/>
    </w:rPr>
  </w:style>
  <w:style w:type="paragraph" w:customStyle="1" w:styleId="xl83">
    <w:name w:val="xl83"/>
    <w:basedOn w:val="a"/>
    <w:qFormat/>
    <w:rsid w:val="00F9707F"/>
    <w:pPr>
      <w:widowControl/>
      <w:pBdr>
        <w:top w:val="single" w:sz="4" w:space="0" w:color="auto"/>
        <w:bottom w:val="single" w:sz="4" w:space="0" w:color="auto"/>
      </w:pBdr>
      <w:spacing w:before="100" w:beforeAutospacing="1" w:after="100" w:afterAutospacing="1" w:line="240" w:lineRule="auto"/>
      <w:jc w:val="left"/>
      <w:textAlignment w:val="center"/>
    </w:pPr>
    <w:rPr>
      <w:rFonts w:ascii="方正仿宋_GBK" w:hAnsi="宋体" w:cs="宋体"/>
      <w:b/>
      <w:bCs/>
      <w:kern w:val="0"/>
      <w:sz w:val="24"/>
      <w:szCs w:val="24"/>
    </w:rPr>
  </w:style>
  <w:style w:type="paragraph" w:customStyle="1" w:styleId="xl85">
    <w:name w:val="xl85"/>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方正小标宋_GBK" w:eastAsia="方正小标宋_GBK" w:hAnsi="宋体" w:cs="宋体"/>
      <w:kern w:val="0"/>
      <w:sz w:val="36"/>
      <w:szCs w:val="36"/>
    </w:rPr>
  </w:style>
  <w:style w:type="paragraph" w:customStyle="1" w:styleId="Style3">
    <w:name w:val="_Style 3"/>
    <w:basedOn w:val="a"/>
    <w:uiPriority w:val="34"/>
    <w:qFormat/>
    <w:rsid w:val="00F9707F"/>
    <w:pPr>
      <w:keepLines/>
      <w:topLinePunct/>
      <w:spacing w:line="640" w:lineRule="exact"/>
      <w:ind w:firstLineChars="200" w:firstLine="420"/>
    </w:pPr>
    <w:rPr>
      <w:rFonts w:asciiTheme="minorHAnsi" w:eastAsia="仿宋_GB2312" w:hAnsiTheme="minorHAnsi" w:cstheme="minorBidi"/>
      <w:sz w:val="30"/>
    </w:rPr>
  </w:style>
  <w:style w:type="paragraph" w:customStyle="1" w:styleId="35">
    <w:name w:val="中创标题3"/>
    <w:basedOn w:val="3"/>
    <w:next w:val="a"/>
    <w:link w:val="36"/>
    <w:qFormat/>
    <w:rsid w:val="00F9707F"/>
    <w:pPr>
      <w:topLinePunct/>
      <w:spacing w:before="0" w:after="0" w:line="640" w:lineRule="exact"/>
      <w:ind w:firstLineChars="200" w:firstLine="602"/>
    </w:pPr>
    <w:rPr>
      <w:rFonts w:ascii="仿宋_GB2312" w:eastAsia="仿宋_GB2312" w:hAnsiTheme="minorHAnsi" w:cstheme="minorBidi"/>
      <w:kern w:val="2"/>
    </w:rPr>
  </w:style>
  <w:style w:type="character" w:customStyle="1" w:styleId="36">
    <w:name w:val="中创标题3 字符"/>
    <w:basedOn w:val="a2"/>
    <w:link w:val="35"/>
    <w:qFormat/>
    <w:rsid w:val="00F9707F"/>
    <w:rPr>
      <w:rFonts w:ascii="仿宋_GB2312" w:eastAsia="仿宋_GB2312" w:hAnsiTheme="minorHAnsi" w:cstheme="minorBidi"/>
      <w:b/>
      <w:bCs/>
      <w:kern w:val="2"/>
      <w:sz w:val="32"/>
      <w:szCs w:val="32"/>
    </w:rPr>
  </w:style>
  <w:style w:type="paragraph" w:customStyle="1" w:styleId="45">
    <w:name w:val="中创标题4"/>
    <w:basedOn w:val="a"/>
    <w:link w:val="46"/>
    <w:qFormat/>
    <w:rsid w:val="00F9707F"/>
    <w:pPr>
      <w:keepLines/>
      <w:topLinePunct/>
      <w:spacing w:line="640" w:lineRule="exact"/>
      <w:ind w:firstLineChars="200" w:firstLine="200"/>
      <w:outlineLvl w:val="3"/>
    </w:pPr>
    <w:rPr>
      <w:rFonts w:asciiTheme="minorHAnsi" w:eastAsia="仿宋_GB2312" w:hAnsiTheme="minorHAnsi" w:cstheme="minorBidi"/>
      <w:b/>
      <w:sz w:val="30"/>
    </w:rPr>
  </w:style>
  <w:style w:type="character" w:customStyle="1" w:styleId="46">
    <w:name w:val="中创标题4 字符"/>
    <w:basedOn w:val="a2"/>
    <w:link w:val="45"/>
    <w:qFormat/>
    <w:rsid w:val="00F9707F"/>
    <w:rPr>
      <w:rFonts w:asciiTheme="minorHAnsi" w:eastAsia="仿宋_GB2312" w:hAnsiTheme="minorHAnsi" w:cstheme="minorBidi"/>
      <w:b/>
      <w:kern w:val="2"/>
      <w:sz w:val="30"/>
      <w:szCs w:val="22"/>
    </w:rPr>
  </w:style>
  <w:style w:type="paragraph" w:customStyle="1" w:styleId="CharChar1">
    <w:name w:val="Char Char1"/>
    <w:basedOn w:val="a"/>
    <w:qFormat/>
    <w:rsid w:val="00F9707F"/>
    <w:pPr>
      <w:keepLines/>
      <w:widowControl/>
      <w:numPr>
        <w:numId w:val="2"/>
      </w:numPr>
      <w:tabs>
        <w:tab w:val="left" w:pos="720"/>
      </w:tabs>
      <w:topLinePunct/>
      <w:adjustRightInd w:val="0"/>
      <w:snapToGrid w:val="0"/>
      <w:spacing w:line="360" w:lineRule="auto"/>
      <w:jc w:val="left"/>
    </w:pPr>
    <w:rPr>
      <w:rFonts w:eastAsia="仿宋_GB2312"/>
      <w:kern w:val="0"/>
      <w:szCs w:val="32"/>
    </w:rPr>
  </w:style>
  <w:style w:type="paragraph" w:customStyle="1" w:styleId="affd">
    <w:name w:val="楷体"/>
    <w:basedOn w:val="a"/>
    <w:link w:val="affe"/>
    <w:qFormat/>
    <w:rsid w:val="00F9707F"/>
    <w:pPr>
      <w:keepLines/>
      <w:topLinePunct/>
      <w:spacing w:line="240" w:lineRule="auto"/>
      <w:ind w:firstLine="600"/>
    </w:pPr>
    <w:rPr>
      <w:rFonts w:ascii="楷体_GB2312" w:eastAsia="楷体_GB2312"/>
      <w:b/>
      <w:bCs/>
      <w:sz w:val="30"/>
      <w:szCs w:val="30"/>
    </w:rPr>
  </w:style>
  <w:style w:type="character" w:customStyle="1" w:styleId="affe">
    <w:name w:val="楷体 字符"/>
    <w:basedOn w:val="a2"/>
    <w:link w:val="affd"/>
    <w:qFormat/>
    <w:rsid w:val="00F9707F"/>
    <w:rPr>
      <w:rFonts w:ascii="楷体_GB2312" w:eastAsia="楷体_GB2312"/>
      <w:b/>
      <w:bCs/>
      <w:kern w:val="2"/>
      <w:sz w:val="30"/>
      <w:szCs w:val="30"/>
    </w:rPr>
  </w:style>
  <w:style w:type="paragraph" w:customStyle="1" w:styleId="TOC11">
    <w:name w:val="TOC 标题11"/>
    <w:basedOn w:val="1"/>
    <w:next w:val="a"/>
    <w:uiPriority w:val="39"/>
    <w:unhideWhenUsed/>
    <w:qFormat/>
    <w:rsid w:val="00F9707F"/>
    <w:pPr>
      <w:keepNext/>
      <w:keepLines/>
      <w:widowControl/>
      <w:topLinePunct/>
      <w:adjustRightInd/>
      <w:snapToGrid/>
      <w:spacing w:line="259" w:lineRule="auto"/>
      <w:outlineLvl w:val="9"/>
    </w:pPr>
    <w:rPr>
      <w:rFonts w:asciiTheme="majorHAnsi" w:eastAsiaTheme="majorEastAsia" w:hAnsiTheme="majorHAnsi" w:cstheme="majorBidi"/>
      <w:bCs w:val="0"/>
      <w:color w:val="2E74B5" w:themeColor="accent1" w:themeShade="BF"/>
      <w:kern w:val="0"/>
      <w:szCs w:val="32"/>
    </w:rPr>
  </w:style>
  <w:style w:type="character" w:customStyle="1" w:styleId="font11">
    <w:name w:val="font11"/>
    <w:basedOn w:val="a2"/>
    <w:qFormat/>
    <w:rsid w:val="00F9707F"/>
    <w:rPr>
      <w:rFonts w:ascii="Times New Roman" w:hAnsi="Times New Roman" w:cs="Times New Roman" w:hint="default"/>
      <w:color w:val="000000"/>
      <w:sz w:val="21"/>
      <w:szCs w:val="21"/>
      <w:u w:val="none"/>
    </w:rPr>
  </w:style>
  <w:style w:type="character" w:customStyle="1" w:styleId="font51">
    <w:name w:val="font51"/>
    <w:basedOn w:val="a2"/>
    <w:qFormat/>
    <w:rsid w:val="00F9707F"/>
    <w:rPr>
      <w:rFonts w:ascii="宋体" w:eastAsia="宋体" w:hAnsi="宋体" w:cs="宋体" w:hint="eastAsia"/>
      <w:color w:val="000000"/>
      <w:sz w:val="21"/>
      <w:szCs w:val="21"/>
      <w:u w:val="none"/>
    </w:rPr>
  </w:style>
  <w:style w:type="character" w:customStyle="1" w:styleId="font01">
    <w:name w:val="font01"/>
    <w:basedOn w:val="a2"/>
    <w:qFormat/>
    <w:rsid w:val="00F9707F"/>
    <w:rPr>
      <w:rFonts w:ascii="Times New Roman" w:hAnsi="Times New Roman" w:cs="Times New Roman" w:hint="default"/>
      <w:b/>
      <w:color w:val="000000"/>
      <w:sz w:val="21"/>
      <w:szCs w:val="21"/>
      <w:u w:val="none"/>
    </w:rPr>
  </w:style>
  <w:style w:type="character" w:customStyle="1" w:styleId="font21">
    <w:name w:val="font21"/>
    <w:basedOn w:val="a2"/>
    <w:qFormat/>
    <w:rsid w:val="00F9707F"/>
    <w:rPr>
      <w:rFonts w:ascii="宋体" w:eastAsia="宋体" w:hAnsi="宋体" w:cs="宋体" w:hint="eastAsia"/>
      <w:b/>
      <w:color w:val="000000"/>
      <w:sz w:val="21"/>
      <w:szCs w:val="21"/>
      <w:u w:val="none"/>
    </w:rPr>
  </w:style>
  <w:style w:type="table" w:customStyle="1" w:styleId="72">
    <w:name w:val="网格型7"/>
    <w:basedOn w:val="a3"/>
    <w:uiPriority w:val="39"/>
    <w:qFormat/>
    <w:rsid w:val="00F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uiPriority w:val="39"/>
    <w:qFormat/>
    <w:rsid w:val="00F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处理的提及2"/>
    <w:uiPriority w:val="99"/>
    <w:unhideWhenUsed/>
    <w:qFormat/>
    <w:rsid w:val="00F9707F"/>
    <w:rPr>
      <w:color w:val="605E5C"/>
      <w:shd w:val="clear" w:color="auto" w:fill="E1DFDD"/>
    </w:rPr>
  </w:style>
  <w:style w:type="paragraph" w:customStyle="1" w:styleId="CharCharCharChar">
    <w:name w:val="Char Char Char Char"/>
    <w:basedOn w:val="a"/>
    <w:qFormat/>
    <w:rsid w:val="00F9707F"/>
    <w:pPr>
      <w:tabs>
        <w:tab w:val="left" w:pos="432"/>
      </w:tabs>
      <w:ind w:left="432" w:hanging="432"/>
    </w:pPr>
    <w:rPr>
      <w:rFonts w:eastAsia="宋体"/>
      <w:sz w:val="24"/>
      <w:szCs w:val="24"/>
    </w:rPr>
  </w:style>
  <w:style w:type="character" w:customStyle="1" w:styleId="fontstyle01">
    <w:name w:val="fontstyle01"/>
    <w:qFormat/>
    <w:rsid w:val="00F9707F"/>
    <w:rPr>
      <w:rFonts w:ascii="宋体" w:eastAsia="宋体" w:hAnsi="宋体" w:hint="eastAsia"/>
      <w:color w:val="000000"/>
      <w:sz w:val="24"/>
      <w:szCs w:val="24"/>
    </w:rPr>
  </w:style>
  <w:style w:type="paragraph" w:customStyle="1" w:styleId="Default">
    <w:name w:val="Default"/>
    <w:qFormat/>
    <w:rsid w:val="00F9707F"/>
    <w:pPr>
      <w:widowControl w:val="0"/>
      <w:autoSpaceDE w:val="0"/>
      <w:autoSpaceDN w:val="0"/>
      <w:adjustRightInd w:val="0"/>
    </w:pPr>
    <w:rPr>
      <w:rFonts w:ascii="方正楷体." w:eastAsia="方正楷体." w:hAnsi="Calibri" w:cs="方正楷体."/>
      <w:color w:val="000000"/>
      <w:sz w:val="24"/>
      <w:szCs w:val="24"/>
    </w:rPr>
  </w:style>
  <w:style w:type="character" w:customStyle="1" w:styleId="afff">
    <w:name w:val="页脚 字符"/>
    <w:uiPriority w:val="99"/>
    <w:qFormat/>
    <w:rsid w:val="00F9707F"/>
    <w:rPr>
      <w:rFonts w:ascii="等线" w:eastAsia="等线" w:hAnsi="等线" w:cs="Times New Roman"/>
      <w:sz w:val="18"/>
      <w:szCs w:val="18"/>
    </w:rPr>
  </w:style>
  <w:style w:type="table" w:customStyle="1" w:styleId="25">
    <w:name w:val="网格型2"/>
    <w:basedOn w:val="a3"/>
    <w:uiPriority w:val="39"/>
    <w:qFormat/>
    <w:rsid w:val="00F9707F"/>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4">
    <w:name w:val="批注主题 Char1"/>
    <w:uiPriority w:val="99"/>
    <w:semiHidden/>
    <w:qFormat/>
    <w:rsid w:val="00F9707F"/>
    <w:rPr>
      <w:rFonts w:ascii="等线" w:eastAsia="等线" w:hAnsi="等线"/>
      <w:b/>
      <w:bCs/>
      <w:kern w:val="2"/>
      <w:sz w:val="21"/>
      <w:szCs w:val="22"/>
    </w:rPr>
  </w:style>
  <w:style w:type="character" w:customStyle="1" w:styleId="Char15">
    <w:name w:val="脚注文本 Char1"/>
    <w:uiPriority w:val="99"/>
    <w:semiHidden/>
    <w:qFormat/>
    <w:rsid w:val="00F9707F"/>
    <w:rPr>
      <w:rFonts w:ascii="等线" w:eastAsia="等线" w:hAnsi="等线"/>
      <w:kern w:val="2"/>
      <w:sz w:val="18"/>
      <w:szCs w:val="18"/>
    </w:rPr>
  </w:style>
  <w:style w:type="character" w:customStyle="1" w:styleId="Char20">
    <w:name w:val="标题 Char2"/>
    <w:uiPriority w:val="10"/>
    <w:qFormat/>
    <w:rsid w:val="00F9707F"/>
    <w:rPr>
      <w:rFonts w:ascii="Cambria" w:hAnsi="Cambria" w:cs="Times New Roman"/>
      <w:b/>
      <w:bCs/>
      <w:kern w:val="2"/>
      <w:sz w:val="32"/>
      <w:szCs w:val="32"/>
    </w:rPr>
  </w:style>
  <w:style w:type="character" w:customStyle="1" w:styleId="afff0">
    <w:name w:val="批注框文本 字符"/>
    <w:uiPriority w:val="99"/>
    <w:semiHidden/>
    <w:qFormat/>
    <w:rsid w:val="00F9707F"/>
    <w:rPr>
      <w:rFonts w:ascii="等线" w:eastAsia="等线" w:hAnsi="等线" w:cs="Times New Roman"/>
      <w:sz w:val="18"/>
      <w:szCs w:val="18"/>
    </w:rPr>
  </w:style>
  <w:style w:type="paragraph" w:customStyle="1" w:styleId="19">
    <w:name w:val="修订1"/>
    <w:hidden/>
    <w:uiPriority w:val="99"/>
    <w:semiHidden/>
    <w:qFormat/>
    <w:rsid w:val="00F9707F"/>
    <w:rPr>
      <w:rFonts w:ascii="等线" w:eastAsia="等线" w:hAnsi="等线"/>
      <w:kern w:val="2"/>
      <w:sz w:val="21"/>
      <w:szCs w:val="22"/>
    </w:rPr>
  </w:style>
  <w:style w:type="paragraph" w:customStyle="1" w:styleId="font8">
    <w:name w:val="font8"/>
    <w:basedOn w:val="a"/>
    <w:qFormat/>
    <w:rsid w:val="00F9707F"/>
    <w:pPr>
      <w:widowControl/>
      <w:spacing w:before="100" w:beforeAutospacing="1" w:after="100" w:afterAutospacing="1" w:line="240" w:lineRule="auto"/>
      <w:jc w:val="left"/>
    </w:pPr>
    <w:rPr>
      <w:rFonts w:eastAsia="宋体"/>
      <w:color w:val="000000"/>
      <w:kern w:val="0"/>
      <w:sz w:val="22"/>
    </w:rPr>
  </w:style>
  <w:style w:type="paragraph" w:customStyle="1" w:styleId="xl64">
    <w:name w:val="xl64"/>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方正仿宋_GBK" w:hAnsi="宋体" w:cs="宋体"/>
      <w:kern w:val="0"/>
      <w:sz w:val="24"/>
      <w:szCs w:val="24"/>
    </w:rPr>
  </w:style>
  <w:style w:type="paragraph" w:customStyle="1" w:styleId="xl67">
    <w:name w:val="xl67"/>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方正仿宋_GBK" w:hAnsi="宋体" w:cs="宋体"/>
      <w:b/>
      <w:bCs/>
      <w:kern w:val="0"/>
      <w:sz w:val="24"/>
      <w:szCs w:val="24"/>
    </w:rPr>
  </w:style>
  <w:style w:type="paragraph" w:customStyle="1" w:styleId="xl68">
    <w:name w:val="xl68"/>
    <w:basedOn w:val="a"/>
    <w:qFormat/>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方正仿宋_GBK" w:hAnsi="宋体" w:cs="宋体"/>
      <w:b/>
      <w:bCs/>
      <w:kern w:val="0"/>
      <w:sz w:val="24"/>
      <w:szCs w:val="24"/>
    </w:rPr>
  </w:style>
  <w:style w:type="paragraph" w:customStyle="1" w:styleId="xl73">
    <w:name w:val="xl73"/>
    <w:basedOn w:val="a"/>
    <w:rsid w:val="00F9707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方正仿宋_GBK" w:hAnsi="宋体" w:cs="宋体"/>
      <w:kern w:val="0"/>
      <w:sz w:val="24"/>
      <w:szCs w:val="24"/>
    </w:rPr>
  </w:style>
  <w:style w:type="paragraph" w:customStyle="1" w:styleId="xl76">
    <w:name w:val="xl76"/>
    <w:basedOn w:val="a"/>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方正仿宋_GBK" w:hAnsi="宋体" w:cs="宋体"/>
      <w:color w:val="000000"/>
      <w:kern w:val="0"/>
      <w:sz w:val="24"/>
      <w:szCs w:val="24"/>
    </w:rPr>
  </w:style>
  <w:style w:type="paragraph" w:customStyle="1" w:styleId="xl78">
    <w:name w:val="xl78"/>
    <w:basedOn w:val="a"/>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方正仿宋_GBK" w:hAnsi="宋体" w:cs="宋体"/>
      <w:kern w:val="0"/>
      <w:sz w:val="24"/>
      <w:szCs w:val="24"/>
    </w:rPr>
  </w:style>
  <w:style w:type="paragraph" w:customStyle="1" w:styleId="xl79">
    <w:name w:val="xl79"/>
    <w:basedOn w:val="a"/>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方正仿宋_GBK" w:hAnsi="宋体" w:cs="宋体"/>
      <w:kern w:val="0"/>
      <w:sz w:val="24"/>
      <w:szCs w:val="24"/>
    </w:rPr>
  </w:style>
  <w:style w:type="paragraph" w:customStyle="1" w:styleId="xl84">
    <w:name w:val="xl84"/>
    <w:basedOn w:val="a"/>
    <w:rsid w:val="00F9707F"/>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方正仿宋_GBK" w:hAnsi="宋体" w:cs="宋体"/>
      <w:b/>
      <w:bCs/>
      <w:kern w:val="0"/>
      <w:sz w:val="24"/>
      <w:szCs w:val="24"/>
    </w:rPr>
  </w:style>
  <w:style w:type="paragraph" w:customStyle="1" w:styleId="xl86">
    <w:name w:val="xl86"/>
    <w:basedOn w:val="a"/>
    <w:rsid w:val="00F9707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方正仿宋_GBK" w:hAnsi="宋体" w:cs="宋体"/>
      <w:b/>
      <w:bCs/>
      <w:kern w:val="0"/>
      <w:sz w:val="24"/>
      <w:szCs w:val="24"/>
    </w:rPr>
  </w:style>
  <w:style w:type="table" w:customStyle="1" w:styleId="37">
    <w:name w:val="网格型3"/>
    <w:basedOn w:val="a3"/>
    <w:uiPriority w:val="39"/>
    <w:qFormat/>
    <w:rsid w:val="00F9707F"/>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uiPriority w:val="39"/>
    <w:qFormat/>
    <w:rsid w:val="00F970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3"/>
    <w:uiPriority w:val="39"/>
    <w:rsid w:val="00F970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3"/>
    <w:uiPriority w:val="39"/>
    <w:qFormat/>
    <w:rsid w:val="00F970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
    <w:basedOn w:val="a3"/>
    <w:uiPriority w:val="39"/>
    <w:qFormat/>
    <w:rsid w:val="00F970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修订2"/>
    <w:hidden/>
    <w:uiPriority w:val="99"/>
    <w:semiHidden/>
    <w:qFormat/>
    <w:rsid w:val="00F9707F"/>
    <w:rPr>
      <w:rFonts w:eastAsia="方正仿宋_GBK"/>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3260</Words>
  <Characters>18585</Characters>
  <Application>Microsoft Office Word</Application>
  <DocSecurity>0</DocSecurity>
  <Lines>154</Lines>
  <Paragraphs>43</Paragraphs>
  <ScaleCrop>false</ScaleCrop>
  <Company>微软中国</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2021-06-08T03:27:00Z</cp:lastPrinted>
  <dcterms:created xsi:type="dcterms:W3CDTF">2021-06-22T08:42:00Z</dcterms:created>
  <dcterms:modified xsi:type="dcterms:W3CDTF">2022-03-17T01:22:00Z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