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913" w:rsidRDefault="00B45913" w:rsidP="00B45913">
      <w:pPr>
        <w:adjustRightInd w:val="0"/>
        <w:snapToGrid w:val="0"/>
        <w:spacing w:line="60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t>附件</w:t>
      </w:r>
      <w:r>
        <w:rPr>
          <w:rFonts w:ascii="Times New Roman" w:eastAsia="方正黑体_GBK" w:hAnsi="Times New Roman" w:cs="Times New Roman" w:hint="eastAsia"/>
          <w:sz w:val="32"/>
          <w:szCs w:val="32"/>
        </w:rPr>
        <w:t>1</w:t>
      </w:r>
    </w:p>
    <w:p w:rsidR="00B45913" w:rsidRDefault="00B45913" w:rsidP="00B45913">
      <w:pPr>
        <w:pStyle w:val="a0"/>
        <w:jc w:val="both"/>
        <w:rPr>
          <w:rFonts w:ascii="Times New Roman" w:hAnsi="Times New Roman"/>
        </w:rPr>
      </w:pPr>
    </w:p>
    <w:p w:rsidR="00B45913" w:rsidRDefault="00B45913" w:rsidP="00B45913">
      <w:pPr>
        <w:adjustRightInd w:val="0"/>
        <w:snapToGrid w:val="0"/>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重庆高新区推动服务外包转型升级实施方案重点项目清单</w:t>
      </w:r>
    </w:p>
    <w:p w:rsidR="00B45913" w:rsidRDefault="00B45913" w:rsidP="00B45913">
      <w:pPr>
        <w:adjustRightInd w:val="0"/>
        <w:snapToGrid w:val="0"/>
        <w:spacing w:line="600" w:lineRule="exact"/>
        <w:rPr>
          <w:rFonts w:ascii="Times New Roman" w:hAnsi="Times New Roman" w:cs="Times New Roman"/>
        </w:rPr>
      </w:pP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top w:w="15" w:type="dxa"/>
          <w:left w:w="57" w:type="dxa"/>
          <w:bottom w:w="15" w:type="dxa"/>
          <w:right w:w="57" w:type="dxa"/>
        </w:tblCellMar>
        <w:tblLook w:val="04A0"/>
      </w:tblPr>
      <w:tblGrid>
        <w:gridCol w:w="645"/>
        <w:gridCol w:w="4984"/>
        <w:gridCol w:w="1652"/>
        <w:gridCol w:w="1677"/>
      </w:tblGrid>
      <w:tr w:rsidR="00B45913" w:rsidTr="00606164">
        <w:trPr>
          <w:trHeight w:val="454"/>
          <w:tblHeader/>
          <w:jc w:val="center"/>
        </w:trPr>
        <w:tc>
          <w:tcPr>
            <w:tcW w:w="645" w:type="dxa"/>
            <w:noWrap/>
            <w:vAlign w:val="center"/>
          </w:tcPr>
          <w:p w:rsidR="00B45913" w:rsidRDefault="00B45913" w:rsidP="00606164">
            <w:pPr>
              <w:widowControl/>
              <w:adjustRightInd w:val="0"/>
              <w:snapToGrid w:val="0"/>
              <w:spacing w:line="600" w:lineRule="exact"/>
              <w:jc w:val="center"/>
              <w:textAlignment w:val="center"/>
              <w:rPr>
                <w:rFonts w:ascii="Times New Roman" w:eastAsia="方正黑体_GBK" w:hAnsi="Times New Roman" w:cs="Times New Roman"/>
                <w:color w:val="000000"/>
                <w:sz w:val="24"/>
                <w:szCs w:val="24"/>
              </w:rPr>
            </w:pPr>
            <w:r>
              <w:rPr>
                <w:rFonts w:ascii="Times New Roman" w:eastAsia="方正黑体_GBK" w:hAnsi="Times New Roman" w:cs="Times New Roman"/>
                <w:color w:val="000000"/>
                <w:kern w:val="0"/>
                <w:sz w:val="24"/>
                <w:szCs w:val="24"/>
              </w:rPr>
              <w:t>序号</w:t>
            </w:r>
          </w:p>
        </w:tc>
        <w:tc>
          <w:tcPr>
            <w:tcW w:w="4984" w:type="dxa"/>
            <w:noWrap/>
            <w:vAlign w:val="center"/>
          </w:tcPr>
          <w:p w:rsidR="00B45913" w:rsidRDefault="00B45913" w:rsidP="00606164">
            <w:pPr>
              <w:widowControl/>
              <w:adjustRightInd w:val="0"/>
              <w:snapToGrid w:val="0"/>
              <w:spacing w:line="600" w:lineRule="exact"/>
              <w:jc w:val="center"/>
              <w:textAlignment w:val="center"/>
              <w:rPr>
                <w:rFonts w:ascii="Times New Roman" w:eastAsia="方正黑体_GBK" w:hAnsi="Times New Roman" w:cs="Times New Roman"/>
                <w:color w:val="000000"/>
                <w:sz w:val="24"/>
                <w:szCs w:val="24"/>
              </w:rPr>
            </w:pPr>
            <w:r>
              <w:rPr>
                <w:rFonts w:ascii="Times New Roman" w:eastAsia="方正黑体_GBK" w:hAnsi="Times New Roman" w:cs="Times New Roman"/>
                <w:color w:val="000000"/>
                <w:kern w:val="0"/>
                <w:sz w:val="24"/>
                <w:szCs w:val="24"/>
              </w:rPr>
              <w:t>重</w:t>
            </w:r>
            <w:r>
              <w:rPr>
                <w:rFonts w:ascii="Times New Roman" w:eastAsia="方正黑体_GBK" w:hAnsi="Times New Roman" w:cs="Times New Roman"/>
                <w:color w:val="000000"/>
                <w:kern w:val="0"/>
                <w:sz w:val="24"/>
                <w:szCs w:val="24"/>
              </w:rPr>
              <w:t xml:space="preserve"> </w:t>
            </w:r>
            <w:r>
              <w:rPr>
                <w:rFonts w:ascii="Times New Roman" w:eastAsia="方正黑体_GBK" w:hAnsi="Times New Roman" w:cs="Times New Roman"/>
                <w:color w:val="000000"/>
                <w:kern w:val="0"/>
                <w:sz w:val="24"/>
                <w:szCs w:val="24"/>
              </w:rPr>
              <w:t>点</w:t>
            </w:r>
            <w:r>
              <w:rPr>
                <w:rFonts w:ascii="Times New Roman" w:eastAsia="方正黑体_GBK" w:hAnsi="Times New Roman" w:cs="Times New Roman"/>
                <w:color w:val="000000"/>
                <w:kern w:val="0"/>
                <w:sz w:val="24"/>
                <w:szCs w:val="24"/>
              </w:rPr>
              <w:t xml:space="preserve"> </w:t>
            </w:r>
            <w:r>
              <w:rPr>
                <w:rFonts w:ascii="Times New Roman" w:eastAsia="方正黑体_GBK" w:hAnsi="Times New Roman" w:cs="Times New Roman"/>
                <w:color w:val="000000"/>
                <w:kern w:val="0"/>
                <w:sz w:val="24"/>
                <w:szCs w:val="24"/>
              </w:rPr>
              <w:t>项</w:t>
            </w:r>
            <w:r>
              <w:rPr>
                <w:rFonts w:ascii="Times New Roman" w:eastAsia="方正黑体_GBK" w:hAnsi="Times New Roman" w:cs="Times New Roman"/>
                <w:color w:val="000000"/>
                <w:kern w:val="0"/>
                <w:sz w:val="24"/>
                <w:szCs w:val="24"/>
              </w:rPr>
              <w:t xml:space="preserve"> </w:t>
            </w:r>
            <w:r>
              <w:rPr>
                <w:rFonts w:ascii="Times New Roman" w:eastAsia="方正黑体_GBK" w:hAnsi="Times New Roman" w:cs="Times New Roman"/>
                <w:color w:val="000000"/>
                <w:kern w:val="0"/>
                <w:sz w:val="24"/>
                <w:szCs w:val="24"/>
              </w:rPr>
              <w:t>目</w:t>
            </w:r>
          </w:p>
        </w:tc>
        <w:tc>
          <w:tcPr>
            <w:tcW w:w="1652" w:type="dxa"/>
            <w:noWrap/>
            <w:vAlign w:val="center"/>
          </w:tcPr>
          <w:p w:rsidR="00B45913" w:rsidRDefault="00B45913" w:rsidP="00606164">
            <w:pPr>
              <w:widowControl/>
              <w:adjustRightInd w:val="0"/>
              <w:snapToGrid w:val="0"/>
              <w:spacing w:line="600" w:lineRule="exact"/>
              <w:jc w:val="center"/>
              <w:textAlignment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牵头单位</w:t>
            </w:r>
          </w:p>
        </w:tc>
        <w:tc>
          <w:tcPr>
            <w:tcW w:w="1677" w:type="dxa"/>
            <w:noWrap/>
            <w:vAlign w:val="center"/>
          </w:tcPr>
          <w:p w:rsidR="00B45913" w:rsidRDefault="00B45913" w:rsidP="00606164">
            <w:pPr>
              <w:widowControl/>
              <w:adjustRightInd w:val="0"/>
              <w:snapToGrid w:val="0"/>
              <w:spacing w:line="600" w:lineRule="exact"/>
              <w:jc w:val="center"/>
              <w:textAlignment w:val="center"/>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t>配合单位</w:t>
            </w:r>
          </w:p>
        </w:tc>
      </w:tr>
      <w:tr w:rsidR="00B45913" w:rsidTr="00606164">
        <w:trPr>
          <w:trHeight w:val="1901"/>
          <w:jc w:val="center"/>
        </w:trPr>
        <w:tc>
          <w:tcPr>
            <w:tcW w:w="645" w:type="dxa"/>
            <w:noWrap/>
            <w:vAlign w:val="center"/>
          </w:tcPr>
          <w:p w:rsidR="00B45913" w:rsidRDefault="00B45913" w:rsidP="00606164">
            <w:pPr>
              <w:widowControl/>
              <w:adjustRightInd w:val="0"/>
              <w:snapToGrid w:val="0"/>
              <w:jc w:val="center"/>
              <w:textAlignment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kern w:val="0"/>
                <w:sz w:val="24"/>
                <w:szCs w:val="24"/>
              </w:rPr>
              <w:t>1</w:t>
            </w:r>
          </w:p>
        </w:tc>
        <w:tc>
          <w:tcPr>
            <w:tcW w:w="4984"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积极对接国家服务贸易引导基金，依托科学城建设规划信息技术服务外包产业园，以土地和大学城人才优势吸引国际大型信息技术外包企业买地建园或租赁发展，形成信息技术外包生态圈和信息技术外包产能，到</w:t>
            </w:r>
            <w:r>
              <w:rPr>
                <w:rFonts w:ascii="Times New Roman" w:eastAsia="方正仿宋_GBK" w:hAnsi="Times New Roman" w:cs="Times New Roman"/>
                <w:color w:val="000000"/>
                <w:kern w:val="0"/>
                <w:sz w:val="24"/>
                <w:szCs w:val="24"/>
              </w:rPr>
              <w:t>2025</w:t>
            </w:r>
            <w:r>
              <w:rPr>
                <w:rFonts w:ascii="Times New Roman" w:eastAsia="方正仿宋_GBK" w:hAnsi="Times New Roman" w:cs="Times New Roman"/>
                <w:color w:val="000000"/>
                <w:kern w:val="0"/>
                <w:sz w:val="24"/>
                <w:szCs w:val="24"/>
              </w:rPr>
              <w:t>年力争年产值达到</w:t>
            </w:r>
            <w:r>
              <w:rPr>
                <w:rFonts w:ascii="Times New Roman" w:eastAsia="方正仿宋_GBK" w:hAnsi="Times New Roman" w:cs="Times New Roman"/>
                <w:color w:val="000000"/>
                <w:kern w:val="0"/>
                <w:sz w:val="24"/>
                <w:szCs w:val="24"/>
              </w:rPr>
              <w:t>10</w:t>
            </w:r>
            <w:r>
              <w:rPr>
                <w:rFonts w:ascii="Times New Roman" w:eastAsia="方正仿宋_GBK" w:hAnsi="Times New Roman" w:cs="Times New Roman"/>
                <w:color w:val="000000"/>
                <w:kern w:val="0"/>
                <w:sz w:val="24"/>
                <w:szCs w:val="24"/>
              </w:rPr>
              <w:t>亿美元，吸引大型企业超过</w:t>
            </w:r>
            <w:r>
              <w:rPr>
                <w:rFonts w:ascii="Times New Roman" w:eastAsia="方正仿宋_GBK" w:hAnsi="Times New Roman" w:cs="Times New Roman"/>
                <w:color w:val="000000"/>
                <w:kern w:val="0"/>
                <w:sz w:val="24"/>
                <w:szCs w:val="24"/>
              </w:rPr>
              <w:t>10</w:t>
            </w:r>
            <w:r>
              <w:rPr>
                <w:rFonts w:ascii="Times New Roman" w:eastAsia="方正仿宋_GBK" w:hAnsi="Times New Roman" w:cs="Times New Roman"/>
                <w:color w:val="000000"/>
                <w:kern w:val="0"/>
                <w:sz w:val="24"/>
                <w:szCs w:val="24"/>
              </w:rPr>
              <w:t>家，从业人员超过</w:t>
            </w:r>
            <w:r>
              <w:rPr>
                <w:rFonts w:ascii="Times New Roman" w:eastAsia="方正仿宋_GBK" w:hAnsi="Times New Roman" w:cs="Times New Roman"/>
                <w:color w:val="000000"/>
                <w:kern w:val="0"/>
                <w:sz w:val="24"/>
                <w:szCs w:val="24"/>
              </w:rPr>
              <w:t>50</w:t>
            </w:r>
            <w:r>
              <w:rPr>
                <w:rFonts w:ascii="Times New Roman" w:eastAsia="方正仿宋_GBK" w:hAnsi="Times New Roman" w:cs="Times New Roman"/>
                <w:color w:val="000000"/>
                <w:kern w:val="0"/>
                <w:sz w:val="24"/>
                <w:szCs w:val="24"/>
              </w:rPr>
              <w:t>万人。</w:t>
            </w:r>
          </w:p>
        </w:tc>
        <w:tc>
          <w:tcPr>
            <w:tcW w:w="1652"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改革发展局</w:t>
            </w:r>
          </w:p>
        </w:tc>
        <w:tc>
          <w:tcPr>
            <w:tcW w:w="1677"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招商公司、西永微电园公司</w:t>
            </w:r>
          </w:p>
        </w:tc>
      </w:tr>
      <w:tr w:rsidR="00B45913" w:rsidTr="00606164">
        <w:trPr>
          <w:trHeight w:val="464"/>
          <w:jc w:val="center"/>
        </w:trPr>
        <w:tc>
          <w:tcPr>
            <w:tcW w:w="645" w:type="dxa"/>
            <w:noWrap/>
            <w:vAlign w:val="center"/>
          </w:tcPr>
          <w:p w:rsidR="00B45913" w:rsidRDefault="00B45913" w:rsidP="00606164">
            <w:pPr>
              <w:widowControl/>
              <w:adjustRightInd w:val="0"/>
              <w:snapToGrid w:val="0"/>
              <w:jc w:val="center"/>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2</w:t>
            </w:r>
          </w:p>
        </w:tc>
        <w:tc>
          <w:tcPr>
            <w:tcW w:w="4984"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spacing w:val="-6"/>
                <w:kern w:val="0"/>
                <w:sz w:val="24"/>
                <w:szCs w:val="24"/>
              </w:rPr>
            </w:pPr>
            <w:r>
              <w:rPr>
                <w:rFonts w:ascii="Times New Roman" w:eastAsia="方正仿宋_GBK" w:hAnsi="Times New Roman" w:cs="Times New Roman"/>
                <w:color w:val="000000"/>
                <w:kern w:val="0"/>
                <w:sz w:val="24"/>
                <w:szCs w:val="24"/>
              </w:rPr>
              <w:t>推进</w:t>
            </w:r>
            <w:r>
              <w:rPr>
                <w:rFonts w:ascii="Times New Roman" w:eastAsia="方正仿宋_GBK" w:hAnsi="Times New Roman" w:cs="Times New Roman"/>
                <w:color w:val="000000"/>
                <w:kern w:val="0"/>
                <w:sz w:val="24"/>
                <w:szCs w:val="24"/>
              </w:rPr>
              <w:t>1</w:t>
            </w:r>
            <w:r>
              <w:rPr>
                <w:rFonts w:ascii="Times New Roman" w:eastAsia="方正仿宋_GBK" w:hAnsi="Times New Roman" w:cs="Times New Roman"/>
                <w:color w:val="000000"/>
                <w:kern w:val="0"/>
                <w:sz w:val="24"/>
                <w:szCs w:val="24"/>
              </w:rPr>
              <w:t>家在渝国际服务外包企业或国内</w:t>
            </w:r>
            <w:r>
              <w:rPr>
                <w:rFonts w:ascii="Times New Roman" w:eastAsia="方正仿宋_GBK" w:hAnsi="Times New Roman" w:cs="Times New Roman"/>
                <w:color w:val="000000"/>
                <w:kern w:val="0"/>
                <w:sz w:val="24"/>
                <w:szCs w:val="24"/>
              </w:rPr>
              <w:t>100</w:t>
            </w:r>
            <w:r>
              <w:rPr>
                <w:rFonts w:ascii="Times New Roman" w:eastAsia="方正仿宋_GBK" w:hAnsi="Times New Roman" w:cs="Times New Roman"/>
                <w:color w:val="000000"/>
                <w:kern w:val="0"/>
                <w:sz w:val="24"/>
                <w:szCs w:val="24"/>
              </w:rPr>
              <w:t>强外包企业设立服务外包接发包中心和离岸交付中心，离岸外包执行额超过</w:t>
            </w:r>
            <w:r>
              <w:rPr>
                <w:rFonts w:ascii="Times New Roman" w:eastAsia="方正仿宋_GBK" w:hAnsi="Times New Roman" w:cs="Times New Roman"/>
                <w:color w:val="000000"/>
                <w:kern w:val="0"/>
                <w:sz w:val="24"/>
                <w:szCs w:val="24"/>
              </w:rPr>
              <w:t>0.5</w:t>
            </w:r>
            <w:r>
              <w:rPr>
                <w:rFonts w:ascii="Times New Roman" w:eastAsia="方正仿宋_GBK" w:hAnsi="Times New Roman" w:cs="Times New Roman"/>
                <w:color w:val="000000"/>
                <w:kern w:val="0"/>
                <w:sz w:val="24"/>
                <w:szCs w:val="24"/>
              </w:rPr>
              <w:t>亿美元。</w:t>
            </w:r>
          </w:p>
        </w:tc>
        <w:tc>
          <w:tcPr>
            <w:tcW w:w="1652"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改革发展局</w:t>
            </w:r>
          </w:p>
        </w:tc>
        <w:tc>
          <w:tcPr>
            <w:tcW w:w="1677"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招商公司、西永微电园公司</w:t>
            </w:r>
          </w:p>
        </w:tc>
      </w:tr>
      <w:tr w:rsidR="00B45913" w:rsidTr="00606164">
        <w:trPr>
          <w:trHeight w:val="1020"/>
          <w:jc w:val="center"/>
        </w:trPr>
        <w:tc>
          <w:tcPr>
            <w:tcW w:w="645" w:type="dxa"/>
            <w:noWrap/>
            <w:vAlign w:val="center"/>
          </w:tcPr>
          <w:p w:rsidR="00B45913" w:rsidRDefault="00B45913" w:rsidP="00606164">
            <w:pPr>
              <w:widowControl/>
              <w:adjustRightInd w:val="0"/>
              <w:snapToGrid w:val="0"/>
              <w:jc w:val="center"/>
              <w:textAlignment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w:t>
            </w:r>
          </w:p>
          <w:p w:rsidR="00B45913" w:rsidRDefault="00B45913" w:rsidP="00606164">
            <w:pPr>
              <w:pStyle w:val="Default"/>
              <w:snapToGrid w:val="0"/>
              <w:jc w:val="center"/>
              <w:rPr>
                <w:rFonts w:ascii="Times New Roman" w:eastAsia="方正仿宋_GBK" w:hAnsi="Times New Roman" w:cs="Times New Roman"/>
              </w:rPr>
            </w:pPr>
          </w:p>
        </w:tc>
        <w:tc>
          <w:tcPr>
            <w:tcW w:w="4984"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加快创建国家级制造业创新中心、产业创新中心和技术创新中心，引进高端研发机构</w:t>
            </w:r>
            <w:r>
              <w:rPr>
                <w:rFonts w:ascii="Times New Roman" w:eastAsia="方正仿宋_GBK" w:hAnsi="Times New Roman" w:cs="Times New Roman"/>
                <w:color w:val="000000"/>
                <w:kern w:val="0"/>
                <w:sz w:val="24"/>
                <w:szCs w:val="24"/>
              </w:rPr>
              <w:t>3</w:t>
            </w:r>
            <w:r>
              <w:rPr>
                <w:rFonts w:ascii="Times New Roman" w:eastAsia="方正仿宋_GBK" w:hAnsi="Times New Roman" w:cs="Times New Roman"/>
                <w:color w:val="000000"/>
                <w:kern w:val="0"/>
                <w:sz w:val="24"/>
                <w:szCs w:val="24"/>
              </w:rPr>
              <w:t>家，搭建检测检验服务平台</w:t>
            </w:r>
            <w:r>
              <w:rPr>
                <w:rFonts w:ascii="Times New Roman" w:eastAsia="方正仿宋_GBK" w:hAnsi="Times New Roman" w:cs="Times New Roman"/>
                <w:color w:val="000000"/>
                <w:kern w:val="0"/>
                <w:sz w:val="24"/>
                <w:szCs w:val="24"/>
              </w:rPr>
              <w:t>2</w:t>
            </w:r>
            <w:r>
              <w:rPr>
                <w:rFonts w:ascii="Times New Roman" w:eastAsia="方正仿宋_GBK" w:hAnsi="Times New Roman" w:cs="Times New Roman"/>
                <w:color w:val="000000"/>
                <w:kern w:val="0"/>
                <w:sz w:val="24"/>
                <w:szCs w:val="24"/>
              </w:rPr>
              <w:t>个。</w:t>
            </w:r>
          </w:p>
        </w:tc>
        <w:tc>
          <w:tcPr>
            <w:tcW w:w="1652"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改革发展局</w:t>
            </w:r>
          </w:p>
        </w:tc>
        <w:tc>
          <w:tcPr>
            <w:tcW w:w="1677"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科技创新局、创新服务中心、招商公司、西永微电园公司、</w:t>
            </w:r>
            <w:r>
              <w:rPr>
                <w:rFonts w:ascii="Times New Roman" w:eastAsia="方正仿宋_GBK" w:hAnsi="Times New Roman" w:cs="Times New Roman" w:hint="eastAsia"/>
                <w:color w:val="000000"/>
                <w:kern w:val="0"/>
                <w:sz w:val="24"/>
                <w:szCs w:val="24"/>
              </w:rPr>
              <w:t>高新开发集团</w:t>
            </w:r>
          </w:p>
        </w:tc>
      </w:tr>
      <w:tr w:rsidR="00B45913" w:rsidTr="00606164">
        <w:trPr>
          <w:trHeight w:val="1077"/>
          <w:jc w:val="center"/>
        </w:trPr>
        <w:tc>
          <w:tcPr>
            <w:tcW w:w="645" w:type="dxa"/>
            <w:noWrap/>
            <w:vAlign w:val="center"/>
          </w:tcPr>
          <w:p w:rsidR="00B45913" w:rsidRDefault="00B45913" w:rsidP="00606164">
            <w:pPr>
              <w:pStyle w:val="Default"/>
              <w:snapToGrid w:val="0"/>
              <w:jc w:val="center"/>
              <w:rPr>
                <w:rFonts w:ascii="Times New Roman" w:eastAsia="方正仿宋_GBK" w:hAnsi="Times New Roman" w:cs="Times New Roman"/>
              </w:rPr>
            </w:pPr>
            <w:r>
              <w:rPr>
                <w:rFonts w:ascii="Times New Roman" w:eastAsia="方正仿宋_GBK" w:hAnsi="Times New Roman" w:cs="Times New Roman"/>
              </w:rPr>
              <w:t>4</w:t>
            </w:r>
          </w:p>
        </w:tc>
        <w:tc>
          <w:tcPr>
            <w:tcW w:w="4984"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继续巩固和壮大知识流程外包（</w:t>
            </w:r>
            <w:r>
              <w:rPr>
                <w:rFonts w:ascii="Times New Roman" w:eastAsia="方正仿宋_GBK" w:hAnsi="Times New Roman" w:cs="Times New Roman"/>
                <w:color w:val="000000"/>
                <w:kern w:val="0"/>
                <w:sz w:val="24"/>
                <w:szCs w:val="24"/>
              </w:rPr>
              <w:t>KPO</w:t>
            </w:r>
            <w:r>
              <w:rPr>
                <w:rFonts w:ascii="Times New Roman" w:eastAsia="方正仿宋_GBK" w:hAnsi="Times New Roman" w:cs="Times New Roman"/>
                <w:color w:val="000000"/>
                <w:kern w:val="0"/>
                <w:sz w:val="24"/>
                <w:szCs w:val="24"/>
              </w:rPr>
              <w:t>）传统工业设计和工业研发业态；加快发展知识流程外包优势潜力领域，培育重点企业</w:t>
            </w:r>
            <w:r>
              <w:rPr>
                <w:rFonts w:ascii="Times New Roman" w:eastAsia="方正仿宋_GBK" w:hAnsi="Times New Roman" w:cs="Times New Roman"/>
                <w:color w:val="000000"/>
                <w:kern w:val="0"/>
                <w:sz w:val="24"/>
                <w:szCs w:val="24"/>
              </w:rPr>
              <w:t>3</w:t>
            </w:r>
            <w:r>
              <w:rPr>
                <w:rFonts w:ascii="Times New Roman" w:eastAsia="方正仿宋_GBK" w:hAnsi="Times New Roman" w:cs="Times New Roman"/>
                <w:color w:val="000000"/>
                <w:kern w:val="0"/>
                <w:sz w:val="24"/>
                <w:szCs w:val="24"/>
              </w:rPr>
              <w:t>家以上；争取知识流程外包产值达到</w:t>
            </w:r>
            <w:r>
              <w:rPr>
                <w:rFonts w:ascii="Times New Roman" w:eastAsia="方正仿宋_GBK" w:hAnsi="Times New Roman" w:cs="Times New Roman"/>
                <w:color w:val="000000"/>
                <w:kern w:val="0"/>
                <w:sz w:val="24"/>
                <w:szCs w:val="24"/>
              </w:rPr>
              <w:t>2</w:t>
            </w:r>
            <w:r>
              <w:rPr>
                <w:rFonts w:ascii="Times New Roman" w:eastAsia="方正仿宋_GBK" w:hAnsi="Times New Roman" w:cs="Times New Roman"/>
                <w:color w:val="000000"/>
                <w:kern w:val="0"/>
                <w:sz w:val="24"/>
                <w:szCs w:val="24"/>
              </w:rPr>
              <w:t>亿美元。</w:t>
            </w:r>
          </w:p>
        </w:tc>
        <w:tc>
          <w:tcPr>
            <w:tcW w:w="1652"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改革发展局</w:t>
            </w:r>
          </w:p>
        </w:tc>
        <w:tc>
          <w:tcPr>
            <w:tcW w:w="1677"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西永微电园公司、</w:t>
            </w:r>
            <w:r>
              <w:rPr>
                <w:rFonts w:ascii="Times New Roman" w:eastAsia="方正仿宋_GBK" w:hAnsi="Times New Roman" w:cs="Times New Roman" w:hint="eastAsia"/>
                <w:color w:val="000000"/>
                <w:kern w:val="0"/>
                <w:sz w:val="24"/>
                <w:szCs w:val="24"/>
              </w:rPr>
              <w:t>高新开发集团</w:t>
            </w:r>
            <w:bookmarkStart w:id="0" w:name="_GoBack"/>
            <w:bookmarkEnd w:id="0"/>
          </w:p>
        </w:tc>
      </w:tr>
      <w:tr w:rsidR="00B45913" w:rsidTr="00606164">
        <w:trPr>
          <w:trHeight w:val="779"/>
          <w:jc w:val="center"/>
        </w:trPr>
        <w:tc>
          <w:tcPr>
            <w:tcW w:w="645" w:type="dxa"/>
            <w:noWrap/>
            <w:vAlign w:val="center"/>
          </w:tcPr>
          <w:p w:rsidR="00B45913" w:rsidRDefault="00B45913" w:rsidP="00606164">
            <w:pPr>
              <w:pStyle w:val="Default"/>
              <w:snapToGrid w:val="0"/>
              <w:jc w:val="center"/>
              <w:rPr>
                <w:rFonts w:ascii="Times New Roman" w:eastAsia="方正仿宋_GBK" w:hAnsi="Times New Roman" w:cs="Times New Roman"/>
              </w:rPr>
            </w:pPr>
            <w:r>
              <w:rPr>
                <w:rFonts w:ascii="Times New Roman" w:eastAsia="方正仿宋_GBK" w:hAnsi="Times New Roman" w:cs="Times New Roman"/>
              </w:rPr>
              <w:t>5</w:t>
            </w:r>
          </w:p>
        </w:tc>
        <w:tc>
          <w:tcPr>
            <w:tcW w:w="4984"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引进和培育国际化大型软件企业</w:t>
            </w:r>
            <w:r>
              <w:rPr>
                <w:rFonts w:ascii="Times New Roman" w:eastAsia="方正仿宋_GBK" w:hAnsi="Times New Roman" w:cs="Times New Roman"/>
                <w:color w:val="000000"/>
                <w:kern w:val="0"/>
                <w:sz w:val="24"/>
                <w:szCs w:val="24"/>
              </w:rPr>
              <w:t>3</w:t>
            </w:r>
            <w:r>
              <w:rPr>
                <w:rFonts w:ascii="Times New Roman" w:eastAsia="方正仿宋_GBK" w:hAnsi="Times New Roman" w:cs="Times New Roman"/>
                <w:color w:val="000000"/>
                <w:kern w:val="0"/>
                <w:sz w:val="24"/>
                <w:szCs w:val="24"/>
              </w:rPr>
              <w:t>家，培育</w:t>
            </w:r>
            <w:r>
              <w:rPr>
                <w:rFonts w:ascii="Times New Roman" w:eastAsia="方正仿宋_GBK" w:hAnsi="Times New Roman" w:cs="Times New Roman"/>
                <w:color w:val="000000"/>
                <w:kern w:val="0"/>
                <w:sz w:val="24"/>
                <w:szCs w:val="24"/>
              </w:rPr>
              <w:t>1</w:t>
            </w:r>
            <w:r>
              <w:rPr>
                <w:rFonts w:ascii="Times New Roman" w:eastAsia="方正仿宋_GBK" w:hAnsi="Times New Roman" w:cs="Times New Roman"/>
                <w:color w:val="000000"/>
                <w:kern w:val="0"/>
                <w:sz w:val="24"/>
                <w:szCs w:val="24"/>
              </w:rPr>
              <w:t>家以上能够承接跨国公司大型外包业务的骨干企业。</w:t>
            </w:r>
          </w:p>
        </w:tc>
        <w:tc>
          <w:tcPr>
            <w:tcW w:w="1652"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改革发展局</w:t>
            </w:r>
          </w:p>
        </w:tc>
        <w:tc>
          <w:tcPr>
            <w:tcW w:w="1677"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招商公司</w:t>
            </w:r>
          </w:p>
        </w:tc>
      </w:tr>
      <w:tr w:rsidR="00B45913" w:rsidTr="00606164">
        <w:trPr>
          <w:trHeight w:val="1414"/>
          <w:jc w:val="center"/>
        </w:trPr>
        <w:tc>
          <w:tcPr>
            <w:tcW w:w="645" w:type="dxa"/>
            <w:noWrap/>
            <w:vAlign w:val="center"/>
          </w:tcPr>
          <w:p w:rsidR="00B45913" w:rsidRDefault="00B45913" w:rsidP="00606164">
            <w:pPr>
              <w:pStyle w:val="Default"/>
              <w:snapToGrid w:val="0"/>
              <w:jc w:val="center"/>
              <w:rPr>
                <w:rFonts w:ascii="Times New Roman" w:eastAsia="方正仿宋_GBK" w:hAnsi="Times New Roman" w:cs="Times New Roman"/>
              </w:rPr>
            </w:pPr>
            <w:r>
              <w:rPr>
                <w:rFonts w:ascii="Times New Roman" w:eastAsia="方正仿宋_GBK" w:hAnsi="Times New Roman" w:cs="Times New Roman"/>
              </w:rPr>
              <w:t>6</w:t>
            </w:r>
          </w:p>
        </w:tc>
        <w:tc>
          <w:tcPr>
            <w:tcW w:w="4984"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kern w:val="0"/>
                <w:sz w:val="24"/>
                <w:szCs w:val="24"/>
              </w:rPr>
              <w:t>以新兴技术为引领，大力发展数字服务外包，创建国家数字服务出口基地，发展数字企业超过</w:t>
            </w:r>
            <w:r>
              <w:rPr>
                <w:rFonts w:ascii="Times New Roman" w:eastAsia="方正仿宋_GBK" w:hAnsi="Times New Roman" w:cs="Times New Roman"/>
                <w:color w:val="000000"/>
                <w:kern w:val="0"/>
                <w:sz w:val="24"/>
                <w:szCs w:val="24"/>
              </w:rPr>
              <w:t>1</w:t>
            </w:r>
            <w:r>
              <w:rPr>
                <w:rFonts w:ascii="Times New Roman" w:eastAsia="方正仿宋_GBK" w:hAnsi="Times New Roman" w:cs="Times New Roman"/>
                <w:color w:val="000000"/>
                <w:kern w:val="0"/>
                <w:sz w:val="24"/>
                <w:szCs w:val="24"/>
              </w:rPr>
              <w:t>家，数字服务外包产值超过</w:t>
            </w:r>
            <w:r>
              <w:rPr>
                <w:rFonts w:ascii="Times New Roman" w:eastAsia="方正仿宋_GBK" w:hAnsi="Times New Roman" w:cs="Times New Roman"/>
                <w:color w:val="000000"/>
                <w:kern w:val="0"/>
                <w:sz w:val="24"/>
                <w:szCs w:val="24"/>
              </w:rPr>
              <w:t>0.5</w:t>
            </w:r>
            <w:r>
              <w:rPr>
                <w:rFonts w:ascii="Times New Roman" w:eastAsia="方正仿宋_GBK" w:hAnsi="Times New Roman" w:cs="Times New Roman"/>
                <w:color w:val="000000"/>
                <w:kern w:val="0"/>
                <w:sz w:val="24"/>
                <w:szCs w:val="24"/>
              </w:rPr>
              <w:t>亿美元。</w:t>
            </w:r>
          </w:p>
        </w:tc>
        <w:tc>
          <w:tcPr>
            <w:tcW w:w="1652"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改革发展局</w:t>
            </w:r>
          </w:p>
        </w:tc>
        <w:tc>
          <w:tcPr>
            <w:tcW w:w="1677"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sz w:val="24"/>
                <w:szCs w:val="24"/>
              </w:rPr>
            </w:pPr>
            <w:r>
              <w:rPr>
                <w:rFonts w:ascii="Times New Roman" w:eastAsia="方正仿宋_GBK" w:hAnsi="Times New Roman" w:cs="Times New Roman"/>
                <w:color w:val="000000"/>
                <w:kern w:val="0"/>
                <w:sz w:val="24"/>
                <w:szCs w:val="24"/>
              </w:rPr>
              <w:t>招商公司、西永微电园公司</w:t>
            </w:r>
          </w:p>
        </w:tc>
      </w:tr>
      <w:tr w:rsidR="00B45913" w:rsidTr="00606164">
        <w:trPr>
          <w:trHeight w:val="1459"/>
          <w:jc w:val="center"/>
        </w:trPr>
        <w:tc>
          <w:tcPr>
            <w:tcW w:w="645" w:type="dxa"/>
            <w:noWrap/>
            <w:vAlign w:val="center"/>
          </w:tcPr>
          <w:p w:rsidR="00B45913" w:rsidRDefault="00B45913" w:rsidP="00606164">
            <w:pPr>
              <w:pStyle w:val="Default"/>
              <w:snapToGrid w:val="0"/>
              <w:jc w:val="center"/>
              <w:rPr>
                <w:rFonts w:ascii="Times New Roman" w:eastAsia="方正仿宋_GBK" w:hAnsi="Times New Roman" w:cs="Times New Roman"/>
              </w:rPr>
            </w:pPr>
            <w:r>
              <w:rPr>
                <w:rFonts w:ascii="Times New Roman" w:eastAsia="方正仿宋_GBK" w:hAnsi="Times New Roman" w:cs="Times New Roman"/>
              </w:rPr>
              <w:lastRenderedPageBreak/>
              <w:t>7</w:t>
            </w:r>
          </w:p>
        </w:tc>
        <w:tc>
          <w:tcPr>
            <w:tcW w:w="4984"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spacing w:val="-4"/>
                <w:kern w:val="0"/>
                <w:sz w:val="24"/>
                <w:szCs w:val="24"/>
              </w:rPr>
            </w:pPr>
            <w:r>
              <w:rPr>
                <w:rFonts w:ascii="Times New Roman" w:eastAsia="方正仿宋_GBK" w:hAnsi="Times New Roman" w:cs="Times New Roman"/>
                <w:color w:val="000000"/>
                <w:spacing w:val="-4"/>
                <w:kern w:val="0"/>
                <w:sz w:val="24"/>
                <w:szCs w:val="24"/>
              </w:rPr>
              <w:t>培育新业态企业</w:t>
            </w:r>
            <w:r>
              <w:rPr>
                <w:rFonts w:ascii="Times New Roman" w:eastAsia="方正仿宋_GBK" w:hAnsi="Times New Roman" w:cs="Times New Roman"/>
                <w:color w:val="000000"/>
                <w:spacing w:val="-4"/>
                <w:kern w:val="0"/>
                <w:sz w:val="24"/>
                <w:szCs w:val="24"/>
              </w:rPr>
              <w:t>3</w:t>
            </w:r>
            <w:r>
              <w:rPr>
                <w:rFonts w:ascii="Times New Roman" w:eastAsia="方正仿宋_GBK" w:hAnsi="Times New Roman" w:cs="Times New Roman"/>
                <w:color w:val="000000"/>
                <w:spacing w:val="-4"/>
                <w:kern w:val="0"/>
                <w:sz w:val="24"/>
                <w:szCs w:val="24"/>
              </w:rPr>
              <w:t>家；引进和培育金融服务、人力资源、财务会计、法律流程等内部管理服务国际化企业</w:t>
            </w:r>
            <w:r>
              <w:rPr>
                <w:rFonts w:ascii="Times New Roman" w:eastAsia="方正仿宋_GBK" w:hAnsi="Times New Roman" w:cs="Times New Roman"/>
                <w:color w:val="000000"/>
                <w:spacing w:val="-4"/>
                <w:kern w:val="0"/>
                <w:sz w:val="24"/>
                <w:szCs w:val="24"/>
              </w:rPr>
              <w:t>3</w:t>
            </w:r>
            <w:r>
              <w:rPr>
                <w:rFonts w:ascii="Times New Roman" w:eastAsia="方正仿宋_GBK" w:hAnsi="Times New Roman" w:cs="Times New Roman"/>
                <w:color w:val="000000"/>
                <w:spacing w:val="-4"/>
                <w:kern w:val="0"/>
                <w:sz w:val="24"/>
                <w:szCs w:val="24"/>
              </w:rPr>
              <w:t>家。西永综保区积极发展和培育供应链外</w:t>
            </w:r>
            <w:r>
              <w:rPr>
                <w:rFonts w:ascii="Times New Roman" w:eastAsia="方正仿宋_GBK" w:hAnsi="Times New Roman" w:cs="Times New Roman"/>
                <w:color w:val="000000"/>
                <w:spacing w:val="-6"/>
                <w:kern w:val="0"/>
                <w:sz w:val="24"/>
                <w:szCs w:val="24"/>
              </w:rPr>
              <w:t>包和保税维修服务企业</w:t>
            </w:r>
            <w:r>
              <w:rPr>
                <w:rFonts w:ascii="Times New Roman" w:eastAsia="方正仿宋_GBK" w:hAnsi="Times New Roman" w:cs="Times New Roman"/>
                <w:color w:val="000000"/>
                <w:spacing w:val="-6"/>
                <w:kern w:val="0"/>
                <w:sz w:val="24"/>
                <w:szCs w:val="24"/>
              </w:rPr>
              <w:t>1</w:t>
            </w:r>
            <w:r>
              <w:rPr>
                <w:rFonts w:ascii="Times New Roman" w:eastAsia="方正仿宋_GBK" w:hAnsi="Times New Roman" w:cs="Times New Roman"/>
                <w:color w:val="000000"/>
                <w:spacing w:val="-6"/>
                <w:kern w:val="0"/>
                <w:sz w:val="24"/>
                <w:szCs w:val="24"/>
              </w:rPr>
              <w:t>家，产值超过</w:t>
            </w:r>
            <w:r>
              <w:rPr>
                <w:rFonts w:ascii="Times New Roman" w:eastAsia="方正仿宋_GBK" w:hAnsi="Times New Roman" w:cs="Times New Roman"/>
                <w:color w:val="000000"/>
                <w:spacing w:val="-6"/>
                <w:kern w:val="0"/>
                <w:sz w:val="24"/>
                <w:szCs w:val="24"/>
              </w:rPr>
              <w:t>0.5</w:t>
            </w:r>
            <w:r>
              <w:rPr>
                <w:rFonts w:ascii="Times New Roman" w:eastAsia="方正仿宋_GBK" w:hAnsi="Times New Roman" w:cs="Times New Roman"/>
                <w:color w:val="000000"/>
                <w:spacing w:val="-6"/>
                <w:kern w:val="0"/>
                <w:sz w:val="24"/>
                <w:szCs w:val="24"/>
              </w:rPr>
              <w:t>亿美元。</w:t>
            </w:r>
          </w:p>
        </w:tc>
        <w:tc>
          <w:tcPr>
            <w:tcW w:w="1652"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改革发展局</w:t>
            </w:r>
          </w:p>
        </w:tc>
        <w:tc>
          <w:tcPr>
            <w:tcW w:w="1677"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财政局、政务服务和社会事务中心、综合执法局、西永微电园公司</w:t>
            </w:r>
          </w:p>
        </w:tc>
      </w:tr>
      <w:tr w:rsidR="00B45913" w:rsidTr="00606164">
        <w:trPr>
          <w:trHeight w:val="277"/>
          <w:jc w:val="center"/>
        </w:trPr>
        <w:tc>
          <w:tcPr>
            <w:tcW w:w="645" w:type="dxa"/>
            <w:noWrap/>
            <w:vAlign w:val="center"/>
          </w:tcPr>
          <w:p w:rsidR="00B45913" w:rsidRDefault="00B45913" w:rsidP="00606164">
            <w:pPr>
              <w:pStyle w:val="Default"/>
              <w:snapToGrid w:val="0"/>
              <w:jc w:val="center"/>
              <w:rPr>
                <w:rFonts w:ascii="Times New Roman" w:eastAsia="方正仿宋_GBK" w:hAnsi="Times New Roman" w:cs="Times New Roman"/>
              </w:rPr>
            </w:pPr>
            <w:r>
              <w:rPr>
                <w:rFonts w:ascii="Times New Roman" w:eastAsia="方正仿宋_GBK" w:hAnsi="Times New Roman" w:cs="Times New Roman"/>
              </w:rPr>
              <w:t>8</w:t>
            </w:r>
          </w:p>
        </w:tc>
        <w:tc>
          <w:tcPr>
            <w:tcW w:w="4984"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积极组织企业参加京交会、上交会、数交会，参与</w:t>
            </w:r>
            <w:r>
              <w:rPr>
                <w:rFonts w:ascii="Times New Roman" w:eastAsia="方正仿宋_GBK" w:hAnsi="Times New Roman" w:cs="Times New Roman" w:hint="eastAsia"/>
                <w:color w:val="000000"/>
                <w:kern w:val="0"/>
                <w:sz w:val="24"/>
                <w:szCs w:val="24"/>
              </w:rPr>
              <w:t>“</w:t>
            </w:r>
            <w:r>
              <w:rPr>
                <w:rFonts w:ascii="Times New Roman" w:eastAsia="方正仿宋_GBK" w:hAnsi="Times New Roman" w:cs="Times New Roman"/>
                <w:color w:val="000000"/>
                <w:kern w:val="0"/>
                <w:sz w:val="24"/>
                <w:szCs w:val="24"/>
              </w:rPr>
              <w:t>西洽会</w:t>
            </w:r>
            <w:r>
              <w:rPr>
                <w:rFonts w:ascii="Times New Roman" w:eastAsia="方正仿宋_GBK" w:hAnsi="Times New Roman" w:cs="Times New Roman" w:hint="eastAsia"/>
                <w:color w:val="000000"/>
                <w:kern w:val="0"/>
                <w:sz w:val="24"/>
                <w:szCs w:val="24"/>
              </w:rPr>
              <w:t>”“</w:t>
            </w:r>
            <w:r>
              <w:rPr>
                <w:rFonts w:ascii="Times New Roman" w:eastAsia="方正仿宋_GBK" w:hAnsi="Times New Roman" w:cs="Times New Roman"/>
                <w:color w:val="000000"/>
                <w:kern w:val="0"/>
                <w:sz w:val="24"/>
                <w:szCs w:val="24"/>
              </w:rPr>
              <w:t>智博会</w:t>
            </w:r>
            <w:r>
              <w:rPr>
                <w:rFonts w:ascii="Times New Roman" w:eastAsia="方正仿宋_GBK" w:hAnsi="Times New Roman" w:cs="Times New Roman" w:hint="eastAsia"/>
                <w:color w:val="000000"/>
                <w:kern w:val="0"/>
                <w:sz w:val="24"/>
                <w:szCs w:val="24"/>
              </w:rPr>
              <w:t>”</w:t>
            </w:r>
            <w:r>
              <w:rPr>
                <w:rFonts w:ascii="Times New Roman" w:eastAsia="方正仿宋_GBK" w:hAnsi="Times New Roman" w:cs="Times New Roman"/>
                <w:color w:val="000000"/>
                <w:kern w:val="0"/>
                <w:sz w:val="24"/>
                <w:szCs w:val="24"/>
              </w:rPr>
              <w:t>策划的服务外包专场活动。</w:t>
            </w:r>
          </w:p>
        </w:tc>
        <w:tc>
          <w:tcPr>
            <w:tcW w:w="1652"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改革发展局</w:t>
            </w:r>
          </w:p>
        </w:tc>
        <w:tc>
          <w:tcPr>
            <w:tcW w:w="1677"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p>
        </w:tc>
      </w:tr>
      <w:tr w:rsidR="00B45913" w:rsidTr="00606164">
        <w:trPr>
          <w:trHeight w:val="90"/>
          <w:jc w:val="center"/>
        </w:trPr>
        <w:tc>
          <w:tcPr>
            <w:tcW w:w="645" w:type="dxa"/>
            <w:noWrap/>
            <w:vAlign w:val="center"/>
          </w:tcPr>
          <w:p w:rsidR="00B45913" w:rsidRDefault="00B45913" w:rsidP="00606164">
            <w:pPr>
              <w:widowControl/>
              <w:adjustRightInd w:val="0"/>
              <w:snapToGrid w:val="0"/>
              <w:jc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sz w:val="24"/>
                <w:szCs w:val="24"/>
              </w:rPr>
              <w:t>9</w:t>
            </w:r>
          </w:p>
        </w:tc>
        <w:tc>
          <w:tcPr>
            <w:tcW w:w="4984"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kern w:val="0"/>
                <w:sz w:val="24"/>
                <w:szCs w:val="24"/>
              </w:rPr>
              <w:t>推动外包企业参与国际援助或国际援建。</w:t>
            </w:r>
          </w:p>
        </w:tc>
        <w:tc>
          <w:tcPr>
            <w:tcW w:w="1652"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改革发展局</w:t>
            </w:r>
          </w:p>
        </w:tc>
        <w:tc>
          <w:tcPr>
            <w:tcW w:w="1677"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p>
        </w:tc>
      </w:tr>
      <w:tr w:rsidR="00B45913" w:rsidTr="00606164">
        <w:trPr>
          <w:trHeight w:val="454"/>
          <w:jc w:val="center"/>
        </w:trPr>
        <w:tc>
          <w:tcPr>
            <w:tcW w:w="645" w:type="dxa"/>
            <w:noWrap/>
            <w:vAlign w:val="center"/>
          </w:tcPr>
          <w:p w:rsidR="00B45913" w:rsidRDefault="00B45913" w:rsidP="00606164">
            <w:pPr>
              <w:widowControl/>
              <w:adjustRightInd w:val="0"/>
              <w:snapToGrid w:val="0"/>
              <w:jc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sz w:val="24"/>
                <w:szCs w:val="24"/>
              </w:rPr>
              <w:t>10</w:t>
            </w:r>
          </w:p>
        </w:tc>
        <w:tc>
          <w:tcPr>
            <w:tcW w:w="4984"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积极参与重庆市大学生创新创业大赛、优创优帮等实践活动，加大对服务外包创业项目的指导和帮扶力度。</w:t>
            </w:r>
          </w:p>
        </w:tc>
        <w:tc>
          <w:tcPr>
            <w:tcW w:w="1652"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创新服务中心</w:t>
            </w:r>
          </w:p>
        </w:tc>
        <w:tc>
          <w:tcPr>
            <w:tcW w:w="1677"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改革发展局</w:t>
            </w:r>
          </w:p>
        </w:tc>
      </w:tr>
      <w:tr w:rsidR="00B45913" w:rsidTr="00606164">
        <w:trPr>
          <w:trHeight w:val="90"/>
          <w:jc w:val="center"/>
        </w:trPr>
        <w:tc>
          <w:tcPr>
            <w:tcW w:w="645" w:type="dxa"/>
            <w:noWrap/>
            <w:vAlign w:val="center"/>
          </w:tcPr>
          <w:p w:rsidR="00B45913" w:rsidRDefault="00B45913" w:rsidP="00606164">
            <w:pPr>
              <w:widowControl/>
              <w:adjustRightInd w:val="0"/>
              <w:snapToGrid w:val="0"/>
              <w:jc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sz w:val="24"/>
                <w:szCs w:val="24"/>
              </w:rPr>
              <w:t>11</w:t>
            </w:r>
          </w:p>
        </w:tc>
        <w:tc>
          <w:tcPr>
            <w:tcW w:w="4984"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设立服务外包人才培育基地</w:t>
            </w:r>
            <w:r>
              <w:rPr>
                <w:rFonts w:ascii="Times New Roman" w:eastAsia="方正仿宋_GBK" w:hAnsi="Times New Roman" w:cs="Times New Roman"/>
                <w:color w:val="000000"/>
                <w:kern w:val="0"/>
                <w:sz w:val="24"/>
                <w:szCs w:val="24"/>
              </w:rPr>
              <w:t>1</w:t>
            </w:r>
            <w:r>
              <w:rPr>
                <w:rFonts w:ascii="Times New Roman" w:eastAsia="方正仿宋_GBK" w:hAnsi="Times New Roman" w:cs="Times New Roman"/>
                <w:color w:val="000000"/>
                <w:kern w:val="0"/>
                <w:sz w:val="24"/>
                <w:szCs w:val="24"/>
              </w:rPr>
              <w:t>家，服务外包人才实训基地</w:t>
            </w:r>
            <w:r>
              <w:rPr>
                <w:rFonts w:ascii="Times New Roman" w:eastAsia="方正仿宋_GBK" w:hAnsi="Times New Roman" w:cs="Times New Roman"/>
                <w:color w:val="000000"/>
                <w:kern w:val="0"/>
                <w:sz w:val="24"/>
                <w:szCs w:val="24"/>
              </w:rPr>
              <w:t>2</w:t>
            </w:r>
            <w:r>
              <w:rPr>
                <w:rFonts w:ascii="Times New Roman" w:eastAsia="方正仿宋_GBK" w:hAnsi="Times New Roman" w:cs="Times New Roman"/>
                <w:color w:val="000000"/>
                <w:kern w:val="0"/>
                <w:sz w:val="24"/>
                <w:szCs w:val="24"/>
              </w:rPr>
              <w:t>家。</w:t>
            </w:r>
          </w:p>
        </w:tc>
        <w:tc>
          <w:tcPr>
            <w:tcW w:w="1652"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公共服务局</w:t>
            </w:r>
          </w:p>
        </w:tc>
        <w:tc>
          <w:tcPr>
            <w:tcW w:w="1677"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改革发展局、政务服务和社会事务中心</w:t>
            </w:r>
          </w:p>
        </w:tc>
      </w:tr>
      <w:tr w:rsidR="00B45913" w:rsidTr="00606164">
        <w:trPr>
          <w:trHeight w:val="90"/>
          <w:jc w:val="center"/>
        </w:trPr>
        <w:tc>
          <w:tcPr>
            <w:tcW w:w="645" w:type="dxa"/>
            <w:noWrap/>
            <w:vAlign w:val="center"/>
          </w:tcPr>
          <w:p w:rsidR="00B45913" w:rsidRDefault="00B45913" w:rsidP="00606164">
            <w:pPr>
              <w:widowControl/>
              <w:adjustRightInd w:val="0"/>
              <w:snapToGrid w:val="0"/>
              <w:jc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sz w:val="24"/>
                <w:szCs w:val="24"/>
              </w:rPr>
              <w:t>12</w:t>
            </w:r>
          </w:p>
        </w:tc>
        <w:tc>
          <w:tcPr>
            <w:tcW w:w="4984"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加大服务外包高端人才引进力度。</w:t>
            </w:r>
          </w:p>
        </w:tc>
        <w:tc>
          <w:tcPr>
            <w:tcW w:w="1652"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政务服务和社会事务中心</w:t>
            </w:r>
          </w:p>
        </w:tc>
        <w:tc>
          <w:tcPr>
            <w:tcW w:w="1677"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改革发展局</w:t>
            </w:r>
          </w:p>
        </w:tc>
      </w:tr>
      <w:tr w:rsidR="00B45913" w:rsidTr="00606164">
        <w:trPr>
          <w:trHeight w:val="454"/>
          <w:jc w:val="center"/>
        </w:trPr>
        <w:tc>
          <w:tcPr>
            <w:tcW w:w="645" w:type="dxa"/>
            <w:noWrap/>
            <w:vAlign w:val="center"/>
          </w:tcPr>
          <w:p w:rsidR="00B45913" w:rsidRDefault="00B45913" w:rsidP="00606164">
            <w:pPr>
              <w:widowControl/>
              <w:adjustRightInd w:val="0"/>
              <w:snapToGrid w:val="0"/>
              <w:jc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sz w:val="24"/>
                <w:szCs w:val="24"/>
              </w:rPr>
              <w:t>13</w:t>
            </w:r>
          </w:p>
        </w:tc>
        <w:tc>
          <w:tcPr>
            <w:tcW w:w="4984"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sz w:val="24"/>
                <w:szCs w:val="24"/>
              </w:rPr>
              <w:t>建立服务外包统筹机制，实现产业发展联动和信息共享；统筹用好相关部门现有支持政策，精准解决服务外包企业发展的难点和痛点，充分调动企业发展服务外包积极性。</w:t>
            </w:r>
          </w:p>
        </w:tc>
        <w:tc>
          <w:tcPr>
            <w:tcW w:w="1652"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改革发展局</w:t>
            </w:r>
          </w:p>
        </w:tc>
        <w:tc>
          <w:tcPr>
            <w:tcW w:w="1677"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各相关部门</w:t>
            </w:r>
          </w:p>
        </w:tc>
      </w:tr>
      <w:tr w:rsidR="00B45913" w:rsidTr="00606164">
        <w:trPr>
          <w:trHeight w:val="454"/>
          <w:jc w:val="center"/>
        </w:trPr>
        <w:tc>
          <w:tcPr>
            <w:tcW w:w="645" w:type="dxa"/>
            <w:noWrap/>
            <w:vAlign w:val="center"/>
          </w:tcPr>
          <w:p w:rsidR="00B45913" w:rsidRDefault="00B45913" w:rsidP="00606164">
            <w:pPr>
              <w:widowControl/>
              <w:adjustRightInd w:val="0"/>
              <w:snapToGrid w:val="0"/>
              <w:jc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sz w:val="24"/>
                <w:szCs w:val="24"/>
              </w:rPr>
              <w:t>14</w:t>
            </w:r>
          </w:p>
        </w:tc>
        <w:tc>
          <w:tcPr>
            <w:tcW w:w="4984"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kern w:val="0"/>
                <w:sz w:val="24"/>
                <w:szCs w:val="24"/>
              </w:rPr>
              <w:t>力争成为市级服务外包示范区；将服务外包纳入</w:t>
            </w:r>
            <w:r>
              <w:rPr>
                <w:rFonts w:ascii="Times New Roman" w:eastAsia="方正仿宋_GBK" w:hAnsi="Times New Roman" w:cs="Times New Roman" w:hint="eastAsia"/>
                <w:color w:val="000000"/>
                <w:kern w:val="0"/>
                <w:sz w:val="24"/>
                <w:szCs w:val="24"/>
              </w:rPr>
              <w:t>“</w:t>
            </w:r>
            <w:r>
              <w:rPr>
                <w:rFonts w:ascii="Times New Roman" w:eastAsia="方正仿宋_GBK" w:hAnsi="Times New Roman" w:cs="Times New Roman"/>
                <w:color w:val="000000"/>
                <w:kern w:val="0"/>
                <w:sz w:val="24"/>
                <w:szCs w:val="24"/>
              </w:rPr>
              <w:t>十四五</w:t>
            </w:r>
            <w:r>
              <w:rPr>
                <w:rFonts w:ascii="Times New Roman" w:eastAsia="方正仿宋_GBK" w:hAnsi="Times New Roman" w:cs="Times New Roman" w:hint="eastAsia"/>
                <w:color w:val="000000"/>
                <w:kern w:val="0"/>
                <w:sz w:val="24"/>
                <w:szCs w:val="24"/>
              </w:rPr>
              <w:t>”</w:t>
            </w:r>
            <w:r>
              <w:rPr>
                <w:rFonts w:ascii="Times New Roman" w:eastAsia="方正仿宋_GBK" w:hAnsi="Times New Roman" w:cs="Times New Roman"/>
                <w:color w:val="000000"/>
                <w:kern w:val="0"/>
                <w:sz w:val="24"/>
                <w:szCs w:val="24"/>
              </w:rPr>
              <w:t>规划，明确发展目标</w:t>
            </w:r>
            <w:r>
              <w:rPr>
                <w:rFonts w:ascii="Times New Roman" w:eastAsia="方正仿宋_GBK" w:hAnsi="Times New Roman" w:cs="Times New Roman"/>
                <w:color w:val="000000"/>
                <w:spacing w:val="-2"/>
                <w:kern w:val="0"/>
                <w:sz w:val="24"/>
                <w:szCs w:val="24"/>
              </w:rPr>
              <w:t>和发展重点。</w:t>
            </w:r>
          </w:p>
        </w:tc>
        <w:tc>
          <w:tcPr>
            <w:tcW w:w="1652"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改革发展局</w:t>
            </w:r>
          </w:p>
        </w:tc>
        <w:tc>
          <w:tcPr>
            <w:tcW w:w="1677"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各相关部门</w:t>
            </w:r>
          </w:p>
        </w:tc>
      </w:tr>
      <w:tr w:rsidR="00B45913" w:rsidTr="00606164">
        <w:trPr>
          <w:trHeight w:val="454"/>
          <w:jc w:val="center"/>
        </w:trPr>
        <w:tc>
          <w:tcPr>
            <w:tcW w:w="645" w:type="dxa"/>
            <w:noWrap/>
            <w:vAlign w:val="center"/>
          </w:tcPr>
          <w:p w:rsidR="00B45913" w:rsidRDefault="00B45913" w:rsidP="00606164">
            <w:pPr>
              <w:widowControl/>
              <w:adjustRightInd w:val="0"/>
              <w:snapToGrid w:val="0"/>
              <w:jc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sz w:val="24"/>
                <w:szCs w:val="24"/>
              </w:rPr>
              <w:t>15</w:t>
            </w:r>
          </w:p>
        </w:tc>
        <w:tc>
          <w:tcPr>
            <w:tcW w:w="4984"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spacing w:val="-2"/>
                <w:kern w:val="0"/>
                <w:sz w:val="24"/>
                <w:szCs w:val="24"/>
              </w:rPr>
              <w:t>充分发挥西永综保区政策功能优势，提升服</w:t>
            </w:r>
            <w:r>
              <w:rPr>
                <w:rFonts w:ascii="Times New Roman" w:eastAsia="方正仿宋_GBK" w:hAnsi="Times New Roman" w:cs="Times New Roman"/>
                <w:color w:val="000000"/>
                <w:kern w:val="0"/>
                <w:sz w:val="24"/>
                <w:szCs w:val="24"/>
              </w:rPr>
              <w:t>务外包产品通关便利化水平，加强对外包企业</w:t>
            </w:r>
            <w:r>
              <w:rPr>
                <w:rFonts w:ascii="Times New Roman" w:eastAsia="方正仿宋_GBK" w:hAnsi="Times New Roman" w:cs="Times New Roman"/>
                <w:color w:val="000000"/>
                <w:kern w:val="0"/>
                <w:sz w:val="24"/>
                <w:szCs w:val="24"/>
              </w:rPr>
              <w:t>AEO</w:t>
            </w:r>
            <w:r>
              <w:rPr>
                <w:rFonts w:ascii="Times New Roman" w:eastAsia="方正仿宋_GBK" w:hAnsi="Times New Roman" w:cs="Times New Roman"/>
                <w:color w:val="000000"/>
                <w:kern w:val="0"/>
                <w:sz w:val="24"/>
                <w:szCs w:val="24"/>
              </w:rPr>
              <w:t>认证的辅导和培育。完善</w:t>
            </w:r>
            <w:r>
              <w:rPr>
                <w:rFonts w:ascii="Times New Roman" w:eastAsia="方正仿宋_GBK" w:hAnsi="Times New Roman" w:cs="Times New Roman" w:hint="eastAsia"/>
                <w:color w:val="000000"/>
                <w:kern w:val="0"/>
                <w:sz w:val="24"/>
                <w:szCs w:val="24"/>
              </w:rPr>
              <w:t>“</w:t>
            </w:r>
            <w:r>
              <w:rPr>
                <w:rFonts w:ascii="Times New Roman" w:eastAsia="方正仿宋_GBK" w:hAnsi="Times New Roman" w:cs="Times New Roman"/>
                <w:color w:val="000000"/>
                <w:kern w:val="0"/>
                <w:sz w:val="24"/>
                <w:szCs w:val="24"/>
              </w:rPr>
              <w:t>两头在外</w:t>
            </w:r>
            <w:r>
              <w:rPr>
                <w:rFonts w:ascii="Times New Roman" w:eastAsia="方正仿宋_GBK" w:hAnsi="Times New Roman" w:cs="Times New Roman" w:hint="eastAsia"/>
                <w:color w:val="000000"/>
                <w:kern w:val="0"/>
                <w:sz w:val="24"/>
                <w:szCs w:val="24"/>
              </w:rPr>
              <w:t>”</w:t>
            </w:r>
            <w:r>
              <w:rPr>
                <w:rFonts w:ascii="Times New Roman" w:eastAsia="方正仿宋_GBK" w:hAnsi="Times New Roman" w:cs="Times New Roman"/>
                <w:color w:val="000000"/>
                <w:kern w:val="0"/>
                <w:sz w:val="24"/>
                <w:szCs w:val="24"/>
              </w:rPr>
              <w:t>的研发、设计、检测、维修等服务业态所需进口料件试点保税监管。</w:t>
            </w:r>
          </w:p>
        </w:tc>
        <w:tc>
          <w:tcPr>
            <w:tcW w:w="1652"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改革发展局</w:t>
            </w:r>
          </w:p>
        </w:tc>
        <w:tc>
          <w:tcPr>
            <w:tcW w:w="1677" w:type="dxa"/>
            <w:noWrap/>
            <w:vAlign w:val="center"/>
          </w:tcPr>
          <w:p w:rsidR="00B45913" w:rsidRDefault="00B45913" w:rsidP="00606164">
            <w:pPr>
              <w:widowControl/>
              <w:adjustRightInd w:val="0"/>
              <w:snapToGrid w:val="0"/>
              <w:textAlignment w:val="center"/>
              <w:rPr>
                <w:rFonts w:ascii="Times New Roman" w:eastAsia="方正仿宋_GBK" w:hAnsi="Times New Roman" w:cs="Times New Roman"/>
                <w:color w:val="000000"/>
                <w:kern w:val="0"/>
                <w:sz w:val="24"/>
                <w:szCs w:val="24"/>
              </w:rPr>
            </w:pPr>
            <w:r>
              <w:rPr>
                <w:rFonts w:ascii="Times New Roman" w:eastAsia="方正仿宋_GBK" w:hAnsi="Times New Roman" w:cs="Times New Roman"/>
                <w:color w:val="000000"/>
                <w:kern w:val="0"/>
                <w:sz w:val="24"/>
                <w:szCs w:val="24"/>
              </w:rPr>
              <w:t>西永微电园公司、西永海关</w:t>
            </w:r>
          </w:p>
        </w:tc>
      </w:tr>
    </w:tbl>
    <w:p w:rsidR="00CF17F9" w:rsidRDefault="00CF17F9"/>
    <w:sectPr w:rsidR="00CF17F9" w:rsidSect="00CF17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方正黑体_GBK">
    <w:altName w:val="微软雅黑"/>
    <w:charset w:val="86"/>
    <w:family w:val="script"/>
    <w:pitch w:val="default"/>
    <w:sig w:usb0="00000000" w:usb1="080E0000" w:usb2="00000000" w:usb3="00000000" w:csb0="00040000" w:csb1="00000000"/>
  </w:font>
  <w:font w:name="方正小标宋_GBK">
    <w:altName w:val="微软雅黑"/>
    <w:charset w:val="86"/>
    <w:family w:val="script"/>
    <w:pitch w:val="default"/>
    <w:sig w:usb0="00000000" w:usb1="080E0000" w:usb2="00000000" w:usb3="00000000" w:csb0="00040000" w:csb1="00000000"/>
  </w:font>
  <w:font w:name="方正仿宋_GBK">
    <w:panose1 w:val="02000000000000000000"/>
    <w:charset w:val="86"/>
    <w:family w:val="auto"/>
    <w:pitch w:val="variable"/>
    <w:sig w:usb0="A00002BF" w:usb1="38CF7CFA" w:usb2="00082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5913"/>
    <w:rsid w:val="00B45913"/>
    <w:rsid w:val="00CF17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45913"/>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qFormat/>
    <w:rsid w:val="00B45913"/>
    <w:pPr>
      <w:spacing w:before="240" w:after="60"/>
      <w:jc w:val="center"/>
      <w:outlineLvl w:val="0"/>
    </w:pPr>
    <w:rPr>
      <w:rFonts w:ascii="Cambria" w:eastAsia="宋体" w:hAnsi="Cambria" w:cs="Times New Roman"/>
      <w:b/>
      <w:bCs/>
      <w:szCs w:val="32"/>
    </w:rPr>
  </w:style>
  <w:style w:type="character" w:customStyle="1" w:styleId="Char">
    <w:name w:val="标题 Char"/>
    <w:basedOn w:val="a1"/>
    <w:link w:val="a0"/>
    <w:rsid w:val="00B45913"/>
    <w:rPr>
      <w:rFonts w:ascii="Cambria" w:eastAsia="宋体" w:hAnsi="Cambria" w:cs="Times New Roman"/>
      <w:b/>
      <w:bCs/>
      <w:szCs w:val="32"/>
    </w:rPr>
  </w:style>
  <w:style w:type="paragraph" w:customStyle="1" w:styleId="Default">
    <w:name w:val="Default"/>
    <w:next w:val="a"/>
    <w:uiPriority w:val="99"/>
    <w:qFormat/>
    <w:rsid w:val="00B45913"/>
    <w:pPr>
      <w:widowControl w:val="0"/>
      <w:autoSpaceDE w:val="0"/>
      <w:autoSpaceDN w:val="0"/>
      <w:adjustRightInd w:val="0"/>
    </w:pPr>
    <w:rPr>
      <w:rFonts w:ascii="仿宋_GB2312" w:eastAsia="仿宋_GB2312" w:hAnsi="Calibri" w:cs="仿宋_GB2312"/>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2021-04-27T03:51:00Z</dcterms:created>
  <dcterms:modified xsi:type="dcterms:W3CDTF">2021-04-27T03:52:00Z</dcterms:modified>
</cp:coreProperties>
</file>