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重庆高新区改革发展局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关于重庆高新区</w:t>
      </w:r>
      <w:r>
        <w:rPr>
          <w:rFonts w:hint="eastAsia" w:ascii="Times New Roman" w:hAnsi="Times New Roman" w:eastAsia="方正小标宋_GBK" w:cs="方正小标宋_GBK"/>
          <w:i w:val="0"/>
          <w:iCs w:val="0"/>
          <w:caps w:val="0"/>
          <w:color w:val="333333"/>
          <w:spacing w:val="0"/>
          <w:sz w:val="44"/>
          <w:szCs w:val="44"/>
          <w:shd w:val="clear" w:fill="FFFFFF"/>
        </w:rPr>
        <w:t>202</w:t>
      </w:r>
      <w:r>
        <w:rPr>
          <w:rFonts w:hint="eastAsia" w:ascii="Times New Roman" w:hAnsi="Times New Roman" w:eastAsia="方正小标宋_GBK" w:cs="方正小标宋_GBK"/>
          <w:i w:val="0"/>
          <w:iCs w:val="0"/>
          <w:caps w:val="0"/>
          <w:color w:val="333333"/>
          <w:spacing w:val="0"/>
          <w:sz w:val="44"/>
          <w:szCs w:val="44"/>
          <w:shd w:val="clear" w:fill="FFFFFF"/>
          <w:lang w:val="en-US" w:eastAsia="zh-CN"/>
        </w:rPr>
        <w:t>4</w:t>
      </w:r>
      <w:r>
        <w:rPr>
          <w:rFonts w:hint="eastAsia" w:ascii="方正小标宋_GBK" w:hAnsi="方正小标宋_GBK" w:eastAsia="方正小标宋_GBK" w:cs="方正小标宋_GBK"/>
          <w:i w:val="0"/>
          <w:iCs w:val="0"/>
          <w:caps w:val="0"/>
          <w:color w:val="333333"/>
          <w:spacing w:val="0"/>
          <w:sz w:val="44"/>
          <w:szCs w:val="44"/>
          <w:shd w:val="clear" w:fill="FFFFFF"/>
        </w:rPr>
        <w:t>年</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度财政衔接推进乡村振兴补助资金项目实施计划完成情况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的公告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i w:val="0"/>
          <w:iCs w:val="0"/>
          <w:caps w:val="0"/>
          <w:color w:val="333333"/>
          <w:spacing w:val="0"/>
          <w:sz w:val="32"/>
          <w:szCs w:val="32"/>
          <w:shd w:val="clear" w:fill="FFFFFF"/>
        </w:rPr>
      </w:pPr>
    </w:p>
    <w:p>
      <w:pPr>
        <w:spacing w:line="600" w:lineRule="exact"/>
        <w:ind w:firstLine="640" w:firstLineChars="200"/>
        <w:rPr>
          <w:rFonts w:hint="eastAsia" w:ascii="Times New Roman" w:hAnsi="Times New Roman" w:eastAsia="方正仿宋_GBK" w:cs="Times New Roman"/>
          <w:kern w:val="1"/>
          <w:sz w:val="32"/>
          <w:szCs w:val="32"/>
        </w:rPr>
      </w:pPr>
      <w:r>
        <w:rPr>
          <w:rFonts w:hint="eastAsia" w:ascii="Times New Roman" w:hAnsi="Times New Roman" w:eastAsia="方正仿宋_GBK" w:cs="Times New Roman"/>
          <w:kern w:val="1"/>
          <w:sz w:val="32"/>
          <w:szCs w:val="32"/>
          <w:lang w:val="en-US" w:eastAsia="zh-CN"/>
        </w:rPr>
        <w:t>按照</w:t>
      </w:r>
      <w:r>
        <w:rPr>
          <w:rFonts w:hint="eastAsia" w:ascii="Times New Roman" w:hAnsi="Times New Roman" w:eastAsia="方正仿宋_GBK" w:cs="Times New Roman"/>
          <w:kern w:val="1"/>
          <w:sz w:val="32"/>
          <w:szCs w:val="32"/>
        </w:rPr>
        <w:t>《中共重庆市委农村工作暨实施乡村振兴战略领导小组办公室关于加强财政衔接推进乡村振兴补助资金项目公告公示的通知》（渝委农办〔2023〕31号）文件要求，现将《重庆高新区202</w:t>
      </w:r>
      <w:r>
        <w:rPr>
          <w:rFonts w:hint="eastAsia" w:ascii="Times New Roman" w:hAnsi="Times New Roman" w:eastAsia="方正仿宋_GBK" w:cs="Times New Roman"/>
          <w:kern w:val="1"/>
          <w:sz w:val="32"/>
          <w:szCs w:val="32"/>
          <w:lang w:val="en-US" w:eastAsia="zh-CN"/>
        </w:rPr>
        <w:t>4</w:t>
      </w:r>
      <w:r>
        <w:rPr>
          <w:rFonts w:hint="eastAsia" w:ascii="Times New Roman" w:hAnsi="Times New Roman" w:eastAsia="方正仿宋_GBK" w:cs="Times New Roman"/>
          <w:kern w:val="1"/>
          <w:sz w:val="32"/>
          <w:szCs w:val="32"/>
        </w:rPr>
        <w:t>年</w:t>
      </w:r>
      <w:r>
        <w:rPr>
          <w:rFonts w:hint="eastAsia" w:ascii="Times New Roman" w:hAnsi="Times New Roman" w:eastAsia="方正仿宋_GBK" w:cs="Times New Roman"/>
          <w:kern w:val="1"/>
          <w:sz w:val="32"/>
          <w:szCs w:val="32"/>
          <w:lang w:val="en-US" w:eastAsia="zh-CN"/>
        </w:rPr>
        <w:t>度财政衔接推进乡村振兴补助资金项目实施计划完成情况表</w:t>
      </w:r>
      <w:r>
        <w:rPr>
          <w:rFonts w:hint="eastAsia" w:ascii="Times New Roman" w:hAnsi="Times New Roman" w:eastAsia="方正仿宋_GBK" w:cs="Times New Roman"/>
          <w:kern w:val="1"/>
          <w:sz w:val="32"/>
          <w:szCs w:val="32"/>
        </w:rPr>
        <w:t>》予以公告，公告时间自202</w:t>
      </w:r>
      <w:r>
        <w:rPr>
          <w:rFonts w:hint="eastAsia" w:ascii="Times New Roman" w:hAnsi="Times New Roman" w:eastAsia="方正仿宋_GBK" w:cs="Times New Roman"/>
          <w:kern w:val="1"/>
          <w:sz w:val="32"/>
          <w:szCs w:val="32"/>
          <w:lang w:val="en-US" w:eastAsia="zh-CN"/>
        </w:rPr>
        <w:t>4</w:t>
      </w:r>
      <w:r>
        <w:rPr>
          <w:rFonts w:hint="eastAsia" w:ascii="Times New Roman" w:hAnsi="Times New Roman" w:eastAsia="方正仿宋_GBK" w:cs="Times New Roman"/>
          <w:kern w:val="1"/>
          <w:sz w:val="32"/>
          <w:szCs w:val="32"/>
        </w:rPr>
        <w:t>年12月</w:t>
      </w:r>
      <w:r>
        <w:rPr>
          <w:rFonts w:hint="eastAsia" w:ascii="Times New Roman" w:hAnsi="Times New Roman" w:eastAsia="方正仿宋_GBK" w:cs="Times New Roman"/>
          <w:kern w:val="1"/>
          <w:sz w:val="32"/>
          <w:szCs w:val="32"/>
          <w:lang w:val="en-US" w:eastAsia="zh-CN"/>
        </w:rPr>
        <w:t>31</w:t>
      </w:r>
      <w:r>
        <w:rPr>
          <w:rFonts w:hint="eastAsia" w:ascii="Times New Roman" w:hAnsi="Times New Roman" w:eastAsia="方正仿宋_GBK" w:cs="Times New Roman"/>
          <w:kern w:val="1"/>
          <w:sz w:val="32"/>
          <w:szCs w:val="32"/>
        </w:rPr>
        <w:t>日起并长期有效。</w:t>
      </w:r>
    </w:p>
    <w:p>
      <w:pPr>
        <w:spacing w:line="600" w:lineRule="exact"/>
        <w:ind w:firstLine="640" w:firstLineChars="200"/>
        <w:rPr>
          <w:rFonts w:hint="eastAsia" w:ascii="Times New Roman" w:hAnsi="Times New Roman" w:eastAsia="方正仿宋_GBK" w:cs="Times New Roman"/>
          <w:kern w:val="1"/>
          <w:sz w:val="32"/>
          <w:szCs w:val="32"/>
          <w:lang w:eastAsia="zh-CN"/>
        </w:rPr>
      </w:pPr>
      <w:r>
        <w:rPr>
          <w:rFonts w:hint="eastAsia" w:ascii="Times New Roman" w:hAnsi="Times New Roman" w:eastAsia="方正仿宋_GBK" w:cs="Times New Roman"/>
          <w:kern w:val="1"/>
          <w:sz w:val="32"/>
          <w:szCs w:val="32"/>
        </w:rPr>
        <w:t>监督电话</w:t>
      </w:r>
      <w:r>
        <w:rPr>
          <w:rFonts w:hint="eastAsia" w:ascii="Times New Roman" w:hAnsi="Times New Roman" w:eastAsia="方正仿宋_GBK" w:cs="Times New Roman"/>
          <w:kern w:val="1"/>
          <w:sz w:val="32"/>
          <w:szCs w:val="32"/>
          <w:lang w:eastAsia="zh-CN"/>
        </w:rPr>
        <w:t>：</w:t>
      </w:r>
    </w:p>
    <w:p>
      <w:pPr>
        <w:spacing w:line="600" w:lineRule="exact"/>
        <w:ind w:firstLine="640" w:firstLineChars="200"/>
        <w:rPr>
          <w:rFonts w:hint="eastAsia" w:ascii="Times New Roman" w:hAnsi="Times New Roman" w:eastAsia="方正仿宋_GBK" w:cs="Times New Roman"/>
          <w:kern w:val="1"/>
          <w:sz w:val="32"/>
          <w:szCs w:val="32"/>
        </w:rPr>
      </w:pPr>
      <w:r>
        <w:rPr>
          <w:rFonts w:hint="eastAsia" w:ascii="Times New Roman" w:hAnsi="Times New Roman" w:eastAsia="方正仿宋_GBK" w:cs="Times New Roman"/>
          <w:kern w:val="1"/>
          <w:sz w:val="32"/>
          <w:szCs w:val="32"/>
        </w:rPr>
        <w:t>改革发展局023-68605368；纪工</w:t>
      </w:r>
      <w:r>
        <w:rPr>
          <w:rFonts w:hint="eastAsia" w:ascii="Times New Roman" w:hAnsi="Times New Roman" w:eastAsia="方正仿宋_GBK" w:cs="Times New Roman"/>
          <w:kern w:val="1"/>
          <w:sz w:val="32"/>
          <w:szCs w:val="32"/>
          <w:lang w:val="en-US" w:eastAsia="zh-CN"/>
        </w:rPr>
        <w:t>委</w:t>
      </w:r>
      <w:r>
        <w:rPr>
          <w:rFonts w:hint="eastAsia" w:ascii="Times New Roman" w:hAnsi="Times New Roman" w:eastAsia="方正仿宋_GBK" w:cs="Times New Roman"/>
          <w:kern w:val="1"/>
          <w:sz w:val="32"/>
          <w:szCs w:val="32"/>
        </w:rPr>
        <w:t>023-68630051；政务服务便民热线12345。</w:t>
      </w:r>
    </w:p>
    <w:p>
      <w:pPr>
        <w:spacing w:line="600" w:lineRule="exact"/>
        <w:ind w:firstLine="640" w:firstLineChars="200"/>
        <w:rPr>
          <w:rFonts w:hint="eastAsia" w:ascii="Times New Roman" w:hAnsi="Times New Roman" w:eastAsia="方正仿宋_GBK" w:cs="Times New Roman"/>
          <w:kern w:val="1"/>
          <w:sz w:val="32"/>
          <w:szCs w:val="32"/>
        </w:rPr>
      </w:pPr>
    </w:p>
    <w:p>
      <w:pPr>
        <w:spacing w:line="600" w:lineRule="exact"/>
        <w:ind w:left="1598" w:leftChars="304" w:hanging="960" w:hangingChars="300"/>
        <w:rPr>
          <w:rFonts w:hint="default" w:ascii="Times New Roman" w:hAnsi="Times New Roman" w:eastAsia="方正仿宋_GBK" w:cs="Times New Roman"/>
          <w:kern w:val="1"/>
          <w:sz w:val="32"/>
          <w:szCs w:val="32"/>
          <w:lang w:val="en-US"/>
        </w:rPr>
      </w:pPr>
      <w:r>
        <w:rPr>
          <w:rFonts w:hint="eastAsia" w:ascii="Times New Roman" w:hAnsi="Times New Roman" w:eastAsia="方正仿宋_GBK" w:cs="Times New Roman"/>
          <w:kern w:val="1"/>
          <w:sz w:val="32"/>
          <w:szCs w:val="32"/>
        </w:rPr>
        <w:t>附件：重庆高新区202</w:t>
      </w:r>
      <w:r>
        <w:rPr>
          <w:rFonts w:hint="eastAsia" w:ascii="Times New Roman" w:hAnsi="Times New Roman" w:eastAsia="方正仿宋_GBK" w:cs="Times New Roman"/>
          <w:kern w:val="1"/>
          <w:sz w:val="32"/>
          <w:szCs w:val="32"/>
          <w:lang w:val="en-US" w:eastAsia="zh-CN"/>
        </w:rPr>
        <w:t>4</w:t>
      </w:r>
      <w:r>
        <w:rPr>
          <w:rFonts w:hint="eastAsia" w:ascii="Times New Roman" w:hAnsi="Times New Roman" w:eastAsia="方正仿宋_GBK" w:cs="Times New Roman"/>
          <w:kern w:val="1"/>
          <w:sz w:val="32"/>
          <w:szCs w:val="32"/>
        </w:rPr>
        <w:t>年</w:t>
      </w:r>
      <w:r>
        <w:rPr>
          <w:rFonts w:hint="eastAsia" w:ascii="Times New Roman" w:hAnsi="Times New Roman" w:eastAsia="方正仿宋_GBK" w:cs="Times New Roman"/>
          <w:kern w:val="1"/>
          <w:sz w:val="32"/>
          <w:szCs w:val="32"/>
          <w:lang w:val="en-US" w:eastAsia="zh-CN"/>
        </w:rPr>
        <w:t>度财政衔接推进乡村振兴补助资金项目实施计划完成情况表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right"/>
        <w:textAlignment w:val="baseline"/>
        <w:rPr>
          <w:rFonts w:hint="eastAsia" w:ascii="方正仿宋_GBK" w:hAnsi="方正仿宋_GBK" w:eastAsia="方正仿宋_GBK" w:cs="方正仿宋_GBK"/>
          <w:i w:val="0"/>
          <w:iCs w:val="0"/>
          <w:caps w:val="0"/>
          <w:color w:val="666666"/>
          <w:spacing w:val="0"/>
          <w:sz w:val="32"/>
          <w:szCs w:val="32"/>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right"/>
        <w:textAlignment w:val="baseline"/>
        <w:rPr>
          <w:rFonts w:hint="eastAsia" w:ascii="方正仿宋_GBK" w:hAnsi="方正仿宋_GBK" w:eastAsia="方正仿宋_GBK" w:cs="方正仿宋_GBK"/>
          <w:i w:val="0"/>
          <w:iCs w:val="0"/>
          <w:caps w:val="0"/>
          <w:color w:val="666666"/>
          <w:spacing w:val="0"/>
          <w:sz w:val="32"/>
          <w:szCs w:val="32"/>
          <w:shd w:val="clear" w:fill="FFFFFF"/>
          <w:vertAlign w:val="baseline"/>
        </w:rPr>
      </w:pPr>
    </w:p>
    <w:p>
      <w:pPr>
        <w:spacing w:line="600" w:lineRule="exact"/>
        <w:ind w:left="1596" w:leftChars="760" w:firstLine="3840" w:firstLineChars="1200"/>
        <w:rPr>
          <w:rFonts w:hint="eastAsia" w:ascii="Times New Roman" w:hAnsi="Times New Roman" w:eastAsia="方正仿宋_GBK" w:cs="Times New Roman"/>
          <w:kern w:val="1"/>
          <w:sz w:val="32"/>
          <w:szCs w:val="32"/>
        </w:rPr>
      </w:pPr>
      <w:r>
        <w:rPr>
          <w:rFonts w:hint="eastAsia" w:ascii="Times New Roman" w:hAnsi="Times New Roman" w:eastAsia="方正仿宋_GBK" w:cs="Times New Roman"/>
          <w:kern w:val="1"/>
          <w:sz w:val="32"/>
          <w:szCs w:val="32"/>
        </w:rPr>
        <w:t>重庆高新区改革发展局</w:t>
      </w:r>
    </w:p>
    <w:p>
      <w:pPr>
        <w:spacing w:line="600" w:lineRule="exact"/>
        <w:ind w:left="1598" w:leftChars="304" w:hanging="960" w:hangingChars="300"/>
        <w:rPr>
          <w:rFonts w:hint="eastAsia" w:ascii="Times New Roman" w:hAnsi="Times New Roman" w:eastAsia="方正仿宋_GBK" w:cs="Times New Roman"/>
          <w:kern w:val="1"/>
          <w:sz w:val="32"/>
          <w:szCs w:val="32"/>
        </w:rPr>
        <w:sectPr>
          <w:footerReference r:id="rId3" w:type="default"/>
          <w:pgSz w:w="11906" w:h="16838"/>
          <w:pgMar w:top="2098" w:right="1531" w:bottom="1984" w:left="1531" w:header="851" w:footer="992" w:gutter="0"/>
          <w:pgNumType w:fmt="decimal"/>
          <w:cols w:space="425" w:num="1"/>
          <w:docGrid w:type="lines" w:linePitch="312" w:charSpace="0"/>
        </w:sectPr>
      </w:pPr>
      <w:r>
        <w:rPr>
          <w:rFonts w:hint="eastAsia" w:ascii="Times New Roman" w:hAnsi="Times New Roman" w:eastAsia="方正仿宋_GBK" w:cs="Times New Roman"/>
          <w:kern w:val="1"/>
          <w:sz w:val="32"/>
          <w:szCs w:val="32"/>
          <w:lang w:val="en-US" w:eastAsia="zh-CN"/>
        </w:rPr>
        <w:t xml:space="preserve">                                 </w:t>
      </w:r>
      <w:r>
        <w:rPr>
          <w:rFonts w:hint="eastAsia" w:ascii="Times New Roman" w:hAnsi="Times New Roman" w:eastAsia="方正仿宋_GBK" w:cs="Times New Roman"/>
          <w:kern w:val="1"/>
          <w:sz w:val="32"/>
          <w:szCs w:val="32"/>
        </w:rPr>
        <w:t>202</w:t>
      </w:r>
      <w:r>
        <w:rPr>
          <w:rFonts w:hint="eastAsia" w:ascii="Times New Roman" w:hAnsi="Times New Roman" w:eastAsia="方正仿宋_GBK" w:cs="Times New Roman"/>
          <w:kern w:val="1"/>
          <w:sz w:val="32"/>
          <w:szCs w:val="32"/>
          <w:lang w:val="en-US" w:eastAsia="zh-CN"/>
        </w:rPr>
        <w:t>4</w:t>
      </w:r>
      <w:r>
        <w:rPr>
          <w:rFonts w:hint="eastAsia" w:ascii="Times New Roman" w:hAnsi="Times New Roman" w:eastAsia="方正仿宋_GBK" w:cs="Times New Roman"/>
          <w:kern w:val="1"/>
          <w:sz w:val="32"/>
          <w:szCs w:val="32"/>
        </w:rPr>
        <w:t>年12月</w:t>
      </w:r>
      <w:r>
        <w:rPr>
          <w:rFonts w:hint="eastAsia" w:ascii="Times New Roman" w:hAnsi="Times New Roman" w:eastAsia="方正仿宋_GBK" w:cs="Times New Roman"/>
          <w:kern w:val="1"/>
          <w:sz w:val="32"/>
          <w:szCs w:val="32"/>
          <w:lang w:val="en-US" w:eastAsia="zh-CN"/>
        </w:rPr>
        <w:t>31</w:t>
      </w:r>
      <w:r>
        <w:rPr>
          <w:rFonts w:hint="eastAsia" w:ascii="Times New Roman" w:hAnsi="Times New Roman" w:eastAsia="方正仿宋_GBK" w:cs="Times New Roman"/>
          <w:kern w:val="1"/>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b/>
          <w:bCs/>
          <w:i w:val="0"/>
          <w:iCs w:val="0"/>
          <w:caps w:val="0"/>
          <w:color w:val="333333"/>
          <w:spacing w:val="0"/>
          <w:sz w:val="32"/>
          <w:szCs w:val="32"/>
          <w:shd w:val="clear" w:fill="FFFFFF"/>
          <w:lang w:val="en-US" w:eastAsia="zh-CN"/>
        </w:rPr>
      </w:pPr>
      <w:r>
        <w:rPr>
          <w:rFonts w:hint="eastAsia" w:ascii="方正黑体_GBK" w:hAnsi="方正黑体_GBK" w:eastAsia="方正黑体_GBK" w:cs="方正黑体_GBK"/>
          <w:i w:val="0"/>
          <w:iCs w:val="0"/>
          <w:caps w:val="0"/>
          <w:color w:val="333333"/>
          <w:spacing w:val="0"/>
          <w:sz w:val="32"/>
          <w:szCs w:val="32"/>
          <w:shd w:val="clear" w:fill="FFFFFF"/>
          <w:lang w:val="en-US" w:eastAsia="zh-CN"/>
        </w:rPr>
        <w:t>附件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6"/>
        <w:gridCol w:w="1576"/>
        <w:gridCol w:w="1282"/>
        <w:gridCol w:w="1176"/>
        <w:gridCol w:w="3455"/>
        <w:gridCol w:w="3455"/>
        <w:gridCol w:w="1176"/>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2" w:hRule="atLeast"/>
        </w:trPr>
        <w:tc>
          <w:tcPr>
            <w:tcW w:w="0" w:type="auto"/>
            <w:gridSpan w:val="8"/>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b/>
                <w:bCs/>
                <w:kern w:val="1"/>
                <w:sz w:val="32"/>
                <w:szCs w:val="32"/>
                <w:highlight w:val="none"/>
              </w:rPr>
            </w:pPr>
            <w:r>
              <w:rPr>
                <w:rFonts w:hint="eastAsia" w:ascii="Times New Roman" w:hAnsi="Times New Roman" w:eastAsia="方正仿宋_GBK" w:cs="Times New Roman"/>
                <w:b/>
                <w:bCs/>
                <w:kern w:val="1"/>
                <w:sz w:val="32"/>
                <w:szCs w:val="32"/>
                <w:highlight w:val="none"/>
              </w:rPr>
              <w:t>重庆高新区202</w:t>
            </w:r>
            <w:r>
              <w:rPr>
                <w:rFonts w:hint="eastAsia" w:ascii="Times New Roman" w:hAnsi="Times New Roman" w:eastAsia="方正仿宋_GBK" w:cs="Times New Roman"/>
                <w:b/>
                <w:bCs/>
                <w:kern w:val="1"/>
                <w:sz w:val="32"/>
                <w:szCs w:val="32"/>
                <w:highlight w:val="none"/>
                <w:lang w:val="en-US" w:eastAsia="zh-CN"/>
              </w:rPr>
              <w:t>4</w:t>
            </w:r>
            <w:r>
              <w:rPr>
                <w:rFonts w:hint="eastAsia" w:ascii="Times New Roman" w:hAnsi="Times New Roman" w:eastAsia="方正仿宋_GBK" w:cs="Times New Roman"/>
                <w:b/>
                <w:bCs/>
                <w:kern w:val="1"/>
                <w:sz w:val="32"/>
                <w:szCs w:val="32"/>
                <w:highlight w:val="none"/>
              </w:rPr>
              <w:t>年</w:t>
            </w:r>
            <w:r>
              <w:rPr>
                <w:rFonts w:hint="eastAsia" w:ascii="Times New Roman" w:hAnsi="Times New Roman" w:eastAsia="方正仿宋_GBK" w:cs="Times New Roman"/>
                <w:b/>
                <w:bCs/>
                <w:kern w:val="1"/>
                <w:sz w:val="32"/>
                <w:szCs w:val="32"/>
                <w:highlight w:val="none"/>
                <w:lang w:val="en-US" w:eastAsia="zh-CN"/>
              </w:rPr>
              <w:t>度财政衔接推进乡村振兴补助资金项目实施计划完成情况表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0" w:type="auto"/>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序号</w:t>
            </w:r>
          </w:p>
        </w:tc>
        <w:tc>
          <w:tcPr>
            <w:tcW w:w="0" w:type="auto"/>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项目名称</w:t>
            </w:r>
          </w:p>
        </w:tc>
        <w:tc>
          <w:tcPr>
            <w:tcW w:w="0" w:type="auto"/>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项目类型</w:t>
            </w:r>
          </w:p>
        </w:tc>
        <w:tc>
          <w:tcPr>
            <w:tcW w:w="0" w:type="auto"/>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实施地点</w:t>
            </w:r>
          </w:p>
        </w:tc>
        <w:tc>
          <w:tcPr>
            <w:tcW w:w="0" w:type="auto"/>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highlight w:val="none"/>
                <w:u w:val="none"/>
                <w:lang w:val="en-US" w:eastAsia="zh-CN"/>
              </w:rPr>
            </w:pPr>
            <w:r>
              <w:rPr>
                <w:rFonts w:hint="eastAsia" w:ascii="黑体" w:hAnsi="宋体" w:eastAsia="黑体" w:cs="黑体"/>
                <w:i w:val="0"/>
                <w:iCs w:val="0"/>
                <w:color w:val="000000"/>
                <w:sz w:val="24"/>
                <w:szCs w:val="24"/>
                <w:highlight w:val="none"/>
                <w:u w:val="none"/>
                <w:lang w:val="en-US" w:eastAsia="zh-CN"/>
              </w:rPr>
              <w:t>建设任务</w:t>
            </w:r>
          </w:p>
        </w:tc>
        <w:tc>
          <w:tcPr>
            <w:tcW w:w="0" w:type="auto"/>
            <w:shd w:val="clear" w:color="auto" w:fill="auto"/>
            <w:noWrap/>
            <w:vAlign w:val="center"/>
          </w:tcPr>
          <w:p>
            <w:pPr>
              <w:pStyle w:val="2"/>
              <w:jc w:val="center"/>
              <w:rPr>
                <w:rFonts w:hint="default"/>
                <w:lang w:val="en-US" w:eastAsia="zh-CN"/>
              </w:rPr>
            </w:pPr>
            <w:r>
              <w:rPr>
                <w:rFonts w:hint="eastAsia"/>
                <w:lang w:val="en-US" w:eastAsia="zh-CN"/>
              </w:rPr>
              <w:t>绩效目标</w:t>
            </w:r>
          </w:p>
        </w:tc>
        <w:tc>
          <w:tcPr>
            <w:tcW w:w="0" w:type="auto"/>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highlight w:val="none"/>
                <w:u w:val="none"/>
                <w:lang w:val="en-US" w:eastAsia="zh-CN" w:bidi="ar-SA"/>
              </w:rPr>
            </w:pPr>
            <w:r>
              <w:rPr>
                <w:rFonts w:hint="eastAsia" w:ascii="黑体" w:hAnsi="宋体" w:eastAsia="黑体" w:cs="黑体"/>
                <w:i w:val="0"/>
                <w:iCs w:val="0"/>
                <w:color w:val="000000"/>
                <w:kern w:val="0"/>
                <w:sz w:val="24"/>
                <w:szCs w:val="24"/>
                <w:highlight w:val="none"/>
                <w:u w:val="none"/>
                <w:lang w:val="en-US" w:eastAsia="zh-CN" w:bidi="ar"/>
              </w:rPr>
              <w:t>安排资金</w:t>
            </w:r>
            <w:r>
              <w:rPr>
                <w:rFonts w:hint="eastAsia" w:ascii="黑体" w:hAnsi="宋体" w:eastAsia="黑体" w:cs="黑体"/>
                <w:i w:val="0"/>
                <w:iCs w:val="0"/>
                <w:color w:val="000000"/>
                <w:kern w:val="0"/>
                <w:sz w:val="24"/>
                <w:szCs w:val="24"/>
                <w:highlight w:val="none"/>
                <w:u w:val="none"/>
                <w:lang w:val="en-US" w:eastAsia="zh-CN" w:bidi="ar"/>
              </w:rPr>
              <w:br w:type="textWrapping"/>
            </w:r>
            <w:r>
              <w:rPr>
                <w:rFonts w:hint="eastAsia" w:ascii="黑体" w:hAnsi="宋体" w:eastAsia="黑体" w:cs="黑体"/>
                <w:i w:val="0"/>
                <w:iCs w:val="0"/>
                <w:color w:val="000000"/>
                <w:kern w:val="0"/>
                <w:sz w:val="24"/>
                <w:szCs w:val="24"/>
                <w:highlight w:val="none"/>
                <w:u w:val="none"/>
                <w:lang w:val="en-US" w:eastAsia="zh-CN" w:bidi="ar"/>
              </w:rPr>
              <w:t>（万元）</w:t>
            </w:r>
          </w:p>
        </w:tc>
        <w:tc>
          <w:tcPr>
            <w:tcW w:w="0" w:type="auto"/>
            <w:shd w:val="clear" w:color="auto" w:fill="auto"/>
            <w:noWrap/>
            <w:vAlign w:val="center"/>
          </w:tcPr>
          <w:p>
            <w:pPr>
              <w:pStyle w:val="2"/>
              <w:jc w:val="center"/>
              <w:rPr>
                <w:rFonts w:hint="eastAsia" w:ascii="Arial" w:hAnsi="Arial" w:eastAsia="宋体" w:cs="Arial"/>
                <w:sz w:val="24"/>
                <w:szCs w:val="24"/>
                <w:lang w:val="en-US" w:eastAsia="zh-CN" w:bidi="ar-SA"/>
              </w:rPr>
            </w:pPr>
            <w:r>
              <w:rPr>
                <w:rFonts w:hint="eastAsia" w:ascii="黑体" w:hAnsi="宋体" w:eastAsia="黑体" w:cs="黑体"/>
                <w:i w:val="0"/>
                <w:iCs w:val="0"/>
                <w:color w:val="000000"/>
                <w:kern w:val="0"/>
                <w:sz w:val="24"/>
                <w:szCs w:val="24"/>
                <w:highlight w:val="none"/>
                <w:u w:val="none"/>
                <w:lang w:val="en-US" w:eastAsia="zh-CN" w:bidi="ar"/>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sz w:val="24"/>
                <w:szCs w:val="24"/>
                <w:highlight w:val="none"/>
                <w:u w:val="none"/>
                <w:lang w:val="en-US" w:eastAsia="zh-CN"/>
              </w:rPr>
              <w:t>1</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曾家镇虎峰山村农饮水工程</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乡村建设行动</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曾家镇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虎峰山村</w:t>
            </w:r>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1.一体化350m3/d净化水水厂1座（含管理用房）。</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2.云泉湖以下主管+支管约10km，入户管道约12km。</w:t>
            </w:r>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解决当地村民饮水困难问题，解决村中特色民宿、相关产业因不通水造成的经营不便，带动虎峰山片区农文旅发展，带动不少于200个本地劳动力就业。</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420</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金凤镇海兰共享田园综合体项目一期（大干坡片区）</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产业发展</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金凤镇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海兰村</w:t>
            </w:r>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修建泥结石公路608米、人行道路2080米、田园120块、150立方水池一座、灌溉管道1256米、路灯45盏。围网1500米，围墙120米</w:t>
            </w:r>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通过田园综合体项目打造，增加不少于50万元的集体收入，带动不少于100个本地劳动力就业。</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350</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走马镇金马村6社污水管网建设工程</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乡村建设行动</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走马镇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金马村</w:t>
            </w:r>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1.新建d150污水管0.75千米；</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2.新建d300污水管网0.6千米；</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3.管网建设开挖及道路恢复1200平方米。</w:t>
            </w:r>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通过项目实施，新建污水管网13500米、道路破除修复1200平方米。项目建设期间，调动本地劳动力不低于10人；项目建成后，约130人生活污水得到集中处理，有效避免生活污水乱排乱倒，改善人居环境，提高村民幸福指数。</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80</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2" w:hRule="atLeast"/>
        </w:trPr>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巴福镇智慧果园项目</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产业发展</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巴福镇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钟鹤村</w:t>
            </w:r>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对钟鹤村现有100余亩李子林进行智能化、数字化建设。主要建设内容包括：1.软件平台部分，包含数据分析展示系统、视频监控系统、环境监测系统、土壤监测系统、水肥智能灌溉系统各1套。2.物联网传感设备部分，包含自动农业气象站1个、土壤监测4处、物联网太阳能杀虫灯9处、田间大屏1块、水肥一体化灌溉系统1套等及相关设备安装调试。</w:t>
            </w:r>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建成农业智慧监测系统，提高农业生产效率，增加农民收入，提升群众生活水平，预计共有200群众获益，共计增加周边群众收入20万元。</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5</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西永街道劳动村东山谷艺术农场项目</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产业发展</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西永街道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劳动村</w:t>
            </w:r>
          </w:p>
        </w:tc>
        <w:tc>
          <w:tcPr>
            <w:tcW w:w="0" w:type="auto"/>
            <w:shd w:val="clear" w:color="auto" w:fill="auto"/>
            <w:vAlign w:val="center"/>
          </w:tcPr>
          <w:p>
            <w:pPr>
              <w:keepNext w:val="0"/>
              <w:keepLines w:val="0"/>
              <w:widowControl/>
              <w:numPr>
                <w:numId w:val="0"/>
              </w:numPr>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bookmarkStart w:id="0" w:name="_GoBack"/>
            <w:r>
              <w:rPr>
                <w:rFonts w:hint="eastAsia" w:ascii="仿宋" w:hAnsi="仿宋" w:eastAsia="仿宋" w:cs="仿宋"/>
                <w:i w:val="0"/>
                <w:iCs w:val="0"/>
                <w:color w:val="000000"/>
                <w:kern w:val="2"/>
                <w:sz w:val="24"/>
                <w:szCs w:val="24"/>
                <w:highlight w:val="none"/>
                <w:u w:val="none"/>
                <w:lang w:val="en-US" w:eastAsia="zh-CN" w:bidi="ar-SA"/>
              </w:rPr>
              <w:t>1.拓宽红庙下穿道-古驿道入口道路至7.5米，长度410米，并进行边沟整治;</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lang w:val="en-US" w:eastAsia="zh-CN" w:bidi="ar-SA"/>
              </w:rPr>
              <w:t>2.</w:t>
            </w:r>
            <w:r>
              <w:rPr>
                <w:rFonts w:hint="eastAsia" w:ascii="仿宋" w:hAnsi="仿宋" w:eastAsia="仿宋" w:cs="仿宋"/>
                <w:i w:val="0"/>
                <w:iCs w:val="0"/>
                <w:color w:val="000000"/>
                <w:kern w:val="2"/>
                <w:sz w:val="24"/>
                <w:szCs w:val="24"/>
                <w:highlight w:val="none"/>
                <w:u w:val="none"/>
                <w:lang w:val="en-US" w:eastAsia="zh-CN" w:bidi="ar-SA"/>
              </w:rPr>
              <w:t>劳动村-歌乐山1.5km古驿道修复，包括道路;</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lang w:val="en-US" w:eastAsia="zh-CN" w:bidi="ar-SA"/>
              </w:rPr>
              <w:t>3.</w:t>
            </w:r>
            <w:r>
              <w:rPr>
                <w:rFonts w:hint="eastAsia" w:ascii="仿宋" w:hAnsi="仿宋" w:eastAsia="仿宋" w:cs="仿宋"/>
                <w:i w:val="0"/>
                <w:iCs w:val="0"/>
                <w:color w:val="000000"/>
                <w:kern w:val="2"/>
                <w:sz w:val="24"/>
                <w:szCs w:val="24"/>
                <w:highlight w:val="none"/>
                <w:u w:val="none"/>
                <w:lang w:val="en-US" w:eastAsia="zh-CN" w:bidi="ar-SA"/>
              </w:rPr>
              <w:t>古驿道入口新建停车场1200平方米、公厕一座;</w:t>
            </w:r>
          </w:p>
          <w:p>
            <w:pPr>
              <w:keepNext w:val="0"/>
              <w:keepLines w:val="0"/>
              <w:widowControl/>
              <w:numPr>
                <w:numId w:val="0"/>
              </w:numPr>
              <w:suppressLineNumbers w:val="0"/>
              <w:ind w:leftChars="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4.东山谷入口(红庙下穿道)安装座椅、路灯、垃圾桶等配套设施</w:t>
            </w:r>
            <w:bookmarkEnd w:id="0"/>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修建艺术农场相关设施，促进艺术农场经济收入增长，增加当地就业岗位50个，增加周边不少于300名群众收入方式。</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295</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val="en-US" w:eastAsia="zh-CN"/>
              </w:rPr>
              <w:t>6</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新店村乐活生态•驿路花田农旅配套设施项目</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产业发展</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白市驿镇</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新店村</w:t>
            </w:r>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1.修建700米烂泥沟环湖观光步道；</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2.新建移动公厕1座；</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3.安装15盏太阳能路灯；</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 xml:space="preserve">4.安装沟渠水闸2个；      </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5.驿路花田及公厕大门口道路硬化80米；</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 xml:space="preserve">6.提灌站升级改造1处；           </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 xml:space="preserve">7.购买15组二分类果皮箱；                     </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8.购买20个休闲座椅。</w:t>
            </w:r>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通过项目实施，新建烂泥沟环湖700米观光步道、移动公厕1座、水闸2处、提灌站升级改造1处、道路硬化80米；配套安装太阳能路灯、果皮箱、休闲座椅等附属设施。项目建设期间，调动本地劳动力不低于15人；项目建成后，村民生产生活条件得到改善，农业综合示范体创建加快，促进当地乡村旅游业发展，增加村集体收入10万元/年，带动周边农户30人就业、增收。</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105</w:t>
            </w:r>
          </w:p>
        </w:tc>
        <w:tc>
          <w:tcPr>
            <w:tcW w:w="0" w:type="auto"/>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7" w:hRule="atLeast"/>
        </w:trPr>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val="en-US" w:eastAsia="zh-CN"/>
              </w:rPr>
              <w:t>7</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aps w:val="0"/>
                <w:color w:val="333333"/>
                <w:spacing w:val="0"/>
                <w:sz w:val="24"/>
                <w:szCs w:val="24"/>
                <w:shd w:val="clear" w:fill="FFFFFF"/>
              </w:rPr>
              <w:t>钟鹤村农旅融合产业项目</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产业发展</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巴福镇</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钟鹤村</w:t>
            </w:r>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1.对钟鹤村冷家河附近院林地进行林相提升，耕地进行平整，修建瓜果示范棚1处。</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2.配套维修生产便道，修建分布式光伏电站1处等。</w:t>
            </w:r>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对钟鹤村冷家河周边土地进行整理，对院林地进行林相提升，配套座椅、路灯、垃圾桶等配套设施，修建分布式光伏电站，面积约100平方米，解决李子林灌溉、监控系统等用电需求，增加不少于100万元村集体资产，增加当地就业岗位50个，增加周边不少于100名群众收入方式。</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val="en-US" w:eastAsia="zh-CN"/>
              </w:rPr>
              <w:t>8</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曾家镇农安村凌云湖生态步道环境提升工程项目</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产业发展</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曾家镇</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农安村</w:t>
            </w:r>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1.绕农安村凌云湖新建2米宽人行道1千米；</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2.新建村民活动广场约200平方米，并配套安装路灯30盏。</w:t>
            </w:r>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通过项目实施，新增人行道、活动广场，配套安装路灯等附属设施，优化村民生产生活条件，提高村民幸福指数，凌云湖2000平方米环境得到改善，吸引周边群众踏青郊游。项目建设期间，调动本地劳动力不低于10人；项目建成后，带动当地110户农户增收，不低于5万元/年。</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115</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sz w:val="24"/>
                <w:szCs w:val="24"/>
                <w:highlight w:val="none"/>
                <w:u w:val="none"/>
                <w:lang w:val="en-US" w:eastAsia="zh-CN"/>
              </w:rPr>
              <w:t>9</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曾家镇农安村凌云湖周边生态治理工程项目</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产业发展</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曾家镇</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农安村</w:t>
            </w:r>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1.边坡安全隐患整治，约121000平方米；</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2.杂草杂树清理、对周边环境进行整治；</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2.修建坝下步道243米、安装路灯等附属设施。</w:t>
            </w:r>
          </w:p>
        </w:tc>
        <w:tc>
          <w:tcPr>
            <w:tcW w:w="0" w:type="auto"/>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通过项目实施，约12100平方米边坡得到有效治理，243米田间道路修复，凌云湖2000平方米环境进一步得到改善；项目建设期间，调动本地劳动力不低于10人；项目建成后，能有效吸引大学城周边居民出行郊游，增加村民收益不低于3万元/年。</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w:t>
            </w:r>
          </w:p>
        </w:tc>
        <w:tc>
          <w:tcPr>
            <w:tcW w:w="0" w:type="auto"/>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7" w:hRule="atLeast"/>
        </w:trPr>
        <w:tc>
          <w:tcPr>
            <w:tcW w:w="0" w:type="auto"/>
            <w:gridSpan w:val="6"/>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合计</w:t>
            </w:r>
          </w:p>
        </w:tc>
        <w:tc>
          <w:tcPr>
            <w:tcW w:w="0" w:type="auto"/>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1875</w:t>
            </w:r>
          </w:p>
        </w:tc>
        <w:tc>
          <w:tcPr>
            <w:tcW w:w="0" w:type="auto"/>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p>
        </w:tc>
      </w:tr>
    </w:tbl>
    <w:p>
      <w:pPr>
        <w:pStyle w:val="2"/>
        <w:rPr>
          <w:rFonts w:hint="eastAsia"/>
          <w:lang w:val="en-US" w:eastAsia="zh-CN"/>
        </w:rPr>
      </w:pPr>
    </w:p>
    <w:sectPr>
      <w:pgSz w:w="16838" w:h="11906" w:orient="landscape"/>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01741BE-6561-4D12-A5E6-AC994A9D1955}"/>
  </w:font>
  <w:font w:name="黑体">
    <w:panose1 w:val="02010609060101010101"/>
    <w:charset w:val="86"/>
    <w:family w:val="auto"/>
    <w:pitch w:val="default"/>
    <w:sig w:usb0="800002BF" w:usb1="38CF7CFA" w:usb2="00000016" w:usb3="00000000" w:csb0="00040001" w:csb1="00000000"/>
    <w:embedRegular r:id="rId2" w:fontKey="{9DCE3F85-60EE-4258-8739-1CBFB401D1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3" w:fontKey="{60309DE3-462F-40BC-A71D-5323A5A93637}"/>
  </w:font>
  <w:font w:name="方正仿宋_GBK">
    <w:panose1 w:val="02000000000000000000"/>
    <w:charset w:val="86"/>
    <w:family w:val="auto"/>
    <w:pitch w:val="default"/>
    <w:sig w:usb0="A00002BF" w:usb1="38CF7CFA" w:usb2="00082016" w:usb3="00000000" w:csb0="00040001" w:csb1="00000000"/>
    <w:embedRegular r:id="rId4" w:fontKey="{898D7179-FD2B-4291-9998-19D93855F046}"/>
  </w:font>
  <w:font w:name="方正黑体_GBK">
    <w:panose1 w:val="03000509000000000000"/>
    <w:charset w:val="86"/>
    <w:family w:val="auto"/>
    <w:pitch w:val="default"/>
    <w:sig w:usb0="00000001" w:usb1="080E0000" w:usb2="00000000" w:usb3="00000000" w:csb0="00040000" w:csb1="00000000"/>
    <w:embedRegular r:id="rId5" w:fontKey="{93810E6C-B781-4B77-806E-C67957BC1456}"/>
  </w:font>
  <w:font w:name="仿宋">
    <w:panose1 w:val="02010609060101010101"/>
    <w:charset w:val="86"/>
    <w:family w:val="auto"/>
    <w:pitch w:val="default"/>
    <w:sig w:usb0="800002BF" w:usb1="38CF7CFA" w:usb2="00000016" w:usb3="00000000" w:csb0="00040001" w:csb1="00000000"/>
    <w:embedRegular r:id="rId6" w:fontKey="{AECC1F42-AA4A-42DB-8E70-5A16E04F5D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YzdhYTlmZmQ4OTI2NTUyNjUyNTM3MjQ3YjJlNmEifQ=="/>
  </w:docVars>
  <w:rsids>
    <w:rsidRoot w:val="00172A27"/>
    <w:rsid w:val="048A3378"/>
    <w:rsid w:val="133D3834"/>
    <w:rsid w:val="16B24FEA"/>
    <w:rsid w:val="1E7A2BE4"/>
    <w:rsid w:val="1F764CED"/>
    <w:rsid w:val="234D7183"/>
    <w:rsid w:val="28EF0680"/>
    <w:rsid w:val="387C7014"/>
    <w:rsid w:val="3BED4355"/>
    <w:rsid w:val="4E9A6557"/>
    <w:rsid w:val="53B51981"/>
    <w:rsid w:val="62585390"/>
    <w:rsid w:val="6516235F"/>
    <w:rsid w:val="6C9360FF"/>
    <w:rsid w:val="75742416"/>
    <w:rsid w:val="7B6D0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rPr>
      <w:rFonts w:ascii="Arial" w:hAnsi="Arial" w:eastAsia="宋体" w:cs="Arial"/>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324</Words>
  <Characters>376</Characters>
  <Lines>0</Lines>
  <Paragraphs>0</Paragraphs>
  <TotalTime>8</TotalTime>
  <ScaleCrop>false</ScaleCrop>
  <LinksUpToDate>false</LinksUpToDate>
  <CharactersWithSpaces>409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2024-12-23T06:33:00Z</dcterms:created>
  <dc:creator>Administrator</dc:creator>
  <cp:lastModifiedBy>武小康</cp:lastModifiedBy>
  <cp:lastPrinted>2024-12-31T05:32:00Z</cp:lastPrinted>
  <dcterms:modified xsi:type="dcterms:W3CDTF">2025-01-05T08:31:19Z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FAC1F3E062344BD78D8252F7DC0CAA23_12</vt:lpwstr>
  </property>
  <property fmtid="{D5CDD505-2E9C-101B-9397-08002B2CF9AE}" pid="4" name="KSOTemplateDocerSaveRecord">
    <vt:lpwstr>eyJoZGlkIjoiOTZlNjZmODdmNzgwNTBmYWIxZGY0NzlhZTM1YzdkZTIiLCJ1c2VySWQiOiIzNDk3OTUxODcifQ==</vt:lpwstr>
  </property>
</Properties>
</file>