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eastAsia="方正小标宋_GBK"/>
          <w:color w:val="0D0D0D" w:themeColor="text1" w:themeTint="F2"/>
          <w:sz w:val="44"/>
          <w:szCs w:val="44"/>
          <w14:textFill>
            <w14:solidFill>
              <w14:schemeClr w14:val="tx1">
                <w14:lumMod w14:val="95000"/>
                <w14:lumOff w14:val="5000"/>
              </w14:schemeClr>
            </w14:solidFill>
          </w14:textFill>
        </w:rPr>
      </w:pPr>
      <w:bookmarkStart w:id="9" w:name="_GoBack"/>
      <w:bookmarkEnd w:id="9"/>
      <w:bookmarkStart w:id="0" w:name="_Hlk96606366"/>
      <w:r>
        <w:rPr>
          <w:rFonts w:hint="eastAsia" w:eastAsia="方正小标宋_GBK"/>
          <w:color w:val="0D0D0D" w:themeColor="text1" w:themeTint="F2"/>
          <w:sz w:val="44"/>
          <w:szCs w:val="44"/>
          <w14:textFill>
            <w14:solidFill>
              <w14:schemeClr w14:val="tx1">
                <w14:lumMod w14:val="95000"/>
                <w14:lumOff w14:val="5000"/>
              </w14:schemeClr>
            </w14:solidFill>
          </w14:textFill>
        </w:rPr>
        <w:t>西部科学城重庆高新区管委会</w:t>
      </w:r>
    </w:p>
    <w:p>
      <w:pPr>
        <w:ind w:firstLine="0" w:firstLineChars="0"/>
        <w:jc w:val="center"/>
        <w:rPr>
          <w:rFonts w:eastAsia="方正小标宋_GBK"/>
          <w:color w:val="0D0D0D" w:themeColor="text1" w:themeTint="F2"/>
          <w:sz w:val="44"/>
          <w:szCs w:val="44"/>
          <w14:textFill>
            <w14:solidFill>
              <w14:schemeClr w14:val="tx1">
                <w14:lumMod w14:val="95000"/>
                <w14:lumOff w14:val="5000"/>
              </w14:schemeClr>
            </w14:solidFill>
          </w14:textFill>
        </w:rPr>
      </w:pPr>
      <w:r>
        <w:rPr>
          <w:rFonts w:hint="eastAsia" w:eastAsia="方正小标宋_GBK"/>
          <w:color w:val="0D0D0D" w:themeColor="text1" w:themeTint="F2"/>
          <w:sz w:val="44"/>
          <w:szCs w:val="44"/>
          <w14:textFill>
            <w14:solidFill>
              <w14:schemeClr w14:val="tx1">
                <w14:lumMod w14:val="95000"/>
                <w14:lumOff w14:val="5000"/>
              </w14:schemeClr>
            </w14:solidFill>
          </w14:textFill>
        </w:rPr>
        <w:t>2022年预算执行情况和2023年预算报告</w:t>
      </w:r>
    </w:p>
    <w:p>
      <w:pPr>
        <w:ind w:firstLine="0" w:firstLineChars="0"/>
        <w:jc w:val="center"/>
        <w:rPr>
          <w:rFonts w:eastAsia="方正楷体_GBK"/>
          <w:color w:val="0D0D0D" w:themeColor="text1" w:themeTint="F2"/>
          <w:sz w:val="44"/>
          <w:szCs w:val="44"/>
          <w14:textFill>
            <w14:solidFill>
              <w14:schemeClr w14:val="tx1">
                <w14:lumMod w14:val="95000"/>
                <w14:lumOff w14:val="5000"/>
              </w14:schemeClr>
            </w14:solidFill>
          </w14:textFill>
        </w:rPr>
      </w:pP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202</w:t>
      </w:r>
      <w:r>
        <w:rPr>
          <w:color w:val="0D0D0D" w:themeColor="text1" w:themeTint="F2"/>
          <w14:textFill>
            <w14:solidFill>
              <w14:schemeClr w14:val="tx1">
                <w14:lumMod w14:val="95000"/>
                <w14:lumOff w14:val="5000"/>
              </w14:schemeClr>
            </w14:solidFill>
          </w14:textFill>
        </w:rPr>
        <w:t>2</w:t>
      </w:r>
      <w:r>
        <w:rPr>
          <w:rFonts w:hint="eastAsia"/>
          <w:color w:val="0D0D0D" w:themeColor="text1" w:themeTint="F2"/>
          <w14:textFill>
            <w14:solidFill>
              <w14:schemeClr w14:val="tx1">
                <w14:lumMod w14:val="95000"/>
                <w14:lumOff w14:val="5000"/>
              </w14:schemeClr>
            </w14:solidFill>
          </w14:textFill>
        </w:rPr>
        <w:t>年，在市委市政府的坚强领导和市人大的监督支持下，西部科学城重庆高新区坚持稳中求进工作总基调，落实积极财政政策提质增效、更可持续要求，科学统筹疫情防控和经济社会发展，统筹发展和安全，统筹科教产城协同发展，统筹党的建设各项工作，扎实推进“项目攻坚年”，按下项目建设“快进键”、跑出科学城建设“加速度”，为加快建设具有全国影响力的科技创新中心核心区提供坚实的保障支撑。</w:t>
      </w:r>
    </w:p>
    <w:p>
      <w:pPr>
        <w:pStyle w:val="2"/>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一、202</w:t>
      </w:r>
      <w:r>
        <w:rPr>
          <w:color w:val="0D0D0D" w:themeColor="text1" w:themeTint="F2"/>
          <w14:textFill>
            <w14:solidFill>
              <w14:schemeClr w14:val="tx1">
                <w14:lumMod w14:val="95000"/>
                <w14:lumOff w14:val="5000"/>
              </w14:schemeClr>
            </w14:solidFill>
          </w14:textFill>
        </w:rPr>
        <w:t>2</w:t>
      </w:r>
      <w:r>
        <w:rPr>
          <w:rFonts w:hint="eastAsia"/>
          <w:color w:val="0D0D0D" w:themeColor="text1" w:themeTint="F2"/>
          <w14:textFill>
            <w14:solidFill>
              <w14:schemeClr w14:val="tx1">
                <w14:lumMod w14:val="95000"/>
                <w14:lumOff w14:val="5000"/>
              </w14:schemeClr>
            </w14:solidFill>
          </w14:textFill>
        </w:rPr>
        <w:t>年落实人大预决算备案审查建议情况</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2</w:t>
      </w:r>
      <w:r>
        <w:rPr>
          <w:color w:val="0D0D0D" w:themeColor="text1" w:themeTint="F2"/>
          <w14:textFill>
            <w14:solidFill>
              <w14:schemeClr w14:val="tx1">
                <w14:lumMod w14:val="95000"/>
                <w14:lumOff w14:val="5000"/>
              </w14:schemeClr>
            </w14:solidFill>
          </w14:textFill>
        </w:rPr>
        <w:t>022</w:t>
      </w:r>
      <w:r>
        <w:rPr>
          <w:rFonts w:hint="eastAsia"/>
          <w:color w:val="0D0D0D" w:themeColor="text1" w:themeTint="F2"/>
          <w14:textFill>
            <w14:solidFill>
              <w14:schemeClr w14:val="tx1">
                <w14:lumMod w14:val="95000"/>
                <w14:lumOff w14:val="5000"/>
              </w14:schemeClr>
            </w14:solidFill>
          </w14:textFill>
        </w:rPr>
        <w:t>年，西部科学城重庆高新区坚持以迎接党的二十大召开和学习宣传贯彻党的二十大精神为主线，立足新发展阶段，完整、准确、全面贯彻新发展理念，积极服务和融入新发展格局，高效统筹疫情防控和经济社会发展，聚焦科技创新“策源地”、高质量发展“新引擎”、美好城市“样板区”，深入实施“项目攻坚年”，统筹推动科教产城协同发展，迈出了高质量发展的坚实步伐。</w:t>
      </w:r>
    </w:p>
    <w:p>
      <w:pPr>
        <w:ind w:firstLine="640"/>
        <w:rPr>
          <w:rFonts w:eastAsia="方正楷体_GBK"/>
          <w:color w:val="0D0D0D" w:themeColor="text1" w:themeTint="F2"/>
          <w14:textFill>
            <w14:solidFill>
              <w14:schemeClr w14:val="tx1">
                <w14:lumMod w14:val="95000"/>
                <w14:lumOff w14:val="5000"/>
              </w14:schemeClr>
            </w14:solidFill>
          </w14:textFill>
        </w:rPr>
      </w:pPr>
      <w:r>
        <w:rPr>
          <w:rFonts w:hint="eastAsia" w:eastAsia="方正楷体_GBK"/>
          <w:color w:val="0D0D0D" w:themeColor="text1" w:themeTint="F2"/>
          <w14:textFill>
            <w14:solidFill>
              <w14:schemeClr w14:val="tx1">
                <w14:lumMod w14:val="95000"/>
                <w14:lumOff w14:val="5000"/>
              </w14:schemeClr>
            </w14:solidFill>
          </w14:textFill>
        </w:rPr>
        <w:t>（一）科技创新力量加速集聚</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不断优化创新布局，增强平台“支撑力”。金凤实验室创新平台正式挂牌运作，种质创制大科学中心正式启动运行。支持北京大学重庆大数据研究院开展关键技术攻关，成功推出北太天元数值计算通用软件，打破了国外企业垄断科学计算软件国内市场多年的僵局。引进上海交大人工智能研究院、国家电投西部生态能源研究院项目，加快推进国家大院大所、高等院校、中央企业开展高水平创新研究院建设工作。</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深化校地合作，激发创新“源动力”。充分发挥大学城创新资源和人才聚集优势，进一步破除校地合作的“物理围墙”“心理围墙”“治理围墙”，高水平建设大学城、科研港、科学谷、生命岛、科创街“五大创新支撑”，布局中科院重庆科学中心等战略科技力量，打造创新“策源地”。科学城已认定高校院所技术合同639项，校地院地合作项目共转化科研成果207项。</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创新服务方式，释放发展“驱动力”。率先出台服务业扩大开放综合试点实施方案，在承接重庆74项共性试点基础上，研究提出107条个性化先行先试改革举措。聚焦建设全市人才集聚平台核心区，密集出台“金凤凰”人才支持政策、市属高校与新型研发机构共建共育人才试点方案、“金凤凰”人才安居住房管理服务办法等6项人才支持政策；探索开展以“先投后股”方式支持科技成果转化、人才政策兑现“免申即享”等差异化改革，形成成果案例7个；出台支持高校院所协同创新促进科技成果转化扶持办法、知识产权资助办法、科技金融发展办法等配套政策15个。</w:t>
      </w:r>
    </w:p>
    <w:p>
      <w:pPr>
        <w:ind w:firstLine="640"/>
        <w:rPr>
          <w:color w:val="0D0D0D" w:themeColor="text1" w:themeTint="F2"/>
          <w14:textFill>
            <w14:solidFill>
              <w14:schemeClr w14:val="tx1">
                <w14:lumMod w14:val="95000"/>
                <w14:lumOff w14:val="5000"/>
              </w14:schemeClr>
            </w14:solidFill>
          </w14:textFill>
        </w:rPr>
      </w:pPr>
      <w:r>
        <w:rPr>
          <w:rFonts w:hint="eastAsia" w:eastAsia="方正楷体_GBK"/>
          <w:color w:val="0D0D0D" w:themeColor="text1" w:themeTint="F2"/>
          <w14:textFill>
            <w14:solidFill>
              <w14:schemeClr w14:val="tx1">
                <w14:lumMod w14:val="95000"/>
                <w14:lumOff w14:val="5000"/>
              </w14:schemeClr>
            </w14:solidFill>
          </w14:textFill>
        </w:rPr>
        <w:t>（二）现代产业体系不断巩固</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加快发展现代产业体系。坚持产业升级和“新赛道”培育两手抓，依托现有产业基础、科研平台，抓好传统汽车、零部件、检验检测等产业的转型提质。聚焦域控制器、传感器、三电、汽车软件、人工智能等领域，加大招商引资和项目孵化力度。投入</w:t>
      </w:r>
      <w:r>
        <w:rPr>
          <w:color w:val="0D0D0D" w:themeColor="text1" w:themeTint="F2"/>
          <w14:textFill>
            <w14:solidFill>
              <w14:schemeClr w14:val="tx1">
                <w14:lumMod w14:val="95000"/>
                <w14:lumOff w14:val="5000"/>
              </w14:schemeClr>
            </w14:solidFill>
          </w14:textFill>
        </w:rPr>
        <w:t>2</w:t>
      </w:r>
      <w:r>
        <w:rPr>
          <w:rFonts w:hint="eastAsia"/>
          <w:color w:val="0D0D0D" w:themeColor="text1" w:themeTint="F2"/>
          <w14:textFill>
            <w14:solidFill>
              <w14:schemeClr w14:val="tx1">
                <w14:lumMod w14:val="95000"/>
                <w14:lumOff w14:val="5000"/>
              </w14:schemeClr>
            </w14:solidFill>
          </w14:textFill>
        </w:rPr>
        <w:t>亿元，大力支持长安跨越、华晨鑫源和华润微电子等龙头企业实施产业基础再造和制造业高质量发展，推动产业链优化升级；支持精准生物细胞技术研发中心和IVD体外诊断公共服务平台等创新产业发展。瞄准集成电路、汽车电子、生物医药、新能源及智能网联汽车、软件信息等赛道，加速壮大新一代信息技术、生命健康、绿色低碳及智能制造、高技术服务四大主导产业。多措并举支持开放型经济发展，支持综保区加工贸易高质量发展，加快推动进口整车保税及零部件分拨中心建设、平行进口汽车等业务，促进园区国际贸易业务提质增量。</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重大产业平台加快建设。成功引入中国电子数字经济产业园、重庆中关村智酷科技服务有限公司等软件龙头企业，积极构建以金凤软件园为产业标识，西永微电园商务中心区和大学城富力城片区为产业核心集聚地，科学谷、中科院重庆科学中心、中电（重庆）软件园、光大人工智能产业基地等重点产业及创新载体组成的“一园两区多点”软件产业格局。围绕集成电路全产业链布局，已集聚集成电路产业链上下游重点企业20多家，基本形成了从设计、制造到封装测试的芯片全产业链，初步构建了涵盖人才培养、产业孵化、验证仿真、工艺服务的产业创新生态，形成从EDA平台、共享IP库、芯片设计、制造到封装测试的集成电路全新产业链，集聚模拟集成电路重点实验室等市级以上集成电路相关研发机构28家。</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财政金融协同持续发力。聚焦产业链创新链融合发展，推动成渝两地“资本+产业”深层次合作，重点聚焦包括集成电路、智能制造、新型显示、新材料、新能源、生物医药、大健康等战略新兴产业。致力于降低中小企业融资成本，指导科学城融资担保公司推出“高新贷”等产品。</w:t>
      </w:r>
    </w:p>
    <w:p>
      <w:pPr>
        <w:ind w:firstLine="640"/>
        <w:rPr>
          <w:color w:val="0D0D0D" w:themeColor="text1" w:themeTint="F2"/>
          <w14:textFill>
            <w14:solidFill>
              <w14:schemeClr w14:val="tx1">
                <w14:lumMod w14:val="95000"/>
                <w14:lumOff w14:val="5000"/>
              </w14:schemeClr>
            </w14:solidFill>
          </w14:textFill>
        </w:rPr>
      </w:pPr>
      <w:r>
        <w:rPr>
          <w:rFonts w:hint="eastAsia" w:eastAsia="方正楷体_GBK"/>
          <w:color w:val="0D0D0D" w:themeColor="text1" w:themeTint="F2"/>
          <w14:textFill>
            <w14:solidFill>
              <w14:schemeClr w14:val="tx1">
                <w14:lumMod w14:val="95000"/>
                <w14:lumOff w14:val="5000"/>
              </w14:schemeClr>
            </w14:solidFill>
          </w14:textFill>
        </w:rPr>
        <w:t>（三）美好城市样板逐步成形</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心两翼”风貌初现。着力推进金凤城市中心、科学大道、科学城人才社区等重大项目建设，加快形成科创商业商务中心区。支持城市有机更新深入推进，持续深化“大城三管”，高质量提升大学城环境品质，稳步有序推进老旧基础设施改造和老旧小区改造，加强和创新基层社会治理，让城市环境干净整洁宜居宜业。</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城市生活品质不断提升。加快建设凤鸣湖公园、凤栖湖公园、棕树湾体育公园、白鹭公园一期，西城公园、蝴蝶里公园、梁滩河湿地公园等已建成对外开放，形成湿地群、公园群和城中山体组成的绿色长廊。累计拆除违法建筑超8</w:t>
      </w:r>
      <w:r>
        <w:rPr>
          <w:color w:val="0D0D0D" w:themeColor="text1" w:themeTint="F2"/>
          <w14:textFill>
            <w14:solidFill>
              <w14:schemeClr w14:val="tx1">
                <w14:lumMod w14:val="95000"/>
                <w14:lumOff w14:val="5000"/>
              </w14:schemeClr>
            </w14:solidFill>
          </w14:textFill>
        </w:rPr>
        <w:t>,000</w:t>
      </w:r>
      <w:r>
        <w:rPr>
          <w:rFonts w:hint="eastAsia"/>
          <w:color w:val="0D0D0D" w:themeColor="text1" w:themeTint="F2"/>
          <w14:textFill>
            <w14:solidFill>
              <w14:schemeClr w14:val="tx1">
                <w14:lumMod w14:val="95000"/>
                <w14:lumOff w14:val="5000"/>
              </w14:schemeClr>
            </w14:solidFill>
          </w14:textFill>
        </w:rPr>
        <w:t>平方米，深化交通综合治理，完成城市管理职业学院、白彭路人行天桥等</w:t>
      </w:r>
      <w:r>
        <w:rPr>
          <w:color w:val="0D0D0D" w:themeColor="text1" w:themeTint="F2"/>
          <w14:textFill>
            <w14:solidFill>
              <w14:schemeClr w14:val="tx1">
                <w14:lumMod w14:val="95000"/>
                <w14:lumOff w14:val="5000"/>
              </w14:schemeClr>
            </w14:solidFill>
          </w14:textFill>
        </w:rPr>
        <w:t>13</w:t>
      </w:r>
      <w:r>
        <w:rPr>
          <w:rFonts w:hint="eastAsia"/>
          <w:color w:val="0D0D0D" w:themeColor="text1" w:themeTint="F2"/>
          <w14:textFill>
            <w14:solidFill>
              <w14:schemeClr w14:val="tx1">
                <w14:lumMod w14:val="95000"/>
                <w14:lumOff w14:val="5000"/>
              </w14:schemeClr>
            </w14:solidFill>
          </w14:textFill>
        </w:rPr>
        <w:t>项改善工程。</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内畅外联大通道加速构建。加快构建“六横六纵两环”内畅外联交通格局，白市驿隧道已动工开建；贯穿缙云山脉，连接重庆高新区和璧山区的金凤隧道已完成隧道三分之一工程量，建设形成覆盖科学谷、金融街、金凤、大学城等重要节点的南北向骨干线路，构建科学城核心区轨道骨架。</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高水平公共服务体系建设持续推进。提速建设和完工一批优质义务教育学校。落实“双减”政策，保障学前教育普惠和义务教育优质均衡发展。加快落地重点医疗机构，打造“15分钟公共服务圈”“5分钟社区生活服务圈”，启动建设重庆大学附属肿瘤医院科学城院区，为人才安居乐业创造一流的公共配套服务。</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社会民生福祉不断加强。持续提升文化软实力，以24小时自助实体城市书房为载体创建城市阅读服务体系。切实提高社会保障水平，健全就业帮扶机制，通过社保费缓缴、创业担保贷款、稳岗返还、政策宣讲、职业技能培训等方式稳定就业岗位，支持各类就业新形态发展模式，保障灵活就业人员社会保险补贴。不断完善高校毕业生创新创业支持政策，发布引领企业与人才互动交流的“就在科学城”线上引才平台，为高起点高标准推动科学城建设注入新的活力。投入5</w:t>
      </w:r>
      <w:r>
        <w:rPr>
          <w:color w:val="0D0D0D" w:themeColor="text1" w:themeTint="F2"/>
          <w14:textFill>
            <w14:solidFill>
              <w14:schemeClr w14:val="tx1">
                <w14:lumMod w14:val="95000"/>
                <w14:lumOff w14:val="5000"/>
              </w14:schemeClr>
            </w14:solidFill>
          </w14:textFill>
        </w:rPr>
        <w:t>00</w:t>
      </w:r>
      <w:r>
        <w:rPr>
          <w:rFonts w:hint="eastAsia"/>
          <w:color w:val="0D0D0D" w:themeColor="text1" w:themeTint="F2"/>
          <w14:textFill>
            <w14:solidFill>
              <w14:schemeClr w14:val="tx1">
                <w14:lumMod w14:val="95000"/>
                <w14:lumOff w14:val="5000"/>
              </w14:schemeClr>
            </w14:solidFill>
          </w14:textFill>
        </w:rPr>
        <w:t>余万元，用于鼓励残疾人就业、康复、辅助器具和无障碍环境改造等工作，扎实推进残疾人帮扶工作，为辖区5</w:t>
      </w:r>
      <w:r>
        <w:rPr>
          <w:color w:val="0D0D0D" w:themeColor="text1" w:themeTint="F2"/>
          <w14:textFill>
            <w14:solidFill>
              <w14:schemeClr w14:val="tx1">
                <w14:lumMod w14:val="95000"/>
                <w14:lumOff w14:val="5000"/>
              </w14:schemeClr>
            </w14:solidFill>
          </w14:textFill>
        </w:rPr>
        <w:t>,</w:t>
      </w:r>
      <w:r>
        <w:rPr>
          <w:rFonts w:hint="eastAsia"/>
          <w:color w:val="0D0D0D" w:themeColor="text1" w:themeTint="F2"/>
          <w14:textFill>
            <w14:solidFill>
              <w14:schemeClr w14:val="tx1">
                <w14:lumMod w14:val="95000"/>
                <w14:lumOff w14:val="5000"/>
              </w14:schemeClr>
            </w14:solidFill>
          </w14:textFill>
        </w:rPr>
        <w:t>000余名持证残疾人购买综合伤害意外保险；投入</w:t>
      </w:r>
      <w:r>
        <w:rPr>
          <w:color w:val="0D0D0D" w:themeColor="text1" w:themeTint="F2"/>
          <w14:textFill>
            <w14:solidFill>
              <w14:schemeClr w14:val="tx1">
                <w14:lumMod w14:val="95000"/>
                <w14:lumOff w14:val="5000"/>
              </w14:schemeClr>
            </w14:solidFill>
          </w14:textFill>
        </w:rPr>
        <w:t>0.2</w:t>
      </w:r>
      <w:r>
        <w:rPr>
          <w:rFonts w:hint="eastAsia"/>
          <w:color w:val="0D0D0D" w:themeColor="text1" w:themeTint="F2"/>
          <w14:textFill>
            <w14:solidFill>
              <w14:schemeClr w14:val="tx1">
                <w14:lumMod w14:val="95000"/>
                <w14:lumOff w14:val="5000"/>
              </w14:schemeClr>
            </w14:solidFill>
          </w14:textFill>
        </w:rPr>
        <w:t>亿元，保障军队移交地方政府人员、退役军人及优抚对象等生活待遇。</w:t>
      </w:r>
    </w:p>
    <w:p>
      <w:pPr>
        <w:ind w:firstLine="640"/>
        <w:rPr>
          <w:rFonts w:eastAsia="方正楷体_GBK"/>
          <w:color w:val="0D0D0D" w:themeColor="text1" w:themeTint="F2"/>
          <w14:textFill>
            <w14:solidFill>
              <w14:schemeClr w14:val="tx1">
                <w14:lumMod w14:val="95000"/>
                <w14:lumOff w14:val="5000"/>
              </w14:schemeClr>
            </w14:solidFill>
          </w14:textFill>
        </w:rPr>
      </w:pPr>
      <w:r>
        <w:rPr>
          <w:rFonts w:hint="eastAsia" w:eastAsia="方正楷体_GBK"/>
          <w:color w:val="0D0D0D" w:themeColor="text1" w:themeTint="F2"/>
          <w14:textFill>
            <w14:solidFill>
              <w14:schemeClr w14:val="tx1">
                <w14:lumMod w14:val="95000"/>
                <w14:lumOff w14:val="5000"/>
              </w14:schemeClr>
            </w14:solidFill>
          </w14:textFill>
        </w:rPr>
        <w:t>（四）精细化预算管理改革稳步推进</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强化收支管理，严格落实政府“过紧日子”要求。千方百计组织收入，在认真贯彻落实国家减税降费的同时，加强与税务及非税执收部门的沟通协调，强化收入征管。不折不扣落实国家组合式减税降费重大决策部署，通过“线上+线下”相结合方式进行政策宣传，加强统筹协调确保政策落实到位，政策红利释放“真金白银”，发挥了为市场主体“输血”“活血”的积极作用。盘活存量资金，盘活财政存量资金0.59亿元，有效提高财政资金使用效益。多措并举全力保障疫情防控等各项支出，通过动用预备费、统筹上级补助和盘活存量资金等方式，投入资金超过4亿元。积极争取债券资金，充分发挥财政部门职能作用，202</w:t>
      </w:r>
      <w:r>
        <w:rPr>
          <w:color w:val="0D0D0D" w:themeColor="text1" w:themeTint="F2"/>
          <w14:textFill>
            <w14:solidFill>
              <w14:schemeClr w14:val="tx1">
                <w14:lumMod w14:val="95000"/>
                <w14:lumOff w14:val="5000"/>
              </w14:schemeClr>
            </w14:solidFill>
          </w14:textFill>
        </w:rPr>
        <w:t>2</w:t>
      </w:r>
      <w:r>
        <w:rPr>
          <w:rFonts w:hint="eastAsia"/>
          <w:color w:val="0D0D0D" w:themeColor="text1" w:themeTint="F2"/>
          <w14:textFill>
            <w14:solidFill>
              <w14:schemeClr w14:val="tx1">
                <w14:lumMod w14:val="95000"/>
                <w14:lumOff w14:val="5000"/>
              </w14:schemeClr>
            </w14:solidFill>
          </w14:textFill>
        </w:rPr>
        <w:t>年争取一般债券</w:t>
      </w:r>
      <w:r>
        <w:rPr>
          <w:color w:val="0D0D0D" w:themeColor="text1" w:themeTint="F2"/>
          <w14:textFill>
            <w14:solidFill>
              <w14:schemeClr w14:val="tx1">
                <w14:lumMod w14:val="95000"/>
                <w14:lumOff w14:val="5000"/>
              </w14:schemeClr>
            </w14:solidFill>
          </w14:textFill>
        </w:rPr>
        <w:t>5.1</w:t>
      </w:r>
      <w:r>
        <w:rPr>
          <w:rFonts w:hint="eastAsia"/>
          <w:color w:val="0D0D0D" w:themeColor="text1" w:themeTint="F2"/>
          <w14:textFill>
            <w14:solidFill>
              <w14:schemeClr w14:val="tx1">
                <w14:lumMod w14:val="95000"/>
                <w14:lumOff w14:val="5000"/>
              </w14:schemeClr>
            </w14:solidFill>
          </w14:textFill>
        </w:rPr>
        <w:t>亿元，专项债券</w:t>
      </w:r>
      <w:r>
        <w:rPr>
          <w:color w:val="0D0D0D" w:themeColor="text1" w:themeTint="F2"/>
          <w14:textFill>
            <w14:solidFill>
              <w14:schemeClr w14:val="tx1">
                <w14:lumMod w14:val="95000"/>
                <w14:lumOff w14:val="5000"/>
              </w14:schemeClr>
            </w14:solidFill>
          </w14:textFill>
        </w:rPr>
        <w:t>138.7</w:t>
      </w:r>
      <w:r>
        <w:rPr>
          <w:rFonts w:hint="eastAsia"/>
          <w:color w:val="0D0D0D" w:themeColor="text1" w:themeTint="F2"/>
          <w14:textFill>
            <w14:solidFill>
              <w14:schemeClr w14:val="tx1">
                <w14:lumMod w14:val="95000"/>
                <w14:lumOff w14:val="5000"/>
              </w14:schemeClr>
            </w14:solidFill>
          </w14:textFill>
        </w:rPr>
        <w:t>亿元。继续压减一般性支出，严格控制预算单位追加事项，进一步压减非刚性、非重点支出。</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财政管理效能不断提升。进一步完善预算管理制度，修订《重庆高新区区级预算管理办法》，进一步规范预算追加和调剂事项，审慎出台增支政策。开展2</w:t>
      </w:r>
      <w:r>
        <w:rPr>
          <w:color w:val="0D0D0D" w:themeColor="text1" w:themeTint="F2"/>
          <w14:textFill>
            <w14:solidFill>
              <w14:schemeClr w14:val="tx1">
                <w14:lumMod w14:val="95000"/>
                <w14:lumOff w14:val="5000"/>
              </w14:schemeClr>
            </w14:solidFill>
          </w14:textFill>
        </w:rPr>
        <w:t>023</w:t>
      </w:r>
      <w:r>
        <w:rPr>
          <w:rFonts w:hint="eastAsia"/>
          <w:color w:val="0D0D0D" w:themeColor="text1" w:themeTint="F2"/>
          <w14:textFill>
            <w14:solidFill>
              <w14:schemeClr w14:val="tx1">
                <w14:lumMod w14:val="95000"/>
                <w14:lumOff w14:val="5000"/>
              </w14:schemeClr>
            </w14:solidFill>
          </w14:textFill>
        </w:rPr>
        <w:t>年预算编制公开评审全覆盖，邀请市级相关专家，从项目依据、绩效设定、实施条件、经费预算等方面进行评审，强化部门整体收支评审和评审结果应用，预算编制科学化、精细化水平得到明显提升。促进预算和绩效管理深度融合，预算绩效管理政策逐步完善。</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建立常态化财会监督管理机制。坚持以健全内控制度为保障，筑牢安全防线。不断强化制度建设和流程管理，运用预算管理一体化系统，实现从预算到核算的全流程动态化管理，增强预算执行规范性和透明度，硬化预算约束。加强对各预算单位专项资金使用管理、预决算公开、财务管理与资产资源配置、会计信息质量等10余项财政财务业务开展监督检查和持续培训督导，有效促进了单位财务的规范管理。</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整体来看，2022年重庆高新区财政预算执行情况良好，面对疫情突发、经济下行压力加大等复杂形势，切实落实积极的财政政策提质增效、政策靠前发力等要求，在持续优化支出结构的基础上，确保支出强度，聚焦保障疫情防控、助企纾困、基本民生等重点领域，有力支撑西部科学城重庆高新区经济社会平稳运行，但同时也面临一定风险挑战，主要包括：一是财政增收乏力更加凸显，持续增收的基础还不牢固，尤其是2</w:t>
      </w:r>
      <w:r>
        <w:rPr>
          <w:color w:val="0D0D0D" w:themeColor="text1" w:themeTint="F2"/>
          <w14:textFill>
            <w14:solidFill>
              <w14:schemeClr w14:val="tx1">
                <w14:lumMod w14:val="95000"/>
                <w14:lumOff w14:val="5000"/>
              </w14:schemeClr>
            </w14:solidFill>
          </w14:textFill>
        </w:rPr>
        <w:t>022</w:t>
      </w:r>
      <w:r>
        <w:rPr>
          <w:rFonts w:hint="eastAsia"/>
          <w:color w:val="0D0D0D" w:themeColor="text1" w:themeTint="F2"/>
          <w14:textFill>
            <w14:solidFill>
              <w14:schemeClr w14:val="tx1">
                <w14:lumMod w14:val="95000"/>
                <w14:lumOff w14:val="5000"/>
              </w14:schemeClr>
            </w14:solidFill>
          </w14:textFill>
        </w:rPr>
        <w:t>年受疫情多点散发、房地产形势异常低迷以及宏观经济“三重压力”影响，本级收入面临减收因素多影响大、新增税源不足、收入结构不优质量不高等问题。二是紧平衡特征进一步凸显，本级财政收入规模较小叠加支出规模尤其是刚性支出快速扩张，本级收支缺口进一步扩大，财政统筹各类资源的难度加大、空间变小。</w:t>
      </w:r>
    </w:p>
    <w:p>
      <w:pPr>
        <w:pStyle w:val="2"/>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二、2</w:t>
      </w:r>
      <w:r>
        <w:rPr>
          <w:color w:val="0D0D0D" w:themeColor="text1" w:themeTint="F2"/>
          <w14:textFill>
            <w14:solidFill>
              <w14:schemeClr w14:val="tx1">
                <w14:lumMod w14:val="95000"/>
                <w14:lumOff w14:val="5000"/>
              </w14:schemeClr>
            </w14:solidFill>
          </w14:textFill>
        </w:rPr>
        <w:t>022</w:t>
      </w:r>
      <w:r>
        <w:rPr>
          <w:rFonts w:hint="eastAsia"/>
          <w:color w:val="0D0D0D" w:themeColor="text1" w:themeTint="F2"/>
          <w14:textFill>
            <w14:solidFill>
              <w14:schemeClr w14:val="tx1">
                <w14:lumMod w14:val="95000"/>
                <w14:lumOff w14:val="5000"/>
              </w14:schemeClr>
            </w14:solidFill>
          </w14:textFill>
        </w:rPr>
        <w:t>年预算执行情况</w:t>
      </w:r>
    </w:p>
    <w:p>
      <w:pPr>
        <w:pStyle w:val="3"/>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（一）一般公共预算执行情况</w:t>
      </w:r>
    </w:p>
    <w:p>
      <w:pPr>
        <w:ind w:firstLine="640"/>
        <w:rPr>
          <w:color w:val="0D0D0D" w:themeColor="text1" w:themeTint="F2"/>
          <w:spacing w:val="-6"/>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一般公共预算收入完成</w:t>
      </w:r>
      <w:r>
        <w:rPr>
          <w:color w:val="0D0D0D" w:themeColor="text1" w:themeTint="F2"/>
          <w14:textFill>
            <w14:solidFill>
              <w14:schemeClr w14:val="tx1">
                <w14:lumMod w14:val="95000"/>
                <w14:lumOff w14:val="5000"/>
              </w14:schemeClr>
            </w14:solidFill>
          </w14:textFill>
        </w:rPr>
        <w:t>29.4</w:t>
      </w:r>
      <w:r>
        <w:rPr>
          <w:rFonts w:hint="eastAsia"/>
          <w:color w:val="0D0D0D" w:themeColor="text1" w:themeTint="F2"/>
          <w14:textFill>
            <w14:solidFill>
              <w14:schemeClr w14:val="tx1">
                <w14:lumMod w14:val="95000"/>
                <w14:lumOff w14:val="5000"/>
              </w14:schemeClr>
            </w14:solidFill>
          </w14:textFill>
        </w:rPr>
        <w:t>亿元，同口径增长0</w:t>
      </w:r>
      <w:r>
        <w:rPr>
          <w:color w:val="0D0D0D" w:themeColor="text1" w:themeTint="F2"/>
          <w14:textFill>
            <w14:solidFill>
              <w14:schemeClr w14:val="tx1">
                <w14:lumMod w14:val="95000"/>
                <w14:lumOff w14:val="5000"/>
              </w14:schemeClr>
            </w14:solidFill>
          </w14:textFill>
        </w:rPr>
        <w:t>.3</w:t>
      </w:r>
      <w:r>
        <w:rPr>
          <w:rFonts w:hint="eastAsia"/>
          <w:color w:val="0D0D0D" w:themeColor="text1" w:themeTint="F2"/>
          <w14:textFill>
            <w14:solidFill>
              <w14:schemeClr w14:val="tx1">
                <w14:lumMod w14:val="95000"/>
                <w14:lumOff w14:val="5000"/>
              </w14:schemeClr>
            </w14:solidFill>
          </w14:textFill>
        </w:rPr>
        <w:t>%，为调整预算的</w:t>
      </w:r>
      <w:r>
        <w:rPr>
          <w:color w:val="0D0D0D" w:themeColor="text1" w:themeTint="F2"/>
          <w14:textFill>
            <w14:solidFill>
              <w14:schemeClr w14:val="tx1">
                <w14:lumMod w14:val="95000"/>
                <w14:lumOff w14:val="5000"/>
              </w14:schemeClr>
            </w14:solidFill>
          </w14:textFill>
        </w:rPr>
        <w:t>106.4</w:t>
      </w:r>
      <w:r>
        <w:rPr>
          <w:rFonts w:hint="eastAsia"/>
          <w:color w:val="0D0D0D" w:themeColor="text1" w:themeTint="F2"/>
          <w14:textFill>
            <w14:solidFill>
              <w14:schemeClr w14:val="tx1">
                <w14:lumMod w14:val="95000"/>
                <w14:lumOff w14:val="5000"/>
              </w14:schemeClr>
            </w14:solidFill>
          </w14:textFill>
        </w:rPr>
        <w:t>%。其中税收收入完成</w:t>
      </w:r>
      <w:r>
        <w:rPr>
          <w:color w:val="0D0D0D" w:themeColor="text1" w:themeTint="F2"/>
          <w14:textFill>
            <w14:solidFill>
              <w14:schemeClr w14:val="tx1">
                <w14:lumMod w14:val="95000"/>
                <w14:lumOff w14:val="5000"/>
              </w14:schemeClr>
            </w14:solidFill>
          </w14:textFill>
        </w:rPr>
        <w:t>22.6</w:t>
      </w:r>
      <w:r>
        <w:rPr>
          <w:rFonts w:hint="eastAsia"/>
          <w:color w:val="0D0D0D" w:themeColor="text1" w:themeTint="F2"/>
          <w14:textFill>
            <w14:solidFill>
              <w14:schemeClr w14:val="tx1">
                <w14:lumMod w14:val="95000"/>
                <w14:lumOff w14:val="5000"/>
              </w14:schemeClr>
            </w14:solidFill>
          </w14:textFill>
        </w:rPr>
        <w:t>亿元，同口径下降</w:t>
      </w:r>
      <w:r>
        <w:rPr>
          <w:color w:val="0D0D0D" w:themeColor="text1" w:themeTint="F2"/>
          <w14:textFill>
            <w14:solidFill>
              <w14:schemeClr w14:val="tx1">
                <w14:lumMod w14:val="95000"/>
                <w14:lumOff w14:val="5000"/>
              </w14:schemeClr>
            </w14:solidFill>
          </w14:textFill>
        </w:rPr>
        <w:t>13.6</w:t>
      </w:r>
      <w:r>
        <w:rPr>
          <w:rFonts w:hint="eastAsia"/>
          <w:color w:val="0D0D0D" w:themeColor="text1" w:themeTint="F2"/>
          <w14:textFill>
            <w14:solidFill>
              <w14:schemeClr w14:val="tx1">
                <w14:lumMod w14:val="95000"/>
                <w14:lumOff w14:val="5000"/>
              </w14:schemeClr>
            </w14:solidFill>
          </w14:textFill>
        </w:rPr>
        <w:t>%，为调整预算的</w:t>
      </w:r>
      <w:r>
        <w:rPr>
          <w:color w:val="0D0D0D" w:themeColor="text1" w:themeTint="F2"/>
          <w14:textFill>
            <w14:solidFill>
              <w14:schemeClr w14:val="tx1">
                <w14:lumMod w14:val="95000"/>
                <w14:lumOff w14:val="5000"/>
              </w14:schemeClr>
            </w14:solidFill>
          </w14:textFill>
        </w:rPr>
        <w:t>101.4</w:t>
      </w:r>
      <w:r>
        <w:rPr>
          <w:rFonts w:hint="eastAsia"/>
          <w:color w:val="0D0D0D" w:themeColor="text1" w:themeTint="F2"/>
          <w14:textFill>
            <w14:solidFill>
              <w14:schemeClr w14:val="tx1">
                <w14:lumMod w14:val="95000"/>
                <w14:lumOff w14:val="5000"/>
              </w14:schemeClr>
            </w14:solidFill>
          </w14:textFill>
        </w:rPr>
        <w:t>%；非税收入完成</w:t>
      </w:r>
      <w:r>
        <w:rPr>
          <w:color w:val="0D0D0D" w:themeColor="text1" w:themeTint="F2"/>
          <w14:textFill>
            <w14:solidFill>
              <w14:schemeClr w14:val="tx1">
                <w14:lumMod w14:val="95000"/>
                <w14:lumOff w14:val="5000"/>
              </w14:schemeClr>
            </w14:solidFill>
          </w14:textFill>
        </w:rPr>
        <w:t>6.8</w:t>
      </w:r>
      <w:r>
        <w:rPr>
          <w:rFonts w:hint="eastAsia"/>
          <w:color w:val="0D0D0D" w:themeColor="text1" w:themeTint="F2"/>
          <w14:textFill>
            <w14:solidFill>
              <w14:schemeClr w14:val="tx1">
                <w14:lumMod w14:val="95000"/>
                <w14:lumOff w14:val="5000"/>
              </w14:schemeClr>
            </w14:solidFill>
          </w14:textFill>
        </w:rPr>
        <w:t>亿元，增长</w:t>
      </w:r>
      <w:r>
        <w:rPr>
          <w:color w:val="0D0D0D" w:themeColor="text1" w:themeTint="F2"/>
          <w14:textFill>
            <w14:solidFill>
              <w14:schemeClr w14:val="tx1">
                <w14:lumMod w14:val="95000"/>
                <w14:lumOff w14:val="5000"/>
              </w14:schemeClr>
            </w14:solidFill>
          </w14:textFill>
        </w:rPr>
        <w:t>237</w:t>
      </w:r>
      <w:r>
        <w:rPr>
          <w:rFonts w:hint="eastAsia"/>
          <w:color w:val="0D0D0D" w:themeColor="text1" w:themeTint="F2"/>
          <w14:textFill>
            <w14:solidFill>
              <w14:schemeClr w14:val="tx1">
                <w14:lumMod w14:val="95000"/>
                <w14:lumOff w14:val="5000"/>
              </w14:schemeClr>
            </w14:solidFill>
          </w14:textFill>
        </w:rPr>
        <w:t>%，为调</w:t>
      </w:r>
      <w:r>
        <w:rPr>
          <w:rFonts w:hint="eastAsia"/>
          <w:color w:val="0D0D0D" w:themeColor="text1" w:themeTint="F2"/>
          <w:spacing w:val="-6"/>
          <w14:textFill>
            <w14:solidFill>
              <w14:schemeClr w14:val="tx1">
                <w14:lumMod w14:val="95000"/>
                <w14:lumOff w14:val="5000"/>
              </w14:schemeClr>
            </w14:solidFill>
          </w14:textFill>
        </w:rPr>
        <w:t>整预算的</w:t>
      </w:r>
      <w:r>
        <w:rPr>
          <w:color w:val="0D0D0D" w:themeColor="text1" w:themeTint="F2"/>
          <w:spacing w:val="-6"/>
          <w14:textFill>
            <w14:solidFill>
              <w14:schemeClr w14:val="tx1">
                <w14:lumMod w14:val="95000"/>
                <w14:lumOff w14:val="5000"/>
              </w14:schemeClr>
            </w14:solidFill>
          </w14:textFill>
        </w:rPr>
        <w:t>127</w:t>
      </w:r>
      <w:r>
        <w:rPr>
          <w:rFonts w:hint="eastAsia"/>
          <w:color w:val="0D0D0D" w:themeColor="text1" w:themeTint="F2"/>
          <w:spacing w:val="-6"/>
          <w14:textFill>
            <w14:solidFill>
              <w14:schemeClr w14:val="tx1">
                <w14:lumMod w14:val="95000"/>
                <w14:lumOff w14:val="5000"/>
              </w14:schemeClr>
            </w14:solidFill>
          </w14:textFill>
        </w:rPr>
        <w:t>%。本级收入加上级补助</w:t>
      </w:r>
      <w:r>
        <w:rPr>
          <w:color w:val="0D0D0D" w:themeColor="text1" w:themeTint="F2"/>
          <w:spacing w:val="-6"/>
          <w14:textFill>
            <w14:solidFill>
              <w14:schemeClr w14:val="tx1">
                <w14:lumMod w14:val="95000"/>
                <w14:lumOff w14:val="5000"/>
              </w14:schemeClr>
            </w14:solidFill>
          </w14:textFill>
        </w:rPr>
        <w:t>38.2</w:t>
      </w:r>
      <w:r>
        <w:rPr>
          <w:rFonts w:hint="eastAsia"/>
          <w:color w:val="0D0D0D" w:themeColor="text1" w:themeTint="F2"/>
          <w:spacing w:val="-6"/>
          <w14:textFill>
            <w14:solidFill>
              <w14:schemeClr w14:val="tx1">
                <w14:lumMod w14:val="95000"/>
                <w14:lumOff w14:val="5000"/>
              </w14:schemeClr>
            </w14:solidFill>
          </w14:textFill>
        </w:rPr>
        <w:t>亿元、债务转贷收入</w:t>
      </w:r>
      <w:r>
        <w:rPr>
          <w:color w:val="0D0D0D" w:themeColor="text1" w:themeTint="F2"/>
          <w:spacing w:val="-6"/>
          <w14:textFill>
            <w14:solidFill>
              <w14:schemeClr w14:val="tx1">
                <w14:lumMod w14:val="95000"/>
                <w14:lumOff w14:val="5000"/>
              </w14:schemeClr>
            </w14:solidFill>
          </w14:textFill>
        </w:rPr>
        <w:t>5.1</w:t>
      </w:r>
      <w:r>
        <w:rPr>
          <w:rFonts w:hint="eastAsia"/>
          <w:color w:val="0D0D0D" w:themeColor="text1" w:themeTint="F2"/>
          <w:spacing w:val="-6"/>
          <w14:textFill>
            <w14:solidFill>
              <w14:schemeClr w14:val="tx1">
                <w14:lumMod w14:val="95000"/>
                <w14:lumOff w14:val="5000"/>
              </w14:schemeClr>
            </w14:solidFill>
          </w14:textFill>
        </w:rPr>
        <w:t>亿元、调入资金</w:t>
      </w:r>
      <w:r>
        <w:rPr>
          <w:color w:val="0D0D0D" w:themeColor="text1" w:themeTint="F2"/>
          <w:spacing w:val="-6"/>
          <w14:textFill>
            <w14:solidFill>
              <w14:schemeClr w14:val="tx1">
                <w14:lumMod w14:val="95000"/>
                <w14:lumOff w14:val="5000"/>
              </w14:schemeClr>
            </w14:solidFill>
          </w14:textFill>
        </w:rPr>
        <w:t>17.4</w:t>
      </w:r>
      <w:r>
        <w:rPr>
          <w:rFonts w:hint="eastAsia"/>
          <w:color w:val="0D0D0D" w:themeColor="text1" w:themeTint="F2"/>
          <w:spacing w:val="-6"/>
          <w14:textFill>
            <w14:solidFill>
              <w14:schemeClr w14:val="tx1">
                <w14:lumMod w14:val="95000"/>
                <w14:lumOff w14:val="5000"/>
              </w14:schemeClr>
            </w14:solidFill>
          </w14:textFill>
        </w:rPr>
        <w:t>亿元、上年结转</w:t>
      </w:r>
      <w:r>
        <w:rPr>
          <w:color w:val="0D0D0D" w:themeColor="text1" w:themeTint="F2"/>
          <w:spacing w:val="-6"/>
          <w14:textFill>
            <w14:solidFill>
              <w14:schemeClr w14:val="tx1">
                <w14:lumMod w14:val="95000"/>
                <w14:lumOff w14:val="5000"/>
              </w14:schemeClr>
            </w14:solidFill>
          </w14:textFill>
        </w:rPr>
        <w:t>4.6</w:t>
      </w:r>
      <w:r>
        <w:rPr>
          <w:rFonts w:hint="eastAsia"/>
          <w:color w:val="0D0D0D" w:themeColor="text1" w:themeTint="F2"/>
          <w:spacing w:val="-6"/>
          <w14:textFill>
            <w14:solidFill>
              <w14:schemeClr w14:val="tx1">
                <w14:lumMod w14:val="95000"/>
                <w14:lumOff w14:val="5000"/>
              </w14:schemeClr>
            </w14:solidFill>
          </w14:textFill>
        </w:rPr>
        <w:t>亿元，收入总计</w:t>
      </w:r>
      <w:r>
        <w:rPr>
          <w:color w:val="0D0D0D" w:themeColor="text1" w:themeTint="F2"/>
          <w:spacing w:val="-6"/>
          <w14:textFill>
            <w14:solidFill>
              <w14:schemeClr w14:val="tx1">
                <w14:lumMod w14:val="95000"/>
                <w14:lumOff w14:val="5000"/>
              </w14:schemeClr>
            </w14:solidFill>
          </w14:textFill>
        </w:rPr>
        <w:t>94.7</w:t>
      </w:r>
      <w:r>
        <w:rPr>
          <w:rFonts w:hint="eastAsia"/>
          <w:color w:val="0D0D0D" w:themeColor="text1" w:themeTint="F2"/>
          <w:spacing w:val="-6"/>
          <w14:textFill>
            <w14:solidFill>
              <w14:schemeClr w14:val="tx1">
                <w14:lumMod w14:val="95000"/>
                <w14:lumOff w14:val="5000"/>
              </w14:schemeClr>
            </w14:solidFill>
          </w14:textFill>
        </w:rPr>
        <w:t>亿元。</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一般公共预算本级支出</w:t>
      </w:r>
      <w:r>
        <w:rPr>
          <w:color w:val="0D0D0D" w:themeColor="text1" w:themeTint="F2"/>
          <w14:textFill>
            <w14:solidFill>
              <w14:schemeClr w14:val="tx1">
                <w14:lumMod w14:val="95000"/>
                <w14:lumOff w14:val="5000"/>
              </w14:schemeClr>
            </w14:solidFill>
          </w14:textFill>
        </w:rPr>
        <w:t>85</w:t>
      </w:r>
      <w:r>
        <w:rPr>
          <w:rFonts w:hint="eastAsia"/>
          <w:color w:val="0D0D0D" w:themeColor="text1" w:themeTint="F2"/>
          <w14:textFill>
            <w14:solidFill>
              <w14:schemeClr w14:val="tx1">
                <w14:lumMod w14:val="95000"/>
                <w14:lumOff w14:val="5000"/>
              </w14:schemeClr>
            </w14:solidFill>
          </w14:textFill>
        </w:rPr>
        <w:t>亿元，加上解上级支出</w:t>
      </w:r>
      <w:r>
        <w:rPr>
          <w:color w:val="0D0D0D" w:themeColor="text1" w:themeTint="F2"/>
          <w14:textFill>
            <w14:solidFill>
              <w14:schemeClr w14:val="tx1">
                <w14:lumMod w14:val="95000"/>
                <w14:lumOff w14:val="5000"/>
              </w14:schemeClr>
            </w14:solidFill>
          </w14:textFill>
        </w:rPr>
        <w:t>1</w:t>
      </w:r>
      <w:r>
        <w:rPr>
          <w:rFonts w:hint="eastAsia"/>
          <w:color w:val="0D0D0D" w:themeColor="text1" w:themeTint="F2"/>
          <w14:textFill>
            <w14:solidFill>
              <w14:schemeClr w14:val="tx1">
                <w14:lumMod w14:val="95000"/>
                <w14:lumOff w14:val="5000"/>
              </w14:schemeClr>
            </w14:solidFill>
          </w14:textFill>
        </w:rPr>
        <w:t>亿元、安排预算稳定调节基金</w:t>
      </w:r>
      <w:r>
        <w:rPr>
          <w:color w:val="0D0D0D" w:themeColor="text1" w:themeTint="F2"/>
          <w14:textFill>
            <w14:solidFill>
              <w14:schemeClr w14:val="tx1">
                <w14:lumMod w14:val="95000"/>
                <w14:lumOff w14:val="5000"/>
              </w14:schemeClr>
            </w14:solidFill>
          </w14:textFill>
        </w:rPr>
        <w:t>4.8</w:t>
      </w:r>
      <w:r>
        <w:rPr>
          <w:rFonts w:hint="eastAsia"/>
          <w:color w:val="0D0D0D" w:themeColor="text1" w:themeTint="F2"/>
          <w14:textFill>
            <w14:solidFill>
              <w14:schemeClr w14:val="tx1">
                <w14:lumMod w14:val="95000"/>
                <w14:lumOff w14:val="5000"/>
              </w14:schemeClr>
            </w14:solidFill>
          </w14:textFill>
        </w:rPr>
        <w:t>亿元、结转下年</w:t>
      </w:r>
      <w:r>
        <w:rPr>
          <w:color w:val="0D0D0D" w:themeColor="text1" w:themeTint="F2"/>
          <w14:textFill>
            <w14:solidFill>
              <w14:schemeClr w14:val="tx1">
                <w14:lumMod w14:val="95000"/>
                <w14:lumOff w14:val="5000"/>
              </w14:schemeClr>
            </w14:solidFill>
          </w14:textFill>
        </w:rPr>
        <w:t>3.9</w:t>
      </w:r>
      <w:r>
        <w:rPr>
          <w:rFonts w:hint="eastAsia"/>
          <w:color w:val="0D0D0D" w:themeColor="text1" w:themeTint="F2"/>
          <w14:textFill>
            <w14:solidFill>
              <w14:schemeClr w14:val="tx1">
                <w14:lumMod w14:val="95000"/>
                <w14:lumOff w14:val="5000"/>
              </w14:schemeClr>
            </w14:solidFill>
          </w14:textFill>
        </w:rPr>
        <w:t>亿元，支出总计</w:t>
      </w:r>
      <w:r>
        <w:rPr>
          <w:color w:val="0D0D0D" w:themeColor="text1" w:themeTint="F2"/>
          <w14:textFill>
            <w14:solidFill>
              <w14:schemeClr w14:val="tx1">
                <w14:lumMod w14:val="95000"/>
                <w14:lumOff w14:val="5000"/>
              </w14:schemeClr>
            </w14:solidFill>
          </w14:textFill>
        </w:rPr>
        <w:t>94.7</w:t>
      </w:r>
      <w:r>
        <w:rPr>
          <w:rFonts w:hint="eastAsia"/>
          <w:color w:val="0D0D0D" w:themeColor="text1" w:themeTint="F2"/>
          <w14:textFill>
            <w14:solidFill>
              <w14:schemeClr w14:val="tx1">
                <w14:lumMod w14:val="95000"/>
                <w14:lumOff w14:val="5000"/>
              </w14:schemeClr>
            </w14:solidFill>
          </w14:textFill>
        </w:rPr>
        <w:t>亿元。</w:t>
      </w:r>
    </w:p>
    <w:tbl>
      <w:tblPr>
        <w:tblStyle w:val="7"/>
        <w:tblW w:w="9356" w:type="dxa"/>
        <w:tblInd w:w="0" w:type="dxa"/>
        <w:tblLayout w:type="autofit"/>
        <w:tblCellMar>
          <w:top w:w="0" w:type="dxa"/>
          <w:left w:w="108" w:type="dxa"/>
          <w:bottom w:w="0" w:type="dxa"/>
          <w:right w:w="108" w:type="dxa"/>
        </w:tblCellMar>
      </w:tblPr>
      <w:tblGrid>
        <w:gridCol w:w="3828"/>
        <w:gridCol w:w="1134"/>
        <w:gridCol w:w="2976"/>
        <w:gridCol w:w="1418"/>
      </w:tblGrid>
      <w:tr>
        <w:tblPrEx>
          <w:tblCellMar>
            <w:top w:w="0" w:type="dxa"/>
            <w:left w:w="108" w:type="dxa"/>
            <w:bottom w:w="0" w:type="dxa"/>
            <w:right w:w="108" w:type="dxa"/>
          </w:tblCellMar>
        </w:tblPrEx>
        <w:trPr>
          <w:trHeight w:val="372" w:hRule="atLeast"/>
          <w:tblHeader/>
        </w:trPr>
        <w:tc>
          <w:tcPr>
            <w:tcW w:w="9356" w:type="dxa"/>
            <w:gridSpan w:val="4"/>
            <w:tcBorders>
              <w:top w:val="nil"/>
              <w:left w:val="nil"/>
              <w:bottom w:val="nil"/>
              <w:right w:val="nil"/>
            </w:tcBorders>
            <w:shd w:val="clear" w:color="auto" w:fill="auto"/>
            <w:noWrap/>
            <w:vAlign w:val="center"/>
          </w:tcPr>
          <w:p>
            <w:pPr>
              <w:widowControl/>
              <w:spacing w:line="240" w:lineRule="auto"/>
              <w:ind w:firstLine="0" w:firstLineChars="0"/>
              <w:jc w:val="center"/>
              <w:rPr>
                <w:rFonts w:eastAsia="方正黑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重庆高新区</w:t>
            </w:r>
            <w:r>
              <w:rPr>
                <w:rFonts w:eastAsia="方正黑体_GBK" w:cs="Times New Roman"/>
                <w:color w:val="0D0D0D" w:themeColor="text1" w:themeTint="F2"/>
                <w:kern w:val="0"/>
                <w:sz w:val="28"/>
                <w:szCs w:val="28"/>
                <w14:textFill>
                  <w14:solidFill>
                    <w14:schemeClr w14:val="tx1">
                      <w14:lumMod w14:val="95000"/>
                      <w14:lumOff w14:val="5000"/>
                    </w14:schemeClr>
                  </w14:solidFill>
                </w14:textFill>
              </w:rPr>
              <w:t>2022</w:t>
            </w: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年一般公共预算执行情况表</w:t>
            </w:r>
          </w:p>
        </w:tc>
      </w:tr>
      <w:tr>
        <w:tblPrEx>
          <w:tblCellMar>
            <w:top w:w="0" w:type="dxa"/>
            <w:left w:w="108" w:type="dxa"/>
            <w:bottom w:w="0" w:type="dxa"/>
            <w:right w:w="108" w:type="dxa"/>
          </w:tblCellMar>
        </w:tblPrEx>
        <w:trPr>
          <w:trHeight w:val="336" w:hRule="atLeast"/>
          <w:tblHeader/>
        </w:trPr>
        <w:tc>
          <w:tcPr>
            <w:tcW w:w="3828" w:type="dxa"/>
            <w:tcBorders>
              <w:top w:val="nil"/>
              <w:left w:val="nil"/>
              <w:bottom w:val="single" w:color="auto" w:sz="8" w:space="0"/>
              <w:right w:val="nil"/>
            </w:tcBorders>
            <w:shd w:val="clear" w:color="auto" w:fill="auto"/>
            <w:vAlign w:val="center"/>
          </w:tcPr>
          <w:p>
            <w:pPr>
              <w:widowControl/>
              <w:spacing w:line="240" w:lineRule="auto"/>
              <w:ind w:firstLine="0" w:firstLineChars="0"/>
              <w:jc w:val="left"/>
              <w:rPr>
                <w:rFonts w:eastAsia="等线" w:cs="宋体"/>
                <w:color w:val="0D0D0D" w:themeColor="text1" w:themeTint="F2"/>
                <w:kern w:val="0"/>
                <w:sz w:val="21"/>
                <w:szCs w:val="21"/>
                <w14:textFill>
                  <w14:solidFill>
                    <w14:schemeClr w14:val="tx1">
                      <w14:lumMod w14:val="95000"/>
                      <w14:lumOff w14:val="5000"/>
                    </w14:schemeClr>
                  </w14:solidFill>
                </w14:textFill>
              </w:rPr>
            </w:pPr>
            <w:r>
              <w:rPr>
                <w:rFonts w:hint="eastAsia" w:hAnsi="等线" w:eastAsia="等线" w:cs="宋体"/>
                <w:color w:val="0D0D0D" w:themeColor="text1" w:themeTint="F2"/>
                <w:kern w:val="0"/>
                <w:sz w:val="21"/>
                <w:szCs w:val="21"/>
                <w14:textFill>
                  <w14:solidFill>
                    <w14:schemeClr w14:val="tx1">
                      <w14:lumMod w14:val="95000"/>
                      <w14:lumOff w14:val="5000"/>
                    </w14:schemeClr>
                  </w14:solidFill>
                </w14:textFill>
              </w:rPr>
              <w:t>　</w:t>
            </w:r>
          </w:p>
        </w:tc>
        <w:tc>
          <w:tcPr>
            <w:tcW w:w="1134"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left"/>
              <w:rPr>
                <w:rFonts w:eastAsia="等线" w:cs="宋体"/>
                <w:color w:val="0D0D0D" w:themeColor="text1" w:themeTint="F2"/>
                <w:kern w:val="0"/>
                <w:sz w:val="21"/>
                <w:szCs w:val="21"/>
                <w14:textFill>
                  <w14:solidFill>
                    <w14:schemeClr w14:val="tx1">
                      <w14:lumMod w14:val="95000"/>
                      <w14:lumOff w14:val="5000"/>
                    </w14:schemeClr>
                  </w14:solidFill>
                </w14:textFill>
              </w:rPr>
            </w:pPr>
            <w:r>
              <w:rPr>
                <w:rFonts w:hint="eastAsia" w:hAnsi="等线" w:eastAsia="等线" w:cs="宋体"/>
                <w:color w:val="0D0D0D" w:themeColor="text1" w:themeTint="F2"/>
                <w:kern w:val="0"/>
                <w:sz w:val="21"/>
                <w:szCs w:val="21"/>
                <w14:textFill>
                  <w14:solidFill>
                    <w14:schemeClr w14:val="tx1">
                      <w14:lumMod w14:val="95000"/>
                      <w14:lumOff w14:val="5000"/>
                    </w14:schemeClr>
                  </w14:solidFill>
                </w14:textFill>
              </w:rPr>
              <w:t>　</w:t>
            </w:r>
          </w:p>
        </w:tc>
        <w:tc>
          <w:tcPr>
            <w:tcW w:w="2976"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left"/>
              <w:rPr>
                <w:rFonts w:eastAsia="等线" w:cs="宋体"/>
                <w:color w:val="0D0D0D" w:themeColor="text1" w:themeTint="F2"/>
                <w:kern w:val="0"/>
                <w:sz w:val="21"/>
                <w:szCs w:val="21"/>
                <w14:textFill>
                  <w14:solidFill>
                    <w14:schemeClr w14:val="tx1">
                      <w14:lumMod w14:val="95000"/>
                      <w14:lumOff w14:val="5000"/>
                    </w14:schemeClr>
                  </w14:solidFill>
                </w14:textFill>
              </w:rPr>
            </w:pPr>
            <w:r>
              <w:rPr>
                <w:rFonts w:hint="eastAsia" w:hAnsi="等线" w:eastAsia="等线" w:cs="宋体"/>
                <w:color w:val="0D0D0D" w:themeColor="text1" w:themeTint="F2"/>
                <w:kern w:val="0"/>
                <w:sz w:val="21"/>
                <w:szCs w:val="21"/>
                <w14:textFill>
                  <w14:solidFill>
                    <w14:schemeClr w14:val="tx1">
                      <w14:lumMod w14:val="95000"/>
                      <w14:lumOff w14:val="5000"/>
                    </w14:schemeClr>
                  </w14:solidFill>
                </w14:textFill>
              </w:rPr>
              <w:t>　</w:t>
            </w:r>
          </w:p>
        </w:tc>
        <w:tc>
          <w:tcPr>
            <w:tcW w:w="1418" w:type="dxa"/>
            <w:tcBorders>
              <w:top w:val="nil"/>
              <w:left w:val="nil"/>
              <w:bottom w:val="single" w:color="auto" w:sz="8" w:space="0"/>
              <w:right w:val="nil"/>
            </w:tcBorders>
            <w:shd w:val="clear" w:color="auto" w:fill="auto"/>
            <w:noWrap/>
            <w:vAlign w:val="center"/>
          </w:tcPr>
          <w:p>
            <w:pPr>
              <w:widowControl/>
              <w:spacing w:line="240" w:lineRule="auto"/>
              <w:ind w:firstLine="0" w:firstLineChars="0"/>
              <w:jc w:val="right"/>
              <w:rPr>
                <w:rFonts w:eastAsia="方正楷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楷体_GBK" w:cs="宋体"/>
                <w:color w:val="0D0D0D" w:themeColor="text1" w:themeTint="F2"/>
                <w:kern w:val="0"/>
                <w:sz w:val="24"/>
                <w:szCs w:val="24"/>
                <w14:textFill>
                  <w14:solidFill>
                    <w14:schemeClr w14:val="tx1">
                      <w14:lumMod w14:val="95000"/>
                      <w14:lumOff w14:val="5000"/>
                    </w14:schemeClr>
                  </w14:solidFill>
                </w14:textFill>
              </w:rPr>
              <w:t>单位：万元</w:t>
            </w:r>
          </w:p>
        </w:tc>
      </w:tr>
      <w:tr>
        <w:tblPrEx>
          <w:tblCellMar>
            <w:top w:w="0" w:type="dxa"/>
            <w:left w:w="108" w:type="dxa"/>
            <w:bottom w:w="0" w:type="dxa"/>
            <w:right w:w="108" w:type="dxa"/>
          </w:tblCellMar>
        </w:tblPrEx>
        <w:trPr>
          <w:trHeight w:val="336" w:hRule="atLeast"/>
          <w:tblHeader/>
        </w:trPr>
        <w:tc>
          <w:tcPr>
            <w:tcW w:w="4962" w:type="dxa"/>
            <w:gridSpan w:val="2"/>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收入</w:t>
            </w:r>
          </w:p>
        </w:tc>
        <w:tc>
          <w:tcPr>
            <w:tcW w:w="4394" w:type="dxa"/>
            <w:gridSpan w:val="2"/>
            <w:tcBorders>
              <w:top w:val="single" w:color="auto" w:sz="8" w:space="0"/>
              <w:left w:val="nil"/>
              <w:bottom w:val="single" w:color="auto" w:sz="8" w:space="0"/>
              <w:right w:val="single" w:color="000000" w:sz="8" w:space="0"/>
            </w:tcBorders>
            <w:shd w:val="clear" w:color="auto" w:fill="auto"/>
            <w:noWrap/>
            <w:vAlign w:val="center"/>
          </w:tcPr>
          <w:p>
            <w:pPr>
              <w:widowControl/>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支出</w:t>
            </w:r>
          </w:p>
        </w:tc>
      </w:tr>
      <w:tr>
        <w:tblPrEx>
          <w:tblCellMar>
            <w:top w:w="0" w:type="dxa"/>
            <w:left w:w="108" w:type="dxa"/>
            <w:bottom w:w="0" w:type="dxa"/>
            <w:right w:w="108" w:type="dxa"/>
          </w:tblCellMar>
        </w:tblPrEx>
        <w:trPr>
          <w:trHeight w:val="336" w:hRule="atLeast"/>
          <w:tblHeader/>
        </w:trPr>
        <w:tc>
          <w:tcPr>
            <w:tcW w:w="3828" w:type="dxa"/>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科 目</w:t>
            </w:r>
          </w:p>
        </w:tc>
        <w:tc>
          <w:tcPr>
            <w:tcW w:w="1134"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执行数</w:t>
            </w:r>
          </w:p>
        </w:tc>
        <w:tc>
          <w:tcPr>
            <w:tcW w:w="2976"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科 目</w:t>
            </w:r>
          </w:p>
        </w:tc>
        <w:tc>
          <w:tcPr>
            <w:tcW w:w="141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执行数</w:t>
            </w:r>
          </w:p>
        </w:tc>
      </w:tr>
      <w:tr>
        <w:tblPrEx>
          <w:tblCellMar>
            <w:top w:w="0" w:type="dxa"/>
            <w:left w:w="108" w:type="dxa"/>
            <w:bottom w:w="0" w:type="dxa"/>
            <w:right w:w="108" w:type="dxa"/>
          </w:tblCellMar>
        </w:tblPrEx>
        <w:trPr>
          <w:trHeight w:val="336" w:hRule="atLeast"/>
        </w:trPr>
        <w:tc>
          <w:tcPr>
            <w:tcW w:w="3828" w:type="dxa"/>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合 计</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b/>
                <w:bCs/>
                <w:color w:val="0D0D0D" w:themeColor="text1" w:themeTint="F2"/>
                <w:kern w:val="0"/>
                <w:sz w:val="24"/>
                <w:szCs w:val="24"/>
                <w14:textFill>
                  <w14:solidFill>
                    <w14:schemeClr w14:val="tx1">
                      <w14:lumMod w14:val="95000"/>
                      <w14:lumOff w14:val="5000"/>
                    </w14:schemeClr>
                  </w14:solidFill>
                </w14:textFill>
              </w:rPr>
              <w:t>9</w:t>
            </w: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47,633</w:t>
            </w:r>
          </w:p>
        </w:tc>
        <w:tc>
          <w:tcPr>
            <w:tcW w:w="2976"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eastAsia="方正黑体_GBK"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b/>
                <w:bCs/>
                <w:color w:val="0D0D0D" w:themeColor="text1" w:themeTint="F2"/>
                <w:kern w:val="0"/>
                <w:sz w:val="24"/>
                <w:szCs w:val="24"/>
                <w14:textFill>
                  <w14:solidFill>
                    <w14:schemeClr w14:val="tx1">
                      <w14:lumMod w14:val="95000"/>
                      <w14:lumOff w14:val="5000"/>
                    </w14:schemeClr>
                  </w14:solidFill>
                </w14:textFill>
              </w:rPr>
              <w:t>合 计</w:t>
            </w:r>
          </w:p>
        </w:tc>
        <w:tc>
          <w:tcPr>
            <w:tcW w:w="1418"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b/>
                <w:bCs/>
                <w:color w:val="0D0D0D" w:themeColor="text1" w:themeTint="F2"/>
                <w:kern w:val="0"/>
                <w:sz w:val="24"/>
                <w:szCs w:val="24"/>
                <w14:textFill>
                  <w14:solidFill>
                    <w14:schemeClr w14:val="tx1">
                      <w14:lumMod w14:val="95000"/>
                      <w14:lumOff w14:val="5000"/>
                    </w14:schemeClr>
                  </w14:solidFill>
                </w14:textFill>
              </w:rPr>
              <w:t>9</w:t>
            </w: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47,633</w:t>
            </w:r>
          </w:p>
        </w:tc>
      </w:tr>
      <w:tr>
        <w:tblPrEx>
          <w:tblCellMar>
            <w:top w:w="0" w:type="dxa"/>
            <w:left w:w="108" w:type="dxa"/>
            <w:bottom w:w="0" w:type="dxa"/>
            <w:right w:w="108" w:type="dxa"/>
          </w:tblCellMar>
        </w:tblPrEx>
        <w:trPr>
          <w:trHeight w:val="336" w:hRule="atLeast"/>
        </w:trPr>
        <w:tc>
          <w:tcPr>
            <w:tcW w:w="3828" w:type="dxa"/>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left"/>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一般公共预算收入</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color w:val="0D0D0D" w:themeColor="text1" w:themeTint="F2"/>
                <w:kern w:val="0"/>
                <w:sz w:val="24"/>
                <w:szCs w:val="24"/>
                <w14:textFill>
                  <w14:solidFill>
                    <w14:schemeClr w14:val="tx1">
                      <w14:lumMod w14:val="95000"/>
                      <w14:lumOff w14:val="5000"/>
                    </w14:schemeClr>
                  </w14:solidFill>
                </w14:textFill>
              </w:rPr>
              <w:t>2</w:t>
            </w:r>
            <w:r>
              <w:rPr>
                <w:rFonts w:eastAsia="等线" w:cs="Times New Roman"/>
                <w:color w:val="0D0D0D" w:themeColor="text1" w:themeTint="F2"/>
                <w:kern w:val="0"/>
                <w:sz w:val="24"/>
                <w:szCs w:val="24"/>
                <w14:textFill>
                  <w14:solidFill>
                    <w14:schemeClr w14:val="tx1">
                      <w14:lumMod w14:val="95000"/>
                      <w14:lumOff w14:val="5000"/>
                    </w14:schemeClr>
                  </w14:solidFill>
                </w14:textFill>
              </w:rPr>
              <w:t>93,968</w:t>
            </w:r>
          </w:p>
        </w:tc>
        <w:tc>
          <w:tcPr>
            <w:tcW w:w="2976"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left"/>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本级各项支出</w:t>
            </w:r>
          </w:p>
        </w:tc>
        <w:tc>
          <w:tcPr>
            <w:tcW w:w="1418"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color w:val="0D0D0D" w:themeColor="text1" w:themeTint="F2"/>
                <w:kern w:val="0"/>
                <w:sz w:val="24"/>
                <w:szCs w:val="24"/>
                <w14:textFill>
                  <w14:solidFill>
                    <w14:schemeClr w14:val="tx1">
                      <w14:lumMod w14:val="95000"/>
                      <w14:lumOff w14:val="5000"/>
                    </w14:schemeClr>
                  </w14:solidFill>
                </w14:textFill>
              </w:rPr>
              <w:t>8</w:t>
            </w:r>
            <w:r>
              <w:rPr>
                <w:rFonts w:eastAsia="等线" w:cs="Times New Roman"/>
                <w:color w:val="0D0D0D" w:themeColor="text1" w:themeTint="F2"/>
                <w:kern w:val="0"/>
                <w:sz w:val="24"/>
                <w:szCs w:val="24"/>
                <w14:textFill>
                  <w14:solidFill>
                    <w14:schemeClr w14:val="tx1">
                      <w14:lumMod w14:val="95000"/>
                      <w14:lumOff w14:val="5000"/>
                    </w14:schemeClr>
                  </w14:solidFill>
                </w14:textFill>
              </w:rPr>
              <w:t>49,741</w:t>
            </w:r>
          </w:p>
        </w:tc>
      </w:tr>
      <w:tr>
        <w:tblPrEx>
          <w:tblCellMar>
            <w:top w:w="0" w:type="dxa"/>
            <w:left w:w="108" w:type="dxa"/>
            <w:bottom w:w="0" w:type="dxa"/>
            <w:right w:w="108" w:type="dxa"/>
          </w:tblCellMar>
        </w:tblPrEx>
        <w:trPr>
          <w:trHeight w:val="336" w:hRule="atLeast"/>
        </w:trPr>
        <w:tc>
          <w:tcPr>
            <w:tcW w:w="3828" w:type="dxa"/>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hAnsi="宋体" w:eastAsia="宋体" w:cs="Times New Roman"/>
                <w:color w:val="0D0D0D" w:themeColor="text1" w:themeTint="F2"/>
                <w:kern w:val="0"/>
                <w:sz w:val="24"/>
                <w:szCs w:val="24"/>
                <w14:textFill>
                  <w14:solidFill>
                    <w14:schemeClr w14:val="tx1">
                      <w14:lumMod w14:val="95000"/>
                      <w14:lumOff w14:val="5000"/>
                    </w14:schemeClr>
                  </w14:solidFill>
                </w14:textFill>
              </w:rPr>
              <w:t>其中：税收收入</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color w:val="0D0D0D" w:themeColor="text1" w:themeTint="F2"/>
                <w:kern w:val="0"/>
                <w:sz w:val="24"/>
                <w:szCs w:val="24"/>
                <w14:textFill>
                  <w14:solidFill>
                    <w14:schemeClr w14:val="tx1">
                      <w14:lumMod w14:val="95000"/>
                      <w14:lumOff w14:val="5000"/>
                    </w14:schemeClr>
                  </w14:solidFill>
                </w14:textFill>
              </w:rPr>
              <w:t>2</w:t>
            </w:r>
            <w:r>
              <w:rPr>
                <w:rFonts w:eastAsia="等线" w:cs="Times New Roman"/>
                <w:color w:val="0D0D0D" w:themeColor="text1" w:themeTint="F2"/>
                <w:kern w:val="0"/>
                <w:sz w:val="24"/>
                <w:szCs w:val="24"/>
                <w14:textFill>
                  <w14:solidFill>
                    <w14:schemeClr w14:val="tx1">
                      <w14:lumMod w14:val="95000"/>
                      <w14:lumOff w14:val="5000"/>
                    </w14:schemeClr>
                  </w14:solidFill>
                </w14:textFill>
              </w:rPr>
              <w:t>26,025</w:t>
            </w:r>
          </w:p>
        </w:tc>
        <w:tc>
          <w:tcPr>
            <w:tcW w:w="2976"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hAnsi="宋体"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3828" w:type="dxa"/>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hAnsi="宋体" w:eastAsia="宋体" w:cs="宋体"/>
                <w:color w:val="0D0D0D" w:themeColor="text1" w:themeTint="F2"/>
                <w:kern w:val="0"/>
                <w:sz w:val="24"/>
                <w:szCs w:val="24"/>
                <w14:textFill>
                  <w14:solidFill>
                    <w14:schemeClr w14:val="tx1">
                      <w14:lumMod w14:val="95000"/>
                      <w14:lumOff w14:val="5000"/>
                    </w14:schemeClr>
                  </w14:solidFill>
                </w14:textFill>
              </w:rPr>
              <w:t>非税收入</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color w:val="0D0D0D" w:themeColor="text1" w:themeTint="F2"/>
                <w:kern w:val="0"/>
                <w:sz w:val="24"/>
                <w:szCs w:val="24"/>
                <w14:textFill>
                  <w14:solidFill>
                    <w14:schemeClr w14:val="tx1">
                      <w14:lumMod w14:val="95000"/>
                      <w14:lumOff w14:val="5000"/>
                    </w14:schemeClr>
                  </w14:solidFill>
                </w14:textFill>
              </w:rPr>
              <w:t>6</w:t>
            </w:r>
            <w:r>
              <w:rPr>
                <w:rFonts w:eastAsia="等线" w:cs="Times New Roman"/>
                <w:color w:val="0D0D0D" w:themeColor="text1" w:themeTint="F2"/>
                <w:kern w:val="0"/>
                <w:sz w:val="24"/>
                <w:szCs w:val="24"/>
                <w14:textFill>
                  <w14:solidFill>
                    <w14:schemeClr w14:val="tx1">
                      <w14:lumMod w14:val="95000"/>
                      <w14:lumOff w14:val="5000"/>
                    </w14:schemeClr>
                  </w14:solidFill>
                </w14:textFill>
              </w:rPr>
              <w:t>7,943</w:t>
            </w:r>
          </w:p>
        </w:tc>
        <w:tc>
          <w:tcPr>
            <w:tcW w:w="2976" w:type="dxa"/>
            <w:tcBorders>
              <w:top w:val="nil"/>
              <w:left w:val="nil"/>
              <w:bottom w:val="single" w:color="auto" w:sz="8" w:space="0"/>
              <w:right w:val="single" w:color="auto" w:sz="8" w:space="0"/>
            </w:tcBorders>
            <w:shd w:val="clear" w:color="auto" w:fill="auto"/>
            <w:noWrap/>
            <w:vAlign w:val="bottom"/>
          </w:tcPr>
          <w:p>
            <w:pPr>
              <w:widowControl/>
              <w:spacing w:line="240" w:lineRule="auto"/>
              <w:ind w:firstLine="0" w:firstLineChars="0"/>
              <w:jc w:val="left"/>
              <w:rPr>
                <w:rFonts w:eastAsia="等线" w:cs="宋体"/>
                <w:color w:val="0D0D0D" w:themeColor="text1" w:themeTint="F2"/>
                <w:kern w:val="0"/>
                <w:sz w:val="21"/>
                <w:szCs w:val="21"/>
                <w14:textFill>
                  <w14:solidFill>
                    <w14:schemeClr w14:val="tx1">
                      <w14:lumMod w14:val="95000"/>
                      <w14:lumOff w14:val="5000"/>
                    </w14:schemeClr>
                  </w14:solidFill>
                </w14:textFill>
              </w:rPr>
            </w:pPr>
            <w:r>
              <w:rPr>
                <w:rFonts w:hint="eastAsia" w:hAnsi="等线" w:eastAsia="等线" w:cs="宋体"/>
                <w:color w:val="0D0D0D" w:themeColor="text1" w:themeTint="F2"/>
                <w:kern w:val="0"/>
                <w:sz w:val="21"/>
                <w:szCs w:val="21"/>
                <w14:textFill>
                  <w14:solidFill>
                    <w14:schemeClr w14:val="tx1">
                      <w14:lumMod w14:val="95000"/>
                      <w14:lumOff w14:val="5000"/>
                    </w14:schemeClr>
                  </w14:solidFill>
                </w14:textFill>
              </w:rPr>
              <w:t>　</w:t>
            </w:r>
          </w:p>
        </w:tc>
        <w:tc>
          <w:tcPr>
            <w:tcW w:w="1418" w:type="dxa"/>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left"/>
              <w:rPr>
                <w:rFonts w:eastAsia="等线" w:cs="Times New Roman"/>
                <w:color w:val="0D0D0D" w:themeColor="text1" w:themeTint="F2"/>
                <w:kern w:val="0"/>
                <w:sz w:val="20"/>
                <w:szCs w:val="20"/>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36" w:hRule="atLeast"/>
        </w:trPr>
        <w:tc>
          <w:tcPr>
            <w:tcW w:w="3828" w:type="dxa"/>
            <w:tcBorders>
              <w:top w:val="nil"/>
              <w:left w:val="single" w:color="auto" w:sz="8" w:space="0"/>
              <w:bottom w:val="single" w:color="auto" w:sz="4" w:space="0"/>
              <w:right w:val="single" w:color="auto" w:sz="8" w:space="0"/>
            </w:tcBorders>
            <w:shd w:val="clear" w:color="auto" w:fill="auto"/>
            <w:vAlign w:val="center"/>
          </w:tcPr>
          <w:p>
            <w:pPr>
              <w:widowControl/>
              <w:spacing w:line="240" w:lineRule="auto"/>
              <w:ind w:firstLine="0" w:firstLineChars="0"/>
              <w:jc w:val="left"/>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转移性收入</w:t>
            </w:r>
          </w:p>
        </w:tc>
        <w:tc>
          <w:tcPr>
            <w:tcW w:w="1134" w:type="dxa"/>
            <w:tcBorders>
              <w:top w:val="nil"/>
              <w:left w:val="nil"/>
              <w:bottom w:val="single" w:color="auto" w:sz="4" w:space="0"/>
              <w:right w:val="single" w:color="auto" w:sz="8" w:space="0"/>
            </w:tcBorders>
            <w:shd w:val="clear" w:color="auto" w:fill="auto"/>
            <w:noWrap/>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color w:val="0D0D0D" w:themeColor="text1" w:themeTint="F2"/>
                <w:kern w:val="0"/>
                <w:sz w:val="24"/>
                <w:szCs w:val="24"/>
                <w14:textFill>
                  <w14:solidFill>
                    <w14:schemeClr w14:val="tx1">
                      <w14:lumMod w14:val="95000"/>
                      <w14:lumOff w14:val="5000"/>
                    </w14:schemeClr>
                  </w14:solidFill>
                </w14:textFill>
              </w:rPr>
              <w:t>6</w:t>
            </w:r>
            <w:r>
              <w:rPr>
                <w:rFonts w:eastAsia="等线" w:cs="Times New Roman"/>
                <w:color w:val="0D0D0D" w:themeColor="text1" w:themeTint="F2"/>
                <w:kern w:val="0"/>
                <w:sz w:val="24"/>
                <w:szCs w:val="24"/>
                <w14:textFill>
                  <w14:solidFill>
                    <w14:schemeClr w14:val="tx1">
                      <w14:lumMod w14:val="95000"/>
                      <w14:lumOff w14:val="5000"/>
                    </w14:schemeClr>
                  </w14:solidFill>
                </w14:textFill>
              </w:rPr>
              <w:t>53,665</w:t>
            </w:r>
          </w:p>
        </w:tc>
        <w:tc>
          <w:tcPr>
            <w:tcW w:w="2976" w:type="dxa"/>
            <w:tcBorders>
              <w:top w:val="nil"/>
              <w:left w:val="nil"/>
              <w:bottom w:val="single" w:color="auto" w:sz="4" w:space="0"/>
              <w:right w:val="single" w:color="auto" w:sz="8" w:space="0"/>
            </w:tcBorders>
            <w:shd w:val="clear" w:color="auto" w:fill="auto"/>
            <w:vAlign w:val="center"/>
          </w:tcPr>
          <w:p>
            <w:pPr>
              <w:widowControl/>
              <w:spacing w:line="240" w:lineRule="auto"/>
              <w:ind w:firstLine="0" w:firstLineChars="0"/>
              <w:jc w:val="left"/>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转移性支出</w:t>
            </w:r>
          </w:p>
        </w:tc>
        <w:tc>
          <w:tcPr>
            <w:tcW w:w="1418" w:type="dxa"/>
            <w:tcBorders>
              <w:top w:val="nil"/>
              <w:left w:val="nil"/>
              <w:bottom w:val="single" w:color="auto" w:sz="4" w:space="0"/>
              <w:right w:val="single" w:color="auto" w:sz="8" w:space="0"/>
            </w:tcBorders>
            <w:shd w:val="clear" w:color="auto" w:fill="auto"/>
            <w:noWrap/>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color w:val="0D0D0D" w:themeColor="text1" w:themeTint="F2"/>
                <w:kern w:val="0"/>
                <w:sz w:val="24"/>
                <w:szCs w:val="24"/>
                <w14:textFill>
                  <w14:solidFill>
                    <w14:schemeClr w14:val="tx1">
                      <w14:lumMod w14:val="95000"/>
                      <w14:lumOff w14:val="5000"/>
                    </w14:schemeClr>
                  </w14:solidFill>
                </w14:textFill>
              </w:rPr>
              <w:t>9</w:t>
            </w:r>
            <w:r>
              <w:rPr>
                <w:rFonts w:eastAsia="等线" w:cs="Times New Roman"/>
                <w:color w:val="0D0D0D" w:themeColor="text1" w:themeTint="F2"/>
                <w:kern w:val="0"/>
                <w:sz w:val="24"/>
                <w:szCs w:val="24"/>
                <w14:textFill>
                  <w14:solidFill>
                    <w14:schemeClr w14:val="tx1">
                      <w14:lumMod w14:val="95000"/>
                      <w14:lumOff w14:val="5000"/>
                    </w14:schemeClr>
                  </w14:solidFill>
                </w14:textFill>
              </w:rPr>
              <w:t>7,892</w:t>
            </w:r>
          </w:p>
        </w:tc>
      </w:tr>
      <w:tr>
        <w:tblPrEx>
          <w:tblCellMar>
            <w:top w:w="0" w:type="dxa"/>
            <w:left w:w="108" w:type="dxa"/>
            <w:bottom w:w="0" w:type="dxa"/>
            <w:right w:w="108" w:type="dxa"/>
          </w:tblCellMar>
        </w:tblPrEx>
        <w:trPr>
          <w:trHeight w:val="336" w:hRule="atLeast"/>
        </w:trPr>
        <w:tc>
          <w:tcPr>
            <w:tcW w:w="3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hAnsi="宋体" w:eastAsia="宋体" w:cs="Times New Roman"/>
                <w:color w:val="0D0D0D" w:themeColor="text1" w:themeTint="F2"/>
                <w:kern w:val="0"/>
                <w:sz w:val="24"/>
                <w:szCs w:val="24"/>
                <w14:textFill>
                  <w14:solidFill>
                    <w14:schemeClr w14:val="tx1">
                      <w14:lumMod w14:val="95000"/>
                      <w14:lumOff w14:val="5000"/>
                    </w14:schemeClr>
                  </w14:solidFill>
                </w14:textFill>
              </w:rPr>
              <w:t>上级补助收入</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color w:val="0D0D0D" w:themeColor="text1" w:themeTint="F2"/>
                <w:kern w:val="0"/>
                <w:sz w:val="24"/>
                <w:szCs w:val="24"/>
                <w14:textFill>
                  <w14:solidFill>
                    <w14:schemeClr w14:val="tx1">
                      <w14:lumMod w14:val="95000"/>
                      <w14:lumOff w14:val="5000"/>
                    </w14:schemeClr>
                  </w14:solidFill>
                </w14:textFill>
              </w:rPr>
              <w:t>3</w:t>
            </w:r>
            <w:r>
              <w:rPr>
                <w:rFonts w:eastAsia="等线" w:cs="Times New Roman"/>
                <w:color w:val="0D0D0D" w:themeColor="text1" w:themeTint="F2"/>
                <w:kern w:val="0"/>
                <w:sz w:val="24"/>
                <w:szCs w:val="24"/>
                <w14:textFill>
                  <w14:solidFill>
                    <w14:schemeClr w14:val="tx1">
                      <w14:lumMod w14:val="95000"/>
                      <w14:lumOff w14:val="5000"/>
                    </w14:schemeClr>
                  </w14:solidFill>
                </w14:textFill>
              </w:rPr>
              <w:t>82,337</w:t>
            </w:r>
          </w:p>
        </w:tc>
        <w:tc>
          <w:tcPr>
            <w:tcW w:w="2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240" w:firstLineChars="10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hAnsi="宋体" w:eastAsia="宋体" w:cs="宋体"/>
                <w:color w:val="0D0D0D" w:themeColor="text1" w:themeTint="F2"/>
                <w:kern w:val="0"/>
                <w:sz w:val="24"/>
                <w:szCs w:val="24"/>
                <w14:textFill>
                  <w14:solidFill>
                    <w14:schemeClr w14:val="tx1">
                      <w14:lumMod w14:val="95000"/>
                      <w14:lumOff w14:val="5000"/>
                    </w14:schemeClr>
                  </w14:solidFill>
                </w14:textFill>
              </w:rPr>
              <w:t>上解上级</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color w:val="0D0D0D" w:themeColor="text1" w:themeTint="F2"/>
                <w:kern w:val="0"/>
                <w:sz w:val="24"/>
                <w:szCs w:val="24"/>
                <w14:textFill>
                  <w14:solidFill>
                    <w14:schemeClr w14:val="tx1">
                      <w14:lumMod w14:val="95000"/>
                      <w14:lumOff w14:val="5000"/>
                    </w14:schemeClr>
                  </w14:solidFill>
                </w14:textFill>
              </w:rPr>
              <w:t>1</w:t>
            </w:r>
            <w:r>
              <w:rPr>
                <w:rFonts w:eastAsia="等线" w:cs="Times New Roman"/>
                <w:color w:val="0D0D0D" w:themeColor="text1" w:themeTint="F2"/>
                <w:kern w:val="0"/>
                <w:sz w:val="24"/>
                <w:szCs w:val="24"/>
                <w14:textFill>
                  <w14:solidFill>
                    <w14:schemeClr w14:val="tx1">
                      <w14:lumMod w14:val="95000"/>
                      <w14:lumOff w14:val="5000"/>
                    </w14:schemeClr>
                  </w14:solidFill>
                </w14:textFill>
              </w:rPr>
              <w:t>0,142</w:t>
            </w:r>
          </w:p>
        </w:tc>
      </w:tr>
      <w:tr>
        <w:tblPrEx>
          <w:tblCellMar>
            <w:top w:w="0" w:type="dxa"/>
            <w:left w:w="108" w:type="dxa"/>
            <w:bottom w:w="0" w:type="dxa"/>
            <w:right w:w="108" w:type="dxa"/>
          </w:tblCellMar>
        </w:tblPrEx>
        <w:trPr>
          <w:trHeight w:val="336" w:hRule="atLeast"/>
        </w:trPr>
        <w:tc>
          <w:tcPr>
            <w:tcW w:w="3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hAnsi="宋体" w:eastAsia="宋体" w:cs="Times New Roman"/>
                <w:color w:val="0D0D0D" w:themeColor="text1" w:themeTint="F2"/>
                <w:kern w:val="0"/>
                <w:sz w:val="24"/>
                <w:szCs w:val="24"/>
                <w14:textFill>
                  <w14:solidFill>
                    <w14:schemeClr w14:val="tx1">
                      <w14:lumMod w14:val="95000"/>
                      <w14:lumOff w14:val="5000"/>
                    </w14:schemeClr>
                  </w14:solidFill>
                </w14:textFill>
              </w:rPr>
              <w:t>债务转贷收入</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color w:val="0D0D0D" w:themeColor="text1" w:themeTint="F2"/>
                <w:kern w:val="0"/>
                <w:sz w:val="24"/>
                <w:szCs w:val="24"/>
                <w14:textFill>
                  <w14:solidFill>
                    <w14:schemeClr w14:val="tx1">
                      <w14:lumMod w14:val="95000"/>
                      <w14:lumOff w14:val="5000"/>
                    </w14:schemeClr>
                  </w14:solidFill>
                </w14:textFill>
              </w:rPr>
              <w:t>5</w:t>
            </w:r>
            <w:r>
              <w:rPr>
                <w:rFonts w:eastAsia="等线" w:cs="Times New Roman"/>
                <w:color w:val="0D0D0D" w:themeColor="text1" w:themeTint="F2"/>
                <w:kern w:val="0"/>
                <w:sz w:val="24"/>
                <w:szCs w:val="24"/>
                <w14:textFill>
                  <w14:solidFill>
                    <w14:schemeClr w14:val="tx1">
                      <w14:lumMod w14:val="95000"/>
                      <w14:lumOff w14:val="5000"/>
                    </w14:schemeClr>
                  </w14:solidFill>
                </w14:textFill>
              </w:rPr>
              <w:t>1,000</w:t>
            </w:r>
          </w:p>
        </w:tc>
        <w:tc>
          <w:tcPr>
            <w:tcW w:w="2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w:t>
            </w:r>
            <w:r>
              <w:rPr>
                <w:rFonts w:hint="eastAsia" w:hAnsi="宋体" w:eastAsia="宋体" w:cs="宋体"/>
                <w:color w:val="0D0D0D" w:themeColor="text1" w:themeTint="F2"/>
                <w:kern w:val="0"/>
                <w:sz w:val="24"/>
                <w:szCs w:val="24"/>
                <w14:textFill>
                  <w14:solidFill>
                    <w14:schemeClr w14:val="tx1">
                      <w14:lumMod w14:val="95000"/>
                      <w14:lumOff w14:val="5000"/>
                    </w14:schemeClr>
                  </w14:solidFill>
                </w14:textFill>
              </w:rPr>
              <w:t>结转下年</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color w:val="0D0D0D" w:themeColor="text1" w:themeTint="F2"/>
                <w:kern w:val="0"/>
                <w:sz w:val="24"/>
                <w:szCs w:val="24"/>
                <w14:textFill>
                  <w14:solidFill>
                    <w14:schemeClr w14:val="tx1">
                      <w14:lumMod w14:val="95000"/>
                      <w14:lumOff w14:val="5000"/>
                    </w14:schemeClr>
                  </w14:solidFill>
                </w14:textFill>
              </w:rPr>
              <w:t>3</w:t>
            </w:r>
            <w:r>
              <w:rPr>
                <w:rFonts w:eastAsia="等线" w:cs="Times New Roman"/>
                <w:color w:val="0D0D0D" w:themeColor="text1" w:themeTint="F2"/>
                <w:kern w:val="0"/>
                <w:sz w:val="24"/>
                <w:szCs w:val="24"/>
                <w14:textFill>
                  <w14:solidFill>
                    <w14:schemeClr w14:val="tx1">
                      <w14:lumMod w14:val="95000"/>
                      <w14:lumOff w14:val="5000"/>
                    </w14:schemeClr>
                  </w14:solidFill>
                </w14:textFill>
              </w:rPr>
              <w:t>9,510</w:t>
            </w:r>
          </w:p>
        </w:tc>
      </w:tr>
      <w:tr>
        <w:tblPrEx>
          <w:tblCellMar>
            <w:top w:w="0" w:type="dxa"/>
            <w:left w:w="108" w:type="dxa"/>
            <w:bottom w:w="0" w:type="dxa"/>
            <w:right w:w="108" w:type="dxa"/>
          </w:tblCellMar>
        </w:tblPrEx>
        <w:trPr>
          <w:trHeight w:val="636" w:hRule="atLeast"/>
        </w:trPr>
        <w:tc>
          <w:tcPr>
            <w:tcW w:w="3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hAnsi="宋体" w:eastAsia="宋体" w:cs="Times New Roman"/>
                <w:color w:val="0D0D0D" w:themeColor="text1" w:themeTint="F2"/>
                <w:kern w:val="0"/>
                <w:sz w:val="24"/>
                <w:szCs w:val="24"/>
                <w14:textFill>
                  <w14:solidFill>
                    <w14:schemeClr w14:val="tx1">
                      <w14:lumMod w14:val="95000"/>
                      <w14:lumOff w14:val="5000"/>
                    </w14:schemeClr>
                  </w14:solidFill>
                </w14:textFill>
              </w:rPr>
              <w:t>调入资金</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color w:val="0D0D0D" w:themeColor="text1" w:themeTint="F2"/>
                <w:kern w:val="0"/>
                <w:sz w:val="24"/>
                <w:szCs w:val="24"/>
                <w14:textFill>
                  <w14:solidFill>
                    <w14:schemeClr w14:val="tx1">
                      <w14:lumMod w14:val="95000"/>
                      <w14:lumOff w14:val="5000"/>
                    </w14:schemeClr>
                  </w14:solidFill>
                </w14:textFill>
              </w:rPr>
              <w:t>1</w:t>
            </w:r>
            <w:r>
              <w:rPr>
                <w:rFonts w:eastAsia="等线" w:cs="Times New Roman"/>
                <w:color w:val="0D0D0D" w:themeColor="text1" w:themeTint="F2"/>
                <w:kern w:val="0"/>
                <w:sz w:val="24"/>
                <w:szCs w:val="24"/>
                <w14:textFill>
                  <w14:solidFill>
                    <w14:schemeClr w14:val="tx1">
                      <w14:lumMod w14:val="95000"/>
                      <w14:lumOff w14:val="5000"/>
                    </w14:schemeClr>
                  </w14:solidFill>
                </w14:textFill>
              </w:rPr>
              <w:t>74,349</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w:t>
            </w:r>
            <w:r>
              <w:rPr>
                <w:rFonts w:hint="eastAsia" w:hAnsi="宋体" w:eastAsia="宋体" w:cs="宋体"/>
                <w:color w:val="0D0D0D" w:themeColor="text1" w:themeTint="F2"/>
                <w:kern w:val="0"/>
                <w:sz w:val="24"/>
                <w:szCs w:val="24"/>
                <w14:textFill>
                  <w14:solidFill>
                    <w14:schemeClr w14:val="tx1">
                      <w14:lumMod w14:val="95000"/>
                      <w14:lumOff w14:val="5000"/>
                    </w14:schemeClr>
                  </w14:solidFill>
                </w14:textFill>
              </w:rPr>
              <w:t>安排预算稳定调节基金</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color w:val="0D0D0D" w:themeColor="text1" w:themeTint="F2"/>
                <w:kern w:val="0"/>
                <w:sz w:val="24"/>
                <w:szCs w:val="24"/>
                <w14:textFill>
                  <w14:solidFill>
                    <w14:schemeClr w14:val="tx1">
                      <w14:lumMod w14:val="95000"/>
                      <w14:lumOff w14:val="5000"/>
                    </w14:schemeClr>
                  </w14:solidFill>
                </w14:textFill>
              </w:rPr>
              <w:t>4</w:t>
            </w:r>
            <w:r>
              <w:rPr>
                <w:rFonts w:eastAsia="等线" w:cs="Times New Roman"/>
                <w:color w:val="0D0D0D" w:themeColor="text1" w:themeTint="F2"/>
                <w:kern w:val="0"/>
                <w:sz w:val="24"/>
                <w:szCs w:val="24"/>
                <w14:textFill>
                  <w14:solidFill>
                    <w14:schemeClr w14:val="tx1">
                      <w14:lumMod w14:val="95000"/>
                      <w14:lumOff w14:val="5000"/>
                    </w14:schemeClr>
                  </w14:solidFill>
                </w14:textFill>
              </w:rPr>
              <w:t>8,240</w:t>
            </w:r>
          </w:p>
        </w:tc>
      </w:tr>
      <w:tr>
        <w:tblPrEx>
          <w:tblCellMar>
            <w:top w:w="0" w:type="dxa"/>
            <w:left w:w="108" w:type="dxa"/>
            <w:bottom w:w="0" w:type="dxa"/>
            <w:right w:w="108" w:type="dxa"/>
          </w:tblCellMar>
        </w:tblPrEx>
        <w:trPr>
          <w:trHeight w:val="324" w:hRule="atLeast"/>
        </w:trPr>
        <w:tc>
          <w:tcPr>
            <w:tcW w:w="3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w:t>
            </w:r>
            <w:r>
              <w:rPr>
                <w:rFonts w:hint="eastAsia" w:hAnsi="宋体" w:eastAsia="宋体" w:cs="宋体"/>
                <w:color w:val="0D0D0D" w:themeColor="text1" w:themeTint="F2"/>
                <w:kern w:val="0"/>
                <w:sz w:val="24"/>
                <w:szCs w:val="24"/>
                <w14:textFill>
                  <w14:solidFill>
                    <w14:schemeClr w14:val="tx1">
                      <w14:lumMod w14:val="95000"/>
                      <w14:lumOff w14:val="5000"/>
                    </w14:schemeClr>
                  </w14:solidFill>
                </w14:textFill>
              </w:rPr>
              <w:t>其中：政府性基金</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color w:val="0D0D0D" w:themeColor="text1" w:themeTint="F2"/>
                <w:kern w:val="0"/>
                <w:sz w:val="24"/>
                <w:szCs w:val="24"/>
                <w14:textFill>
                  <w14:solidFill>
                    <w14:schemeClr w14:val="tx1">
                      <w14:lumMod w14:val="95000"/>
                      <w14:lumOff w14:val="5000"/>
                    </w14:schemeClr>
                  </w14:solidFill>
                </w14:textFill>
              </w:rPr>
              <w:t>1</w:t>
            </w:r>
            <w:r>
              <w:rPr>
                <w:rFonts w:eastAsia="等线" w:cs="Times New Roman"/>
                <w:color w:val="0D0D0D" w:themeColor="text1" w:themeTint="F2"/>
                <w:kern w:val="0"/>
                <w:sz w:val="24"/>
                <w:szCs w:val="24"/>
                <w14:textFill>
                  <w14:solidFill>
                    <w14:schemeClr w14:val="tx1">
                      <w14:lumMod w14:val="95000"/>
                      <w14:lumOff w14:val="5000"/>
                    </w14:schemeClr>
                  </w14:solidFill>
                </w14:textFill>
              </w:rPr>
              <w:t>66,049</w:t>
            </w:r>
          </w:p>
        </w:tc>
        <w:tc>
          <w:tcPr>
            <w:tcW w:w="2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240" w:firstLineChars="10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hAnsi="宋体" w:eastAsia="宋体" w:cs="宋体"/>
                <w:color w:val="0D0D0D" w:themeColor="text1" w:themeTint="F2"/>
                <w:kern w:val="0"/>
                <w:sz w:val="24"/>
                <w:szCs w:val="24"/>
                <w14:textFill>
                  <w14:solidFill>
                    <w14:schemeClr w14:val="tx1">
                      <w14:lumMod w14:val="95000"/>
                      <w14:lumOff w14:val="5000"/>
                    </w14:schemeClr>
                  </w14:solidFill>
                </w14:textFill>
              </w:rPr>
              <w:t>债务还本</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36" w:hRule="atLeast"/>
        </w:trPr>
        <w:tc>
          <w:tcPr>
            <w:tcW w:w="3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hAnsi="宋体" w:eastAsia="宋体" w:cs="Times New Roman"/>
                <w:color w:val="0D0D0D" w:themeColor="text1" w:themeTint="F2"/>
                <w:kern w:val="0"/>
                <w:sz w:val="24"/>
                <w:szCs w:val="24"/>
                <w14:textFill>
                  <w14:solidFill>
                    <w14:schemeClr w14:val="tx1">
                      <w14:lumMod w14:val="95000"/>
                      <w14:lumOff w14:val="5000"/>
                    </w14:schemeClr>
                  </w14:solidFill>
                </w14:textFill>
              </w:rPr>
              <w:t>国有资本经营预算</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color w:val="0D0D0D" w:themeColor="text1" w:themeTint="F2"/>
                <w:kern w:val="0"/>
                <w:sz w:val="24"/>
                <w:szCs w:val="24"/>
                <w14:textFill>
                  <w14:solidFill>
                    <w14:schemeClr w14:val="tx1">
                      <w14:lumMod w14:val="95000"/>
                      <w14:lumOff w14:val="5000"/>
                    </w14:schemeClr>
                  </w14:solidFill>
                </w14:textFill>
              </w:rPr>
              <w:t>8</w:t>
            </w:r>
            <w:r>
              <w:rPr>
                <w:rFonts w:eastAsia="等线" w:cs="Times New Roman"/>
                <w:color w:val="0D0D0D" w:themeColor="text1" w:themeTint="F2"/>
                <w:kern w:val="0"/>
                <w:sz w:val="24"/>
                <w:szCs w:val="24"/>
                <w14:textFill>
                  <w14:solidFill>
                    <w14:schemeClr w14:val="tx1">
                      <w14:lumMod w14:val="95000"/>
                      <w14:lumOff w14:val="5000"/>
                    </w14:schemeClr>
                  </w14:solidFill>
                </w14:textFill>
              </w:rPr>
              <w:t>,300</w:t>
            </w:r>
          </w:p>
        </w:tc>
        <w:tc>
          <w:tcPr>
            <w:tcW w:w="2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hAnsi="宋体"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3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hAnsi="宋体" w:eastAsia="宋体" w:cs="宋体"/>
                <w:color w:val="0D0D0D" w:themeColor="text1" w:themeTint="F2"/>
                <w:kern w:val="0"/>
                <w:sz w:val="24"/>
                <w:szCs w:val="24"/>
                <w14:textFill>
                  <w14:solidFill>
                    <w14:schemeClr w14:val="tx1">
                      <w14:lumMod w14:val="95000"/>
                      <w14:lumOff w14:val="5000"/>
                    </w14:schemeClr>
                  </w14:solidFill>
                </w14:textFill>
              </w:rPr>
              <w:t>上年结转</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color w:val="0D0D0D" w:themeColor="text1" w:themeTint="F2"/>
                <w:kern w:val="0"/>
                <w:sz w:val="24"/>
                <w:szCs w:val="24"/>
                <w14:textFill>
                  <w14:solidFill>
                    <w14:schemeClr w14:val="tx1">
                      <w14:lumMod w14:val="95000"/>
                      <w14:lumOff w14:val="5000"/>
                    </w14:schemeClr>
                  </w14:solidFill>
                </w14:textFill>
              </w:rPr>
              <w:t>4</w:t>
            </w:r>
            <w:r>
              <w:rPr>
                <w:rFonts w:eastAsia="等线" w:cs="Times New Roman"/>
                <w:color w:val="0D0D0D" w:themeColor="text1" w:themeTint="F2"/>
                <w:kern w:val="0"/>
                <w:sz w:val="24"/>
                <w:szCs w:val="24"/>
                <w14:textFill>
                  <w14:solidFill>
                    <w14:schemeClr w14:val="tx1">
                      <w14:lumMod w14:val="95000"/>
                      <w14:lumOff w14:val="5000"/>
                    </w14:schemeClr>
                  </w14:solidFill>
                </w14:textFill>
              </w:rPr>
              <w:t>5,979</w:t>
            </w:r>
          </w:p>
        </w:tc>
        <w:tc>
          <w:tcPr>
            <w:tcW w:w="2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hAnsi="宋体"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3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hAnsi="宋体" w:eastAsia="宋体" w:cs="宋体"/>
                <w:color w:val="0D0D0D" w:themeColor="text1" w:themeTint="F2"/>
                <w:kern w:val="0"/>
                <w:sz w:val="24"/>
                <w:szCs w:val="24"/>
                <w14:textFill>
                  <w14:solidFill>
                    <w14:schemeClr w14:val="tx1">
                      <w14:lumMod w14:val="95000"/>
                      <w14:lumOff w14:val="5000"/>
                    </w14:schemeClr>
                  </w14:solidFill>
                </w14:textFill>
              </w:rPr>
              <w:t>动用预算稳定调节基金</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r>
    </w:tbl>
    <w:p>
      <w:pPr>
        <w:ind w:firstLine="640"/>
        <w:rPr>
          <w:rFonts w:eastAsia="方正楷体_GBK"/>
          <w:color w:val="0D0D0D" w:themeColor="text1" w:themeTint="F2"/>
          <w14:textFill>
            <w14:solidFill>
              <w14:schemeClr w14:val="tx1">
                <w14:lumMod w14:val="95000"/>
                <w14:lumOff w14:val="5000"/>
              </w14:schemeClr>
            </w14:solidFill>
          </w14:textFill>
        </w:rPr>
      </w:pPr>
      <w:r>
        <w:rPr>
          <w:rFonts w:hint="eastAsia" w:eastAsia="方正楷体_GBK"/>
          <w:color w:val="0D0D0D" w:themeColor="text1" w:themeTint="F2"/>
          <w14:textFill>
            <w14:solidFill>
              <w14:schemeClr w14:val="tx1">
                <w14:lumMod w14:val="95000"/>
                <w14:lumOff w14:val="5000"/>
              </w14:schemeClr>
            </w14:solidFill>
          </w14:textFill>
        </w:rPr>
        <w:t>（二）政府性基金预算执行情况</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政府性基金上级补助</w:t>
      </w:r>
      <w:r>
        <w:rPr>
          <w:color w:val="0D0D0D" w:themeColor="text1" w:themeTint="F2"/>
          <w14:textFill>
            <w14:solidFill>
              <w14:schemeClr w14:val="tx1">
                <w14:lumMod w14:val="95000"/>
                <w14:lumOff w14:val="5000"/>
              </w14:schemeClr>
            </w14:solidFill>
          </w14:textFill>
        </w:rPr>
        <w:t>108.8</w:t>
      </w:r>
      <w:r>
        <w:rPr>
          <w:rFonts w:hint="eastAsia"/>
          <w:color w:val="0D0D0D" w:themeColor="text1" w:themeTint="F2"/>
          <w14:textFill>
            <w14:solidFill>
              <w14:schemeClr w14:val="tx1">
                <w14:lumMod w14:val="95000"/>
                <w14:lumOff w14:val="5000"/>
              </w14:schemeClr>
            </w14:solidFill>
          </w14:textFill>
        </w:rPr>
        <w:t>亿元，加债务转贷收入</w:t>
      </w:r>
      <w:r>
        <w:rPr>
          <w:color w:val="0D0D0D" w:themeColor="text1" w:themeTint="F2"/>
          <w14:textFill>
            <w14:solidFill>
              <w14:schemeClr w14:val="tx1">
                <w14:lumMod w14:val="95000"/>
                <w14:lumOff w14:val="5000"/>
              </w14:schemeClr>
            </w14:solidFill>
          </w14:textFill>
        </w:rPr>
        <w:t>138.7</w:t>
      </w:r>
      <w:r>
        <w:rPr>
          <w:rFonts w:hint="eastAsia"/>
          <w:color w:val="0D0D0D" w:themeColor="text1" w:themeTint="F2"/>
          <w14:textFill>
            <w14:solidFill>
              <w14:schemeClr w14:val="tx1">
                <w14:lumMod w14:val="95000"/>
                <w14:lumOff w14:val="5000"/>
              </w14:schemeClr>
            </w14:solidFill>
          </w14:textFill>
        </w:rPr>
        <w:t>亿元、上年结转</w:t>
      </w:r>
      <w:r>
        <w:rPr>
          <w:color w:val="0D0D0D" w:themeColor="text1" w:themeTint="F2"/>
          <w14:textFill>
            <w14:solidFill>
              <w14:schemeClr w14:val="tx1">
                <w14:lumMod w14:val="95000"/>
                <w14:lumOff w14:val="5000"/>
              </w14:schemeClr>
            </w14:solidFill>
          </w14:textFill>
        </w:rPr>
        <w:t>13</w:t>
      </w:r>
      <w:r>
        <w:rPr>
          <w:rFonts w:hint="eastAsia"/>
          <w:color w:val="0D0D0D" w:themeColor="text1" w:themeTint="F2"/>
          <w14:textFill>
            <w14:solidFill>
              <w14:schemeClr w14:val="tx1">
                <w14:lumMod w14:val="95000"/>
                <w14:lumOff w14:val="5000"/>
              </w14:schemeClr>
            </w14:solidFill>
          </w14:textFill>
        </w:rPr>
        <w:t>亿元，收入总计</w:t>
      </w:r>
      <w:r>
        <w:rPr>
          <w:color w:val="0D0D0D" w:themeColor="text1" w:themeTint="F2"/>
          <w14:textFill>
            <w14:solidFill>
              <w14:schemeClr w14:val="tx1">
                <w14:lumMod w14:val="95000"/>
                <w14:lumOff w14:val="5000"/>
              </w14:schemeClr>
            </w14:solidFill>
          </w14:textFill>
        </w:rPr>
        <w:t>260.5</w:t>
      </w:r>
      <w:r>
        <w:rPr>
          <w:rFonts w:hint="eastAsia"/>
          <w:color w:val="0D0D0D" w:themeColor="text1" w:themeTint="F2"/>
          <w14:textFill>
            <w14:solidFill>
              <w14:schemeClr w14:val="tx1">
                <w14:lumMod w14:val="95000"/>
                <w14:lumOff w14:val="5000"/>
              </w14:schemeClr>
            </w14:solidFill>
          </w14:textFill>
        </w:rPr>
        <w:t>亿元。</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政府性基金预算本级支出</w:t>
      </w:r>
      <w:r>
        <w:rPr>
          <w:color w:val="0D0D0D" w:themeColor="text1" w:themeTint="F2"/>
          <w14:textFill>
            <w14:solidFill>
              <w14:schemeClr w14:val="tx1">
                <w14:lumMod w14:val="95000"/>
                <w14:lumOff w14:val="5000"/>
              </w14:schemeClr>
            </w14:solidFill>
          </w14:textFill>
        </w:rPr>
        <w:t>227.8</w:t>
      </w:r>
      <w:r>
        <w:rPr>
          <w:rFonts w:hint="eastAsia"/>
          <w:color w:val="0D0D0D" w:themeColor="text1" w:themeTint="F2"/>
          <w14:textFill>
            <w14:solidFill>
              <w14:schemeClr w14:val="tx1">
                <w14:lumMod w14:val="95000"/>
                <w14:lumOff w14:val="5000"/>
              </w14:schemeClr>
            </w14:solidFill>
          </w14:textFill>
        </w:rPr>
        <w:t>亿元，加上解上级</w:t>
      </w:r>
      <w:r>
        <w:rPr>
          <w:color w:val="0D0D0D" w:themeColor="text1" w:themeTint="F2"/>
          <w14:textFill>
            <w14:solidFill>
              <w14:schemeClr w14:val="tx1">
                <w14:lumMod w14:val="95000"/>
                <w14:lumOff w14:val="5000"/>
              </w14:schemeClr>
            </w14:solidFill>
          </w14:textFill>
        </w:rPr>
        <w:t>0.1</w:t>
      </w:r>
      <w:r>
        <w:rPr>
          <w:rFonts w:hint="eastAsia"/>
          <w:color w:val="0D0D0D" w:themeColor="text1" w:themeTint="F2"/>
          <w14:textFill>
            <w14:solidFill>
              <w14:schemeClr w14:val="tx1">
                <w14:lumMod w14:val="95000"/>
                <w14:lumOff w14:val="5000"/>
              </w14:schemeClr>
            </w14:solidFill>
          </w14:textFill>
        </w:rPr>
        <w:t>亿元、调出资金用于平衡一般公共预算</w:t>
      </w:r>
      <w:r>
        <w:rPr>
          <w:color w:val="0D0D0D" w:themeColor="text1" w:themeTint="F2"/>
          <w14:textFill>
            <w14:solidFill>
              <w14:schemeClr w14:val="tx1">
                <w14:lumMod w14:val="95000"/>
                <w14:lumOff w14:val="5000"/>
              </w14:schemeClr>
            </w14:solidFill>
          </w14:textFill>
        </w:rPr>
        <w:t>16.6</w:t>
      </w:r>
      <w:r>
        <w:rPr>
          <w:rFonts w:hint="eastAsia"/>
          <w:color w:val="0D0D0D" w:themeColor="text1" w:themeTint="F2"/>
          <w14:textFill>
            <w14:solidFill>
              <w14:schemeClr w14:val="tx1">
                <w14:lumMod w14:val="95000"/>
                <w14:lumOff w14:val="5000"/>
              </w14:schemeClr>
            </w14:solidFill>
          </w14:textFill>
        </w:rPr>
        <w:t>亿元、结转下年</w:t>
      </w:r>
      <w:r>
        <w:rPr>
          <w:color w:val="0D0D0D" w:themeColor="text1" w:themeTint="F2"/>
          <w14:textFill>
            <w14:solidFill>
              <w14:schemeClr w14:val="tx1">
                <w14:lumMod w14:val="95000"/>
                <w14:lumOff w14:val="5000"/>
              </w14:schemeClr>
            </w14:solidFill>
          </w14:textFill>
        </w:rPr>
        <w:t>16</w:t>
      </w:r>
      <w:r>
        <w:rPr>
          <w:rFonts w:hint="eastAsia"/>
          <w:color w:val="0D0D0D" w:themeColor="text1" w:themeTint="F2"/>
          <w14:textFill>
            <w14:solidFill>
              <w14:schemeClr w14:val="tx1">
                <w14:lumMod w14:val="95000"/>
                <w14:lumOff w14:val="5000"/>
              </w14:schemeClr>
            </w14:solidFill>
          </w14:textFill>
        </w:rPr>
        <w:t>亿元，支出总计</w:t>
      </w:r>
      <w:r>
        <w:rPr>
          <w:color w:val="0D0D0D" w:themeColor="text1" w:themeTint="F2"/>
          <w14:textFill>
            <w14:solidFill>
              <w14:schemeClr w14:val="tx1">
                <w14:lumMod w14:val="95000"/>
                <w14:lumOff w14:val="5000"/>
              </w14:schemeClr>
            </w14:solidFill>
          </w14:textFill>
        </w:rPr>
        <w:t>260.5</w:t>
      </w:r>
      <w:r>
        <w:rPr>
          <w:rFonts w:hint="eastAsia"/>
          <w:color w:val="0D0D0D" w:themeColor="text1" w:themeTint="F2"/>
          <w14:textFill>
            <w14:solidFill>
              <w14:schemeClr w14:val="tx1">
                <w14:lumMod w14:val="95000"/>
                <w14:lumOff w14:val="5000"/>
              </w14:schemeClr>
            </w14:solidFill>
          </w14:textFill>
        </w:rPr>
        <w:t>亿元。</w:t>
      </w:r>
    </w:p>
    <w:tbl>
      <w:tblPr>
        <w:tblStyle w:val="7"/>
        <w:tblW w:w="8647" w:type="dxa"/>
        <w:jc w:val="center"/>
        <w:tblLayout w:type="autofit"/>
        <w:tblCellMar>
          <w:top w:w="0" w:type="dxa"/>
          <w:left w:w="108" w:type="dxa"/>
          <w:bottom w:w="0" w:type="dxa"/>
          <w:right w:w="108" w:type="dxa"/>
        </w:tblCellMar>
      </w:tblPr>
      <w:tblGrid>
        <w:gridCol w:w="2552"/>
        <w:gridCol w:w="1843"/>
        <w:gridCol w:w="2268"/>
        <w:gridCol w:w="1984"/>
      </w:tblGrid>
      <w:tr>
        <w:tblPrEx>
          <w:tblCellMar>
            <w:top w:w="0" w:type="dxa"/>
            <w:left w:w="108" w:type="dxa"/>
            <w:bottom w:w="0" w:type="dxa"/>
            <w:right w:w="108" w:type="dxa"/>
          </w:tblCellMar>
        </w:tblPrEx>
        <w:trPr>
          <w:trHeight w:val="372" w:hRule="atLeast"/>
          <w:jc w:val="center"/>
        </w:trPr>
        <w:tc>
          <w:tcPr>
            <w:tcW w:w="8647" w:type="dxa"/>
            <w:gridSpan w:val="4"/>
            <w:tcBorders>
              <w:top w:val="nil"/>
              <w:left w:val="nil"/>
              <w:bottom w:val="nil"/>
              <w:right w:val="nil"/>
            </w:tcBorders>
            <w:shd w:val="clear" w:color="auto" w:fill="auto"/>
            <w:noWrap/>
            <w:vAlign w:val="center"/>
          </w:tcPr>
          <w:p>
            <w:pPr>
              <w:widowControl/>
              <w:spacing w:line="240" w:lineRule="auto"/>
              <w:ind w:firstLine="0" w:firstLineChars="0"/>
              <w:jc w:val="center"/>
              <w:rPr>
                <w:rFonts w:eastAsia="方正黑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重庆高新区</w:t>
            </w:r>
            <w:r>
              <w:rPr>
                <w:rFonts w:eastAsia="方正黑体_GBK" w:cs="Times New Roman"/>
                <w:color w:val="0D0D0D" w:themeColor="text1" w:themeTint="F2"/>
                <w:kern w:val="0"/>
                <w:sz w:val="28"/>
                <w:szCs w:val="28"/>
                <w14:textFill>
                  <w14:solidFill>
                    <w14:schemeClr w14:val="tx1">
                      <w14:lumMod w14:val="95000"/>
                      <w14:lumOff w14:val="5000"/>
                    </w14:schemeClr>
                  </w14:solidFill>
                </w14:textFill>
              </w:rPr>
              <w:t>2022</w:t>
            </w: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年政府性基金预算执行情况表</w:t>
            </w:r>
          </w:p>
        </w:tc>
      </w:tr>
      <w:tr>
        <w:tblPrEx>
          <w:tblCellMar>
            <w:top w:w="0" w:type="dxa"/>
            <w:left w:w="108" w:type="dxa"/>
            <w:bottom w:w="0" w:type="dxa"/>
            <w:right w:w="108" w:type="dxa"/>
          </w:tblCellMar>
        </w:tblPrEx>
        <w:trPr>
          <w:trHeight w:val="336" w:hRule="atLeast"/>
          <w:jc w:val="center"/>
        </w:trPr>
        <w:tc>
          <w:tcPr>
            <w:tcW w:w="2552" w:type="dxa"/>
            <w:tcBorders>
              <w:top w:val="nil"/>
              <w:left w:val="nil"/>
              <w:bottom w:val="single" w:color="auto" w:sz="4" w:space="0"/>
              <w:right w:val="nil"/>
            </w:tcBorders>
            <w:shd w:val="clear" w:color="auto" w:fill="auto"/>
            <w:vAlign w:val="bottom"/>
          </w:tcPr>
          <w:p>
            <w:pPr>
              <w:widowControl/>
              <w:spacing w:line="240" w:lineRule="auto"/>
              <w:ind w:firstLine="0" w:firstLineChars="0"/>
              <w:jc w:val="left"/>
              <w:rPr>
                <w:rFonts w:eastAsia="等线" w:cs="宋体"/>
                <w:color w:val="0D0D0D" w:themeColor="text1" w:themeTint="F2"/>
                <w:kern w:val="0"/>
                <w:sz w:val="21"/>
                <w:szCs w:val="21"/>
                <w14:textFill>
                  <w14:solidFill>
                    <w14:schemeClr w14:val="tx1">
                      <w14:lumMod w14:val="95000"/>
                      <w14:lumOff w14:val="5000"/>
                    </w14:schemeClr>
                  </w14:solidFill>
                </w14:textFill>
              </w:rPr>
            </w:pPr>
            <w:r>
              <w:rPr>
                <w:rFonts w:hint="eastAsia" w:hAnsi="等线" w:eastAsia="等线" w:cs="宋体"/>
                <w:color w:val="0D0D0D" w:themeColor="text1" w:themeTint="F2"/>
                <w:kern w:val="0"/>
                <w:sz w:val="21"/>
                <w:szCs w:val="21"/>
                <w14:textFill>
                  <w14:solidFill>
                    <w14:schemeClr w14:val="tx1">
                      <w14:lumMod w14:val="95000"/>
                      <w14:lumOff w14:val="5000"/>
                    </w14:schemeClr>
                  </w14:solidFill>
                </w14:textFill>
              </w:rPr>
              <w:t>　</w:t>
            </w:r>
          </w:p>
        </w:tc>
        <w:tc>
          <w:tcPr>
            <w:tcW w:w="1843"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left"/>
              <w:rPr>
                <w:rFonts w:eastAsia="等线" w:cs="宋体"/>
                <w:color w:val="0D0D0D" w:themeColor="text1" w:themeTint="F2"/>
                <w:kern w:val="0"/>
                <w:sz w:val="21"/>
                <w:szCs w:val="21"/>
                <w14:textFill>
                  <w14:solidFill>
                    <w14:schemeClr w14:val="tx1">
                      <w14:lumMod w14:val="95000"/>
                      <w14:lumOff w14:val="5000"/>
                    </w14:schemeClr>
                  </w14:solidFill>
                </w14:textFill>
              </w:rPr>
            </w:pPr>
            <w:r>
              <w:rPr>
                <w:rFonts w:hint="eastAsia" w:hAnsi="等线" w:eastAsia="等线" w:cs="宋体"/>
                <w:color w:val="0D0D0D" w:themeColor="text1" w:themeTint="F2"/>
                <w:kern w:val="0"/>
                <w:sz w:val="21"/>
                <w:szCs w:val="21"/>
                <w14:textFill>
                  <w14:solidFill>
                    <w14:schemeClr w14:val="tx1">
                      <w14:lumMod w14:val="95000"/>
                      <w14:lumOff w14:val="5000"/>
                    </w14:schemeClr>
                  </w14:solidFill>
                </w14:textFill>
              </w:rPr>
              <w:t>　</w:t>
            </w:r>
          </w:p>
        </w:tc>
        <w:tc>
          <w:tcPr>
            <w:tcW w:w="2268" w:type="dxa"/>
            <w:tcBorders>
              <w:top w:val="nil"/>
              <w:left w:val="nil"/>
              <w:bottom w:val="single" w:color="auto" w:sz="4" w:space="0"/>
              <w:right w:val="nil"/>
            </w:tcBorders>
            <w:shd w:val="clear" w:color="auto" w:fill="auto"/>
            <w:noWrap/>
            <w:vAlign w:val="bottom"/>
          </w:tcPr>
          <w:p>
            <w:pPr>
              <w:widowControl/>
              <w:spacing w:line="240" w:lineRule="auto"/>
              <w:ind w:firstLine="0" w:firstLineChars="0"/>
              <w:jc w:val="left"/>
              <w:rPr>
                <w:rFonts w:eastAsia="等线" w:cs="宋体"/>
                <w:color w:val="0D0D0D" w:themeColor="text1" w:themeTint="F2"/>
                <w:kern w:val="0"/>
                <w:sz w:val="21"/>
                <w:szCs w:val="21"/>
                <w14:textFill>
                  <w14:solidFill>
                    <w14:schemeClr w14:val="tx1">
                      <w14:lumMod w14:val="95000"/>
                      <w14:lumOff w14:val="5000"/>
                    </w14:schemeClr>
                  </w14:solidFill>
                </w14:textFill>
              </w:rPr>
            </w:pPr>
            <w:r>
              <w:rPr>
                <w:rFonts w:hint="eastAsia" w:hAnsi="等线" w:eastAsia="等线" w:cs="宋体"/>
                <w:color w:val="0D0D0D" w:themeColor="text1" w:themeTint="F2"/>
                <w:kern w:val="0"/>
                <w:sz w:val="21"/>
                <w:szCs w:val="21"/>
                <w14:textFill>
                  <w14:solidFill>
                    <w14:schemeClr w14:val="tx1">
                      <w14:lumMod w14:val="95000"/>
                      <w14:lumOff w14:val="5000"/>
                    </w14:schemeClr>
                  </w14:solidFill>
                </w14:textFill>
              </w:rPr>
              <w:t>　</w:t>
            </w:r>
          </w:p>
        </w:tc>
        <w:tc>
          <w:tcPr>
            <w:tcW w:w="1984"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right"/>
              <w:rPr>
                <w:rFonts w:eastAsia="方正楷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楷体_GBK" w:cs="宋体"/>
                <w:color w:val="0D0D0D" w:themeColor="text1" w:themeTint="F2"/>
                <w:kern w:val="0"/>
                <w:sz w:val="24"/>
                <w:szCs w:val="24"/>
                <w14:textFill>
                  <w14:solidFill>
                    <w14:schemeClr w14:val="tx1">
                      <w14:lumMod w14:val="95000"/>
                      <w14:lumOff w14:val="5000"/>
                    </w14:schemeClr>
                  </w14:solidFill>
                </w14:textFill>
              </w:rPr>
              <w:t>单位：万元</w:t>
            </w:r>
          </w:p>
        </w:tc>
      </w:tr>
      <w:tr>
        <w:tblPrEx>
          <w:tblCellMar>
            <w:top w:w="0" w:type="dxa"/>
            <w:left w:w="108" w:type="dxa"/>
            <w:bottom w:w="0" w:type="dxa"/>
            <w:right w:w="108" w:type="dxa"/>
          </w:tblCellMar>
        </w:tblPrEx>
        <w:trPr>
          <w:trHeight w:val="336" w:hRule="atLeast"/>
          <w:jc w:val="center"/>
        </w:trPr>
        <w:tc>
          <w:tcPr>
            <w:tcW w:w="43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收 入</w:t>
            </w:r>
          </w:p>
        </w:tc>
        <w:tc>
          <w:tcPr>
            <w:tcW w:w="425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支 出</w:t>
            </w:r>
          </w:p>
        </w:tc>
      </w:tr>
      <w:tr>
        <w:tblPrEx>
          <w:tblCellMar>
            <w:top w:w="0" w:type="dxa"/>
            <w:left w:w="108" w:type="dxa"/>
            <w:bottom w:w="0" w:type="dxa"/>
            <w:right w:w="108" w:type="dxa"/>
          </w:tblCellMar>
        </w:tblPrEx>
        <w:trPr>
          <w:trHeight w:val="336" w:hRule="atLeast"/>
          <w:jc w:val="center"/>
        </w:trPr>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科 目</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执行数</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科 目</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执行数</w:t>
            </w:r>
          </w:p>
        </w:tc>
      </w:tr>
      <w:tr>
        <w:tblPrEx>
          <w:tblCellMar>
            <w:top w:w="0" w:type="dxa"/>
            <w:left w:w="108" w:type="dxa"/>
            <w:bottom w:w="0" w:type="dxa"/>
            <w:right w:w="108" w:type="dxa"/>
          </w:tblCellMar>
        </w:tblPrEx>
        <w:trPr>
          <w:trHeight w:val="336" w:hRule="atLeast"/>
          <w:jc w:val="center"/>
        </w:trPr>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合 计</w:t>
            </w:r>
          </w:p>
        </w:tc>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b/>
                <w:bCs/>
                <w:color w:val="0D0D0D" w:themeColor="text1" w:themeTint="F2"/>
                <w:kern w:val="0"/>
                <w:sz w:val="24"/>
                <w:szCs w:val="24"/>
                <w14:textFill>
                  <w14:solidFill>
                    <w14:schemeClr w14:val="tx1">
                      <w14:lumMod w14:val="95000"/>
                      <w14:lumOff w14:val="5000"/>
                    </w14:schemeClr>
                  </w14:solidFill>
                </w14:textFill>
              </w:rPr>
              <w:t>2</w:t>
            </w: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,605,206</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合 计</w:t>
            </w:r>
          </w:p>
        </w:tc>
        <w:tc>
          <w:tcPr>
            <w:tcW w:w="19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b/>
                <w:bCs/>
                <w:color w:val="0D0D0D" w:themeColor="text1" w:themeTint="F2"/>
                <w:kern w:val="0"/>
                <w:sz w:val="24"/>
                <w:szCs w:val="24"/>
                <w14:textFill>
                  <w14:solidFill>
                    <w14:schemeClr w14:val="tx1">
                      <w14:lumMod w14:val="95000"/>
                      <w14:lumOff w14:val="5000"/>
                    </w14:schemeClr>
                  </w14:solidFill>
                </w14:textFill>
              </w:rPr>
              <w:t>2</w:t>
            </w: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,605,206</w:t>
            </w:r>
          </w:p>
        </w:tc>
      </w:tr>
      <w:tr>
        <w:tblPrEx>
          <w:tblCellMar>
            <w:top w:w="0" w:type="dxa"/>
            <w:left w:w="108" w:type="dxa"/>
            <w:bottom w:w="0" w:type="dxa"/>
            <w:right w:w="108" w:type="dxa"/>
          </w:tblCellMar>
        </w:tblPrEx>
        <w:trPr>
          <w:trHeight w:val="324" w:hRule="atLeast"/>
          <w:jc w:val="center"/>
        </w:trPr>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本级收入</w:t>
            </w:r>
          </w:p>
        </w:tc>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本级各项支出</w:t>
            </w:r>
          </w:p>
        </w:tc>
        <w:tc>
          <w:tcPr>
            <w:tcW w:w="19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color w:val="0D0D0D" w:themeColor="text1" w:themeTint="F2"/>
                <w:kern w:val="0"/>
                <w:sz w:val="24"/>
                <w:szCs w:val="24"/>
                <w14:textFill>
                  <w14:solidFill>
                    <w14:schemeClr w14:val="tx1">
                      <w14:lumMod w14:val="95000"/>
                      <w14:lumOff w14:val="5000"/>
                    </w14:schemeClr>
                  </w14:solidFill>
                </w14:textFill>
              </w:rPr>
              <w:t>2</w:t>
            </w:r>
            <w:r>
              <w:rPr>
                <w:rFonts w:eastAsia="等线" w:cs="Times New Roman"/>
                <w:color w:val="0D0D0D" w:themeColor="text1" w:themeTint="F2"/>
                <w:kern w:val="0"/>
                <w:sz w:val="24"/>
                <w:szCs w:val="24"/>
                <w14:textFill>
                  <w14:solidFill>
                    <w14:schemeClr w14:val="tx1">
                      <w14:lumMod w14:val="95000"/>
                      <w14:lumOff w14:val="5000"/>
                    </w14:schemeClr>
                  </w14:solidFill>
                </w14:textFill>
              </w:rPr>
              <w:t>,278,011</w:t>
            </w:r>
          </w:p>
        </w:tc>
      </w:tr>
      <w:tr>
        <w:tblPrEx>
          <w:tblCellMar>
            <w:top w:w="0" w:type="dxa"/>
            <w:left w:w="108" w:type="dxa"/>
            <w:bottom w:w="0" w:type="dxa"/>
            <w:right w:w="108" w:type="dxa"/>
          </w:tblCellMar>
        </w:tblPrEx>
        <w:trPr>
          <w:trHeight w:val="336" w:hRule="atLeast"/>
          <w:jc w:val="center"/>
        </w:trPr>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转移性收入</w:t>
            </w:r>
          </w:p>
        </w:tc>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color w:val="0D0D0D" w:themeColor="text1" w:themeTint="F2"/>
                <w:kern w:val="0"/>
                <w:sz w:val="24"/>
                <w:szCs w:val="24"/>
                <w14:textFill>
                  <w14:solidFill>
                    <w14:schemeClr w14:val="tx1">
                      <w14:lumMod w14:val="95000"/>
                      <w14:lumOff w14:val="5000"/>
                    </w14:schemeClr>
                  </w14:solidFill>
                </w14:textFill>
              </w:rPr>
              <w:t>2</w:t>
            </w:r>
            <w:r>
              <w:rPr>
                <w:rFonts w:eastAsia="等线" w:cs="Times New Roman"/>
                <w:color w:val="0D0D0D" w:themeColor="text1" w:themeTint="F2"/>
                <w:kern w:val="0"/>
                <w:sz w:val="24"/>
                <w:szCs w:val="24"/>
                <w14:textFill>
                  <w14:solidFill>
                    <w14:schemeClr w14:val="tx1">
                      <w14:lumMod w14:val="95000"/>
                      <w14:lumOff w14:val="5000"/>
                    </w14:schemeClr>
                  </w14:solidFill>
                </w14:textFill>
              </w:rPr>
              <w:t>,605,206</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转移性支出</w:t>
            </w:r>
          </w:p>
        </w:tc>
        <w:tc>
          <w:tcPr>
            <w:tcW w:w="19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color w:val="0D0D0D" w:themeColor="text1" w:themeTint="F2"/>
                <w:kern w:val="0"/>
                <w:sz w:val="24"/>
                <w:szCs w:val="24"/>
                <w14:textFill>
                  <w14:solidFill>
                    <w14:schemeClr w14:val="tx1">
                      <w14:lumMod w14:val="95000"/>
                      <w14:lumOff w14:val="5000"/>
                    </w14:schemeClr>
                  </w14:solidFill>
                </w14:textFill>
              </w:rPr>
              <w:t>3</w:t>
            </w:r>
            <w:r>
              <w:rPr>
                <w:rFonts w:eastAsia="等线" w:cs="Times New Roman"/>
                <w:color w:val="0D0D0D" w:themeColor="text1" w:themeTint="F2"/>
                <w:kern w:val="0"/>
                <w:sz w:val="24"/>
                <w:szCs w:val="24"/>
                <w14:textFill>
                  <w14:solidFill>
                    <w14:schemeClr w14:val="tx1">
                      <w14:lumMod w14:val="95000"/>
                      <w14:lumOff w14:val="5000"/>
                    </w14:schemeClr>
                  </w14:solidFill>
                </w14:textFill>
              </w:rPr>
              <w:t>27,195</w:t>
            </w:r>
          </w:p>
        </w:tc>
      </w:tr>
      <w:tr>
        <w:tblPrEx>
          <w:tblCellMar>
            <w:top w:w="0" w:type="dxa"/>
            <w:left w:w="108" w:type="dxa"/>
            <w:bottom w:w="0" w:type="dxa"/>
            <w:right w:w="108" w:type="dxa"/>
          </w:tblCellMar>
        </w:tblPrEx>
        <w:trPr>
          <w:trHeight w:val="324" w:hRule="atLeast"/>
          <w:jc w:val="center"/>
        </w:trPr>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240" w:firstLineChars="10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hAnsi="宋体" w:eastAsia="宋体" w:cs="宋体"/>
                <w:color w:val="0D0D0D" w:themeColor="text1" w:themeTint="F2"/>
                <w:kern w:val="0"/>
                <w:sz w:val="24"/>
                <w:szCs w:val="24"/>
                <w14:textFill>
                  <w14:solidFill>
                    <w14:schemeClr w14:val="tx1">
                      <w14:lumMod w14:val="95000"/>
                      <w14:lumOff w14:val="5000"/>
                    </w14:schemeClr>
                  </w14:solidFill>
                </w14:textFill>
              </w:rPr>
              <w:t>上级补助收入</w:t>
            </w:r>
          </w:p>
        </w:tc>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color w:val="0D0D0D" w:themeColor="text1" w:themeTint="F2"/>
                <w:kern w:val="0"/>
                <w:sz w:val="24"/>
                <w:szCs w:val="24"/>
                <w14:textFill>
                  <w14:solidFill>
                    <w14:schemeClr w14:val="tx1">
                      <w14:lumMod w14:val="95000"/>
                      <w14:lumOff w14:val="5000"/>
                    </w14:schemeClr>
                  </w14:solidFill>
                </w14:textFill>
              </w:rPr>
              <w:t>1</w:t>
            </w:r>
            <w:r>
              <w:rPr>
                <w:rFonts w:eastAsia="等线" w:cs="Times New Roman"/>
                <w:color w:val="0D0D0D" w:themeColor="text1" w:themeTint="F2"/>
                <w:kern w:val="0"/>
                <w:sz w:val="24"/>
                <w:szCs w:val="24"/>
                <w14:textFill>
                  <w14:solidFill>
                    <w14:schemeClr w14:val="tx1">
                      <w14:lumMod w14:val="95000"/>
                      <w14:lumOff w14:val="5000"/>
                    </w14:schemeClr>
                  </w14:solidFill>
                </w14:textFill>
              </w:rPr>
              <w:t>,088,408</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hAnsi="宋体" w:eastAsia="宋体" w:cs="Times New Roman"/>
                <w:color w:val="0D0D0D" w:themeColor="text1" w:themeTint="F2"/>
                <w:kern w:val="0"/>
                <w:sz w:val="24"/>
                <w:szCs w:val="24"/>
                <w14:textFill>
                  <w14:solidFill>
                    <w14:schemeClr w14:val="tx1">
                      <w14:lumMod w14:val="95000"/>
                      <w14:lumOff w14:val="5000"/>
                    </w14:schemeClr>
                  </w14:solidFill>
                </w14:textFill>
              </w:rPr>
              <w:t>上解上级</w:t>
            </w:r>
          </w:p>
        </w:tc>
        <w:tc>
          <w:tcPr>
            <w:tcW w:w="19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color w:val="0D0D0D" w:themeColor="text1" w:themeTint="F2"/>
                <w:kern w:val="0"/>
                <w:sz w:val="24"/>
                <w:szCs w:val="24"/>
                <w14:textFill>
                  <w14:solidFill>
                    <w14:schemeClr w14:val="tx1">
                      <w14:lumMod w14:val="95000"/>
                      <w14:lumOff w14:val="5000"/>
                    </w14:schemeClr>
                  </w14:solidFill>
                </w14:textFill>
              </w:rPr>
              <w:t>1</w:t>
            </w:r>
            <w:r>
              <w:rPr>
                <w:rFonts w:eastAsia="等线" w:cs="Times New Roman"/>
                <w:color w:val="0D0D0D" w:themeColor="text1" w:themeTint="F2"/>
                <w:kern w:val="0"/>
                <w:sz w:val="24"/>
                <w:szCs w:val="24"/>
                <w14:textFill>
                  <w14:solidFill>
                    <w14:schemeClr w14:val="tx1">
                      <w14:lumMod w14:val="95000"/>
                      <w14:lumOff w14:val="5000"/>
                    </w14:schemeClr>
                  </w14:solidFill>
                </w14:textFill>
              </w:rPr>
              <w:t>,473</w:t>
            </w:r>
          </w:p>
        </w:tc>
      </w:tr>
      <w:tr>
        <w:tblPrEx>
          <w:tblCellMar>
            <w:top w:w="0" w:type="dxa"/>
            <w:left w:w="108" w:type="dxa"/>
            <w:bottom w:w="0" w:type="dxa"/>
            <w:right w:w="108" w:type="dxa"/>
          </w:tblCellMar>
        </w:tblPrEx>
        <w:trPr>
          <w:trHeight w:val="324" w:hRule="atLeast"/>
          <w:jc w:val="center"/>
        </w:trPr>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240" w:firstLineChars="10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hAnsi="宋体" w:eastAsia="宋体" w:cs="宋体"/>
                <w:color w:val="0D0D0D" w:themeColor="text1" w:themeTint="F2"/>
                <w:kern w:val="0"/>
                <w:sz w:val="24"/>
                <w:szCs w:val="24"/>
                <w14:textFill>
                  <w14:solidFill>
                    <w14:schemeClr w14:val="tx1">
                      <w14:lumMod w14:val="95000"/>
                      <w14:lumOff w14:val="5000"/>
                    </w14:schemeClr>
                  </w14:solidFill>
                </w14:textFill>
              </w:rPr>
              <w:t>债务转贷收入</w:t>
            </w:r>
          </w:p>
        </w:tc>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color w:val="0D0D0D" w:themeColor="text1" w:themeTint="F2"/>
                <w:kern w:val="0"/>
                <w:sz w:val="24"/>
                <w:szCs w:val="24"/>
                <w14:textFill>
                  <w14:solidFill>
                    <w14:schemeClr w14:val="tx1">
                      <w14:lumMod w14:val="95000"/>
                      <w14:lumOff w14:val="5000"/>
                    </w14:schemeClr>
                  </w14:solidFill>
                </w14:textFill>
              </w:rPr>
              <w:t>1</w:t>
            </w:r>
            <w:r>
              <w:rPr>
                <w:rFonts w:eastAsia="等线" w:cs="Times New Roman"/>
                <w:color w:val="0D0D0D" w:themeColor="text1" w:themeTint="F2"/>
                <w:kern w:val="0"/>
                <w:sz w:val="24"/>
                <w:szCs w:val="24"/>
                <w14:textFill>
                  <w14:solidFill>
                    <w14:schemeClr w14:val="tx1">
                      <w14:lumMod w14:val="95000"/>
                      <w14:lumOff w14:val="5000"/>
                    </w14:schemeClr>
                  </w14:solidFill>
                </w14:textFill>
              </w:rPr>
              <w:t>,387,000</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w:t>
            </w:r>
            <w:r>
              <w:rPr>
                <w:rFonts w:hint="eastAsia" w:hAnsi="宋体" w:eastAsia="宋体" w:cs="宋体"/>
                <w:color w:val="0D0D0D" w:themeColor="text1" w:themeTint="F2"/>
                <w:kern w:val="0"/>
                <w:sz w:val="24"/>
                <w:szCs w:val="24"/>
                <w14:textFill>
                  <w14:solidFill>
                    <w14:schemeClr w14:val="tx1">
                      <w14:lumMod w14:val="95000"/>
                      <w14:lumOff w14:val="5000"/>
                    </w14:schemeClr>
                  </w14:solidFill>
                </w14:textFill>
              </w:rPr>
              <w:t>债务还本</w:t>
            </w:r>
          </w:p>
        </w:tc>
        <w:tc>
          <w:tcPr>
            <w:tcW w:w="19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jc w:val="center"/>
        </w:trPr>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240" w:firstLineChars="10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hAnsi="宋体" w:eastAsia="宋体" w:cs="宋体"/>
                <w:color w:val="0D0D0D" w:themeColor="text1" w:themeTint="F2"/>
                <w:kern w:val="0"/>
                <w:sz w:val="24"/>
                <w:szCs w:val="24"/>
                <w14:textFill>
                  <w14:solidFill>
                    <w14:schemeClr w14:val="tx1">
                      <w14:lumMod w14:val="95000"/>
                      <w14:lumOff w14:val="5000"/>
                    </w14:schemeClr>
                  </w14:solidFill>
                </w14:textFill>
              </w:rPr>
              <w:t>上年结转</w:t>
            </w:r>
          </w:p>
        </w:tc>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color w:val="0D0D0D" w:themeColor="text1" w:themeTint="F2"/>
                <w:kern w:val="0"/>
                <w:sz w:val="24"/>
                <w:szCs w:val="24"/>
                <w14:textFill>
                  <w14:solidFill>
                    <w14:schemeClr w14:val="tx1">
                      <w14:lumMod w14:val="95000"/>
                      <w14:lumOff w14:val="5000"/>
                    </w14:schemeClr>
                  </w14:solidFill>
                </w14:textFill>
              </w:rPr>
              <w:t>1</w:t>
            </w:r>
            <w:r>
              <w:rPr>
                <w:rFonts w:eastAsia="等线" w:cs="Times New Roman"/>
                <w:color w:val="0D0D0D" w:themeColor="text1" w:themeTint="F2"/>
                <w:kern w:val="0"/>
                <w:sz w:val="24"/>
                <w:szCs w:val="24"/>
                <w14:textFill>
                  <w14:solidFill>
                    <w14:schemeClr w14:val="tx1">
                      <w14:lumMod w14:val="95000"/>
                      <w14:lumOff w14:val="5000"/>
                    </w14:schemeClr>
                  </w14:solidFill>
                </w14:textFill>
              </w:rPr>
              <w:t>29,798</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w:t>
            </w:r>
            <w:r>
              <w:rPr>
                <w:rFonts w:hint="eastAsia" w:hAnsi="宋体" w:eastAsia="宋体" w:cs="宋体"/>
                <w:color w:val="0D0D0D" w:themeColor="text1" w:themeTint="F2"/>
                <w:kern w:val="0"/>
                <w:sz w:val="24"/>
                <w:szCs w:val="24"/>
                <w14:textFill>
                  <w14:solidFill>
                    <w14:schemeClr w14:val="tx1">
                      <w14:lumMod w14:val="95000"/>
                      <w14:lumOff w14:val="5000"/>
                    </w14:schemeClr>
                  </w14:solidFill>
                </w14:textFill>
              </w:rPr>
              <w:t>调出资金</w:t>
            </w:r>
          </w:p>
        </w:tc>
        <w:tc>
          <w:tcPr>
            <w:tcW w:w="19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color w:val="0D0D0D" w:themeColor="text1" w:themeTint="F2"/>
                <w:kern w:val="0"/>
                <w:sz w:val="24"/>
                <w:szCs w:val="24"/>
                <w14:textFill>
                  <w14:solidFill>
                    <w14:schemeClr w14:val="tx1">
                      <w14:lumMod w14:val="95000"/>
                      <w14:lumOff w14:val="5000"/>
                    </w14:schemeClr>
                  </w14:solidFill>
                </w14:textFill>
              </w:rPr>
              <w:t>1</w:t>
            </w:r>
            <w:r>
              <w:rPr>
                <w:rFonts w:eastAsia="等线" w:cs="Times New Roman"/>
                <w:color w:val="0D0D0D" w:themeColor="text1" w:themeTint="F2"/>
                <w:kern w:val="0"/>
                <w:sz w:val="24"/>
                <w:szCs w:val="24"/>
                <w14:textFill>
                  <w14:solidFill>
                    <w14:schemeClr w14:val="tx1">
                      <w14:lumMod w14:val="95000"/>
                      <w14:lumOff w14:val="5000"/>
                    </w14:schemeClr>
                  </w14:solidFill>
                </w14:textFill>
              </w:rPr>
              <w:t>66,049</w:t>
            </w:r>
          </w:p>
        </w:tc>
      </w:tr>
      <w:tr>
        <w:tblPrEx>
          <w:tblCellMar>
            <w:top w:w="0" w:type="dxa"/>
            <w:left w:w="108" w:type="dxa"/>
            <w:bottom w:w="0" w:type="dxa"/>
            <w:right w:w="108" w:type="dxa"/>
          </w:tblCellMar>
        </w:tblPrEx>
        <w:trPr>
          <w:trHeight w:val="312" w:hRule="atLeast"/>
          <w:jc w:val="center"/>
        </w:trPr>
        <w:tc>
          <w:tcPr>
            <w:tcW w:w="255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84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w:t>
            </w:r>
            <w:r>
              <w:rPr>
                <w:rFonts w:hint="eastAsia" w:hAnsi="宋体" w:eastAsia="宋体" w:cs="宋体"/>
                <w:color w:val="0D0D0D" w:themeColor="text1" w:themeTint="F2"/>
                <w:kern w:val="0"/>
                <w:sz w:val="24"/>
                <w:szCs w:val="24"/>
                <w14:textFill>
                  <w14:solidFill>
                    <w14:schemeClr w14:val="tx1">
                      <w14:lumMod w14:val="95000"/>
                      <w14:lumOff w14:val="5000"/>
                    </w14:schemeClr>
                  </w14:solidFill>
                </w14:textFill>
              </w:rPr>
              <w:t>结转下年</w:t>
            </w:r>
          </w:p>
        </w:tc>
        <w:tc>
          <w:tcPr>
            <w:tcW w:w="19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color w:val="0D0D0D" w:themeColor="text1" w:themeTint="F2"/>
                <w:kern w:val="0"/>
                <w:sz w:val="24"/>
                <w:szCs w:val="24"/>
                <w14:textFill>
                  <w14:solidFill>
                    <w14:schemeClr w14:val="tx1">
                      <w14:lumMod w14:val="95000"/>
                      <w14:lumOff w14:val="5000"/>
                    </w14:schemeClr>
                  </w14:solidFill>
                </w14:textFill>
              </w:rPr>
              <w:t>1</w:t>
            </w:r>
            <w:r>
              <w:rPr>
                <w:rFonts w:eastAsia="等线" w:cs="Times New Roman"/>
                <w:color w:val="0D0D0D" w:themeColor="text1" w:themeTint="F2"/>
                <w:kern w:val="0"/>
                <w:sz w:val="24"/>
                <w:szCs w:val="24"/>
                <w14:textFill>
                  <w14:solidFill>
                    <w14:schemeClr w14:val="tx1">
                      <w14:lumMod w14:val="95000"/>
                      <w14:lumOff w14:val="5000"/>
                    </w14:schemeClr>
                  </w14:solidFill>
                </w14:textFill>
              </w:rPr>
              <w:t>59,673</w:t>
            </w:r>
          </w:p>
        </w:tc>
      </w:tr>
    </w:tbl>
    <w:p>
      <w:pPr>
        <w:pStyle w:val="3"/>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（三）国有资本经营预算执行情况</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国有资本经营预算本级收入</w:t>
      </w:r>
      <w:r>
        <w:rPr>
          <w:color w:val="0D0D0D" w:themeColor="text1" w:themeTint="F2"/>
          <w14:textFill>
            <w14:solidFill>
              <w14:schemeClr w14:val="tx1">
                <w14:lumMod w14:val="95000"/>
                <w14:lumOff w14:val="5000"/>
              </w14:schemeClr>
            </w14:solidFill>
          </w14:textFill>
        </w:rPr>
        <w:t>1.2</w:t>
      </w:r>
      <w:r>
        <w:rPr>
          <w:rFonts w:hint="eastAsia"/>
          <w:color w:val="0D0D0D" w:themeColor="text1" w:themeTint="F2"/>
          <w14:textFill>
            <w14:solidFill>
              <w14:schemeClr w14:val="tx1">
                <w14:lumMod w14:val="95000"/>
                <w14:lumOff w14:val="5000"/>
              </w14:schemeClr>
            </w14:solidFill>
          </w14:textFill>
        </w:rPr>
        <w:t>亿元，为国有企业上缴经营利润。本级收入加上年结转3</w:t>
      </w:r>
      <w:r>
        <w:rPr>
          <w:color w:val="0D0D0D" w:themeColor="text1" w:themeTint="F2"/>
          <w14:textFill>
            <w14:solidFill>
              <w14:schemeClr w14:val="tx1">
                <w14:lumMod w14:val="95000"/>
                <w14:lumOff w14:val="5000"/>
              </w14:schemeClr>
            </w14:solidFill>
          </w14:textFill>
        </w:rPr>
        <w:t>8</w:t>
      </w:r>
      <w:r>
        <w:rPr>
          <w:rFonts w:hint="eastAsia"/>
          <w:color w:val="0D0D0D" w:themeColor="text1" w:themeTint="F2"/>
          <w14:textFill>
            <w14:solidFill>
              <w14:schemeClr w14:val="tx1">
                <w14:lumMod w14:val="95000"/>
                <w14:lumOff w14:val="5000"/>
              </w14:schemeClr>
            </w14:solidFill>
          </w14:textFill>
        </w:rPr>
        <w:t>万元，收入合计</w:t>
      </w:r>
      <w:r>
        <w:rPr>
          <w:color w:val="0D0D0D" w:themeColor="text1" w:themeTint="F2"/>
          <w14:textFill>
            <w14:solidFill>
              <w14:schemeClr w14:val="tx1">
                <w14:lumMod w14:val="95000"/>
                <w14:lumOff w14:val="5000"/>
              </w14:schemeClr>
            </w14:solidFill>
          </w14:textFill>
        </w:rPr>
        <w:t>1.2</w:t>
      </w:r>
      <w:r>
        <w:rPr>
          <w:rFonts w:hint="eastAsia"/>
          <w:color w:val="0D0D0D" w:themeColor="text1" w:themeTint="F2"/>
          <w14:textFill>
            <w14:solidFill>
              <w14:schemeClr w14:val="tx1">
                <w14:lumMod w14:val="95000"/>
                <w14:lumOff w14:val="5000"/>
              </w14:schemeClr>
            </w14:solidFill>
          </w14:textFill>
        </w:rPr>
        <w:t>亿元。</w:t>
      </w:r>
    </w:p>
    <w:p>
      <w:pPr>
        <w:ind w:firstLine="640"/>
      </w:pPr>
      <w:r>
        <w:rPr>
          <w:rFonts w:hint="eastAsia"/>
          <w:color w:val="0D0D0D" w:themeColor="text1" w:themeTint="F2"/>
          <w14:textFill>
            <w14:solidFill>
              <w14:schemeClr w14:val="tx1">
                <w14:lumMod w14:val="95000"/>
                <w14:lumOff w14:val="5000"/>
              </w14:schemeClr>
            </w14:solidFill>
          </w14:textFill>
        </w:rPr>
        <w:t>国有资本经营预算本级支出</w:t>
      </w:r>
      <w:r>
        <w:rPr>
          <w:color w:val="0D0D0D" w:themeColor="text1" w:themeTint="F2"/>
          <w14:textFill>
            <w14:solidFill>
              <w14:schemeClr w14:val="tx1">
                <w14:lumMod w14:val="95000"/>
                <w14:lumOff w14:val="5000"/>
              </w14:schemeClr>
            </w14:solidFill>
          </w14:textFill>
        </w:rPr>
        <w:t>0.4</w:t>
      </w:r>
      <w:r>
        <w:rPr>
          <w:rFonts w:hint="eastAsia"/>
          <w:color w:val="0D0D0D" w:themeColor="text1" w:themeTint="F2"/>
          <w14:textFill>
            <w14:solidFill>
              <w14:schemeClr w14:val="tx1">
                <w14:lumMod w14:val="95000"/>
                <w14:lumOff w14:val="5000"/>
              </w14:schemeClr>
            </w14:solidFill>
          </w14:textFill>
        </w:rPr>
        <w:t>亿元，加调出资金用于一般公共预算支出</w:t>
      </w:r>
      <w:r>
        <w:rPr>
          <w:color w:val="0D0D0D" w:themeColor="text1" w:themeTint="F2"/>
          <w14:textFill>
            <w14:solidFill>
              <w14:schemeClr w14:val="tx1">
                <w14:lumMod w14:val="95000"/>
                <w14:lumOff w14:val="5000"/>
              </w14:schemeClr>
            </w14:solidFill>
          </w14:textFill>
        </w:rPr>
        <w:t>0.8</w:t>
      </w:r>
      <w:r>
        <w:rPr>
          <w:rFonts w:hint="eastAsia"/>
          <w:color w:val="0D0D0D" w:themeColor="text1" w:themeTint="F2"/>
          <w14:textFill>
            <w14:solidFill>
              <w14:schemeClr w14:val="tx1">
                <w14:lumMod w14:val="95000"/>
                <w14:lumOff w14:val="5000"/>
              </w14:schemeClr>
            </w14:solidFill>
          </w14:textFill>
        </w:rPr>
        <w:t>亿元、结转下年</w:t>
      </w:r>
      <w:r>
        <w:rPr>
          <w:color w:val="0D0D0D" w:themeColor="text1" w:themeTint="F2"/>
          <w14:textFill>
            <w14:solidFill>
              <w14:schemeClr w14:val="tx1">
                <w14:lumMod w14:val="95000"/>
                <w14:lumOff w14:val="5000"/>
              </w14:schemeClr>
            </w14:solidFill>
          </w14:textFill>
        </w:rPr>
        <w:t>28</w:t>
      </w:r>
      <w:r>
        <w:rPr>
          <w:rFonts w:hint="eastAsia"/>
          <w:color w:val="0D0D0D" w:themeColor="text1" w:themeTint="F2"/>
          <w14:textFill>
            <w14:solidFill>
              <w14:schemeClr w14:val="tx1">
                <w14:lumMod w14:val="95000"/>
                <w14:lumOff w14:val="5000"/>
              </w14:schemeClr>
            </w14:solidFill>
          </w14:textFill>
        </w:rPr>
        <w:t>万元，支出总计</w:t>
      </w:r>
      <w:r>
        <w:rPr>
          <w:color w:val="0D0D0D" w:themeColor="text1" w:themeTint="F2"/>
          <w14:textFill>
            <w14:solidFill>
              <w14:schemeClr w14:val="tx1">
                <w14:lumMod w14:val="95000"/>
                <w14:lumOff w14:val="5000"/>
              </w14:schemeClr>
            </w14:solidFill>
          </w14:textFill>
        </w:rPr>
        <w:t>1.2</w:t>
      </w:r>
      <w:r>
        <w:rPr>
          <w:rFonts w:hint="eastAsia"/>
          <w:color w:val="0D0D0D" w:themeColor="text1" w:themeTint="F2"/>
          <w14:textFill>
            <w14:solidFill>
              <w14:schemeClr w14:val="tx1">
                <w14:lumMod w14:val="95000"/>
                <w14:lumOff w14:val="5000"/>
              </w14:schemeClr>
            </w14:solidFill>
          </w14:textFill>
        </w:rPr>
        <w:t>亿元。</w:t>
      </w:r>
    </w:p>
    <w:tbl>
      <w:tblPr>
        <w:tblStyle w:val="7"/>
        <w:tblW w:w="8647" w:type="dxa"/>
        <w:jc w:val="center"/>
        <w:tblLayout w:type="autofit"/>
        <w:tblCellMar>
          <w:top w:w="0" w:type="dxa"/>
          <w:left w:w="108" w:type="dxa"/>
          <w:bottom w:w="0" w:type="dxa"/>
          <w:right w:w="108" w:type="dxa"/>
        </w:tblCellMar>
      </w:tblPr>
      <w:tblGrid>
        <w:gridCol w:w="1701"/>
        <w:gridCol w:w="2552"/>
        <w:gridCol w:w="1984"/>
        <w:gridCol w:w="2410"/>
      </w:tblGrid>
      <w:tr>
        <w:tblPrEx>
          <w:tblCellMar>
            <w:top w:w="0" w:type="dxa"/>
            <w:left w:w="108" w:type="dxa"/>
            <w:bottom w:w="0" w:type="dxa"/>
            <w:right w:w="108" w:type="dxa"/>
          </w:tblCellMar>
        </w:tblPrEx>
        <w:trPr>
          <w:trHeight w:val="540" w:hRule="atLeast"/>
          <w:tblHeader/>
          <w:jc w:val="center"/>
        </w:trPr>
        <w:tc>
          <w:tcPr>
            <w:tcW w:w="8647" w:type="dxa"/>
            <w:gridSpan w:val="4"/>
            <w:tcBorders>
              <w:top w:val="nil"/>
              <w:left w:val="nil"/>
              <w:bottom w:val="nil"/>
              <w:right w:val="nil"/>
            </w:tcBorders>
            <w:shd w:val="clear" w:color="auto" w:fill="auto"/>
            <w:noWrap/>
            <w:vAlign w:val="center"/>
          </w:tcPr>
          <w:p>
            <w:pPr>
              <w:widowControl/>
              <w:spacing w:line="240" w:lineRule="auto"/>
              <w:ind w:firstLine="0" w:firstLineChars="0"/>
              <w:jc w:val="center"/>
              <w:rPr>
                <w:rFonts w:eastAsia="方正黑体_GBK" w:cs="宋体"/>
                <w:color w:val="0D0D0D" w:themeColor="text1" w:themeTint="F2"/>
                <w:kern w:val="0"/>
                <w:sz w:val="36"/>
                <w:szCs w:val="36"/>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重庆高新区202</w:t>
            </w:r>
            <w:r>
              <w:rPr>
                <w:rFonts w:eastAsia="方正黑体_GBK" w:cs="宋体"/>
                <w:color w:val="0D0D0D" w:themeColor="text1" w:themeTint="F2"/>
                <w:kern w:val="0"/>
                <w:sz w:val="28"/>
                <w:szCs w:val="28"/>
                <w14:textFill>
                  <w14:solidFill>
                    <w14:schemeClr w14:val="tx1">
                      <w14:lumMod w14:val="95000"/>
                      <w14:lumOff w14:val="5000"/>
                    </w14:schemeClr>
                  </w14:solidFill>
                </w14:textFill>
              </w:rPr>
              <w:t>2</w:t>
            </w: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年国有资本经营预算执行情况表</w:t>
            </w:r>
          </w:p>
        </w:tc>
      </w:tr>
      <w:tr>
        <w:tblPrEx>
          <w:tblCellMar>
            <w:top w:w="0" w:type="dxa"/>
            <w:left w:w="108" w:type="dxa"/>
            <w:bottom w:w="0" w:type="dxa"/>
            <w:right w:w="108" w:type="dxa"/>
          </w:tblCellMar>
        </w:tblPrEx>
        <w:trPr>
          <w:trHeight w:val="330" w:hRule="atLeast"/>
          <w:tblHeader/>
          <w:jc w:val="center"/>
        </w:trPr>
        <w:tc>
          <w:tcPr>
            <w:tcW w:w="1701" w:type="dxa"/>
            <w:tcBorders>
              <w:top w:val="nil"/>
              <w:left w:val="nil"/>
              <w:bottom w:val="nil"/>
              <w:right w:val="nil"/>
            </w:tcBorders>
            <w:shd w:val="clear" w:color="auto" w:fill="auto"/>
            <w:vAlign w:val="center"/>
          </w:tcPr>
          <w:p>
            <w:pPr>
              <w:widowControl/>
              <w:spacing w:line="240" w:lineRule="auto"/>
              <w:ind w:firstLine="0" w:firstLineChars="0"/>
              <w:jc w:val="left"/>
              <w:rPr>
                <w:rFonts w:eastAsia="方正楷体_GBK" w:cs="宋体"/>
                <w:color w:val="0D0D0D" w:themeColor="text1" w:themeTint="F2"/>
                <w:kern w:val="0"/>
                <w:sz w:val="24"/>
                <w:szCs w:val="24"/>
                <w14:textFill>
                  <w14:solidFill>
                    <w14:schemeClr w14:val="tx1">
                      <w14:lumMod w14:val="95000"/>
                      <w14:lumOff w14:val="5000"/>
                    </w14:schemeClr>
                  </w14:solidFill>
                </w14:textFill>
              </w:rPr>
            </w:pPr>
          </w:p>
        </w:tc>
        <w:tc>
          <w:tcPr>
            <w:tcW w:w="2552" w:type="dxa"/>
            <w:tcBorders>
              <w:top w:val="nil"/>
              <w:left w:val="nil"/>
              <w:bottom w:val="nil"/>
              <w:right w:val="nil"/>
            </w:tcBorders>
            <w:shd w:val="clear" w:color="auto" w:fill="auto"/>
            <w:noWrap/>
            <w:vAlign w:val="center"/>
          </w:tcPr>
          <w:p>
            <w:pPr>
              <w:widowControl/>
              <w:spacing w:line="240" w:lineRule="auto"/>
              <w:ind w:firstLine="0" w:firstLineChars="0"/>
              <w:jc w:val="left"/>
              <w:rPr>
                <w:rFonts w:eastAsia="方正楷体_GBK" w:cs="宋体"/>
                <w:color w:val="0D0D0D" w:themeColor="text1" w:themeTint="F2"/>
                <w:kern w:val="0"/>
                <w:sz w:val="24"/>
                <w:szCs w:val="24"/>
                <w14:textFill>
                  <w14:solidFill>
                    <w14:schemeClr w14:val="tx1">
                      <w14:lumMod w14:val="95000"/>
                      <w14:lumOff w14:val="5000"/>
                    </w14:schemeClr>
                  </w14:solidFill>
                </w14:textFill>
              </w:rPr>
            </w:pPr>
          </w:p>
        </w:tc>
        <w:tc>
          <w:tcPr>
            <w:tcW w:w="1984" w:type="dxa"/>
            <w:tcBorders>
              <w:top w:val="nil"/>
              <w:left w:val="nil"/>
              <w:bottom w:val="nil"/>
              <w:right w:val="nil"/>
            </w:tcBorders>
            <w:shd w:val="clear" w:color="auto" w:fill="auto"/>
            <w:noWrap/>
            <w:vAlign w:val="center"/>
          </w:tcPr>
          <w:p>
            <w:pPr>
              <w:widowControl/>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2410" w:type="dxa"/>
            <w:tcBorders>
              <w:top w:val="nil"/>
              <w:left w:val="nil"/>
              <w:bottom w:val="nil"/>
              <w:right w:val="nil"/>
            </w:tcBorders>
            <w:shd w:val="clear" w:color="auto" w:fill="auto"/>
            <w:noWrap/>
            <w:vAlign w:val="center"/>
          </w:tcPr>
          <w:p>
            <w:pPr>
              <w:widowControl/>
              <w:spacing w:line="240" w:lineRule="auto"/>
              <w:ind w:firstLine="0" w:firstLineChars="0"/>
              <w:jc w:val="right"/>
              <w:rPr>
                <w:rFonts w:eastAsia="方正楷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楷体_GBK" w:cs="宋体"/>
                <w:color w:val="0D0D0D" w:themeColor="text1" w:themeTint="F2"/>
                <w:kern w:val="0"/>
                <w:sz w:val="24"/>
                <w:szCs w:val="24"/>
                <w14:textFill>
                  <w14:solidFill>
                    <w14:schemeClr w14:val="tx1">
                      <w14:lumMod w14:val="95000"/>
                      <w14:lumOff w14:val="5000"/>
                    </w14:schemeClr>
                  </w14:solidFill>
                </w14:textFill>
              </w:rPr>
              <w:t>单位：万元</w:t>
            </w:r>
          </w:p>
        </w:tc>
      </w:tr>
      <w:tr>
        <w:tblPrEx>
          <w:tblCellMar>
            <w:top w:w="0" w:type="dxa"/>
            <w:left w:w="108" w:type="dxa"/>
            <w:bottom w:w="0" w:type="dxa"/>
            <w:right w:w="108" w:type="dxa"/>
          </w:tblCellMar>
        </w:tblPrEx>
        <w:trPr>
          <w:trHeight w:val="307" w:hRule="atLeast"/>
          <w:tblHeader/>
          <w:jc w:val="center"/>
        </w:trPr>
        <w:tc>
          <w:tcPr>
            <w:tcW w:w="425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收入</w:t>
            </w:r>
          </w:p>
        </w:tc>
        <w:tc>
          <w:tcPr>
            <w:tcW w:w="439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支出</w:t>
            </w:r>
          </w:p>
        </w:tc>
      </w:tr>
      <w:tr>
        <w:tblPrEx>
          <w:tblCellMar>
            <w:top w:w="0" w:type="dxa"/>
            <w:left w:w="108" w:type="dxa"/>
            <w:bottom w:w="0" w:type="dxa"/>
            <w:right w:w="108" w:type="dxa"/>
          </w:tblCellMar>
        </w:tblPrEx>
        <w:trPr>
          <w:trHeight w:val="441" w:hRule="atLeast"/>
          <w:tblHeader/>
          <w:jc w:val="center"/>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科目</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执行数</w:t>
            </w:r>
          </w:p>
        </w:tc>
        <w:tc>
          <w:tcPr>
            <w:tcW w:w="19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科目</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执行数</w:t>
            </w:r>
          </w:p>
        </w:tc>
      </w:tr>
      <w:tr>
        <w:tblPrEx>
          <w:tblCellMar>
            <w:top w:w="0" w:type="dxa"/>
            <w:left w:w="108" w:type="dxa"/>
            <w:bottom w:w="0" w:type="dxa"/>
            <w:right w:w="108" w:type="dxa"/>
          </w:tblCellMar>
        </w:tblPrEx>
        <w:trPr>
          <w:trHeight w:val="330" w:hRule="atLeast"/>
          <w:jc w:val="center"/>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Times New Roman"/>
                <w:color w:val="0D0D0D" w:themeColor="text1" w:themeTint="F2"/>
                <w:kern w:val="0"/>
                <w:sz w:val="24"/>
                <w:szCs w:val="24"/>
                <w14:textFill>
                  <w14:solidFill>
                    <w14:schemeClr w14:val="tx1">
                      <w14:lumMod w14:val="95000"/>
                      <w14:lumOff w14:val="5000"/>
                    </w14:schemeClr>
                  </w14:solidFill>
                </w14:textFill>
              </w:rPr>
              <w:t>合计</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b/>
                <w:bCs/>
                <w:color w:val="0D0D0D" w:themeColor="text1" w:themeTint="F2"/>
                <w:kern w:val="0"/>
                <w:sz w:val="24"/>
                <w:szCs w:val="24"/>
                <w14:textFill>
                  <w14:solidFill>
                    <w14:schemeClr w14:val="tx1">
                      <w14:lumMod w14:val="95000"/>
                      <w14:lumOff w14:val="5000"/>
                    </w14:schemeClr>
                  </w14:solidFill>
                </w14:textFill>
              </w:rPr>
              <w:t>1</w:t>
            </w: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1,838</w:t>
            </w:r>
          </w:p>
        </w:tc>
        <w:tc>
          <w:tcPr>
            <w:tcW w:w="19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Times New Roman"/>
                <w:color w:val="0D0D0D" w:themeColor="text1" w:themeTint="F2"/>
                <w:kern w:val="0"/>
                <w:sz w:val="24"/>
                <w:szCs w:val="24"/>
                <w14:textFill>
                  <w14:solidFill>
                    <w14:schemeClr w14:val="tx1">
                      <w14:lumMod w14:val="95000"/>
                      <w14:lumOff w14:val="5000"/>
                    </w14:schemeClr>
                  </w14:solidFill>
                </w14:textFill>
              </w:rPr>
              <w:t>合计</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b/>
                <w:bCs/>
                <w:color w:val="0D0D0D" w:themeColor="text1" w:themeTint="F2"/>
                <w:kern w:val="0"/>
                <w:sz w:val="24"/>
                <w:szCs w:val="24"/>
                <w14:textFill>
                  <w14:solidFill>
                    <w14:schemeClr w14:val="tx1">
                      <w14:lumMod w14:val="95000"/>
                      <w14:lumOff w14:val="5000"/>
                    </w14:schemeClr>
                  </w14:solidFill>
                </w14:textFill>
              </w:rPr>
              <w:t>1</w:t>
            </w: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1,838</w:t>
            </w:r>
          </w:p>
        </w:tc>
      </w:tr>
      <w:tr>
        <w:tblPrEx>
          <w:tblCellMar>
            <w:top w:w="0" w:type="dxa"/>
            <w:left w:w="108" w:type="dxa"/>
            <w:bottom w:w="0" w:type="dxa"/>
            <w:right w:w="108" w:type="dxa"/>
          </w:tblCellMar>
        </w:tblPrEx>
        <w:trPr>
          <w:trHeight w:val="330" w:hRule="atLeast"/>
          <w:jc w:val="center"/>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240" w:firstLineChars="100"/>
              <w:jc w:val="left"/>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本级收入</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color w:val="0D0D0D" w:themeColor="text1" w:themeTint="F2"/>
                <w:kern w:val="0"/>
                <w:sz w:val="24"/>
                <w:szCs w:val="24"/>
                <w14:textFill>
                  <w14:solidFill>
                    <w14:schemeClr w14:val="tx1">
                      <w14:lumMod w14:val="95000"/>
                      <w14:lumOff w14:val="5000"/>
                    </w14:schemeClr>
                  </w14:solidFill>
                </w14:textFill>
              </w:rPr>
              <w:t>1</w:t>
            </w:r>
            <w:r>
              <w:rPr>
                <w:rFonts w:eastAsia="等线" w:cs="Times New Roman"/>
                <w:color w:val="0D0D0D" w:themeColor="text1" w:themeTint="F2"/>
                <w:kern w:val="0"/>
                <w:sz w:val="24"/>
                <w:szCs w:val="24"/>
                <w14:textFill>
                  <w14:solidFill>
                    <w14:schemeClr w14:val="tx1">
                      <w14:lumMod w14:val="95000"/>
                      <w14:lumOff w14:val="5000"/>
                    </w14:schemeClr>
                  </w14:solidFill>
                </w14:textFill>
              </w:rPr>
              <w:t>1,800</w:t>
            </w:r>
          </w:p>
        </w:tc>
        <w:tc>
          <w:tcPr>
            <w:tcW w:w="19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本级支出</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b/>
                <w:bCs/>
                <w:color w:val="0D0D0D" w:themeColor="text1" w:themeTint="F2"/>
                <w:kern w:val="0"/>
                <w:sz w:val="24"/>
                <w:szCs w:val="24"/>
                <w14:textFill>
                  <w14:solidFill>
                    <w14:schemeClr w14:val="tx1">
                      <w14:lumMod w14:val="95000"/>
                      <w14:lumOff w14:val="5000"/>
                    </w14:schemeClr>
                  </w14:solidFill>
                </w14:textFill>
              </w:rPr>
              <w:t>3</w:t>
            </w: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,510</w:t>
            </w:r>
          </w:p>
        </w:tc>
      </w:tr>
      <w:tr>
        <w:tblPrEx>
          <w:tblCellMar>
            <w:top w:w="0" w:type="dxa"/>
            <w:left w:w="108" w:type="dxa"/>
            <w:bottom w:w="0" w:type="dxa"/>
            <w:right w:w="108" w:type="dxa"/>
          </w:tblCellMar>
        </w:tblPrEx>
        <w:trPr>
          <w:trHeight w:val="330" w:hRule="atLeast"/>
          <w:jc w:val="center"/>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转移性收入</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b/>
                <w:bCs/>
                <w:color w:val="0D0D0D" w:themeColor="text1" w:themeTint="F2"/>
                <w:kern w:val="0"/>
                <w:sz w:val="24"/>
                <w:szCs w:val="24"/>
                <w14:textFill>
                  <w14:solidFill>
                    <w14:schemeClr w14:val="tx1">
                      <w14:lumMod w14:val="95000"/>
                      <w14:lumOff w14:val="5000"/>
                    </w14:schemeClr>
                  </w14:solidFill>
                </w14:textFill>
              </w:rPr>
              <w:t>3</w:t>
            </w: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8</w:t>
            </w:r>
          </w:p>
        </w:tc>
        <w:tc>
          <w:tcPr>
            <w:tcW w:w="198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转移性支出</w:t>
            </w:r>
          </w:p>
        </w:tc>
        <w:tc>
          <w:tcPr>
            <w:tcW w:w="241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b/>
                <w:bCs/>
                <w:color w:val="0D0D0D" w:themeColor="text1" w:themeTint="F2"/>
                <w:kern w:val="0"/>
                <w:sz w:val="24"/>
                <w:szCs w:val="24"/>
                <w14:textFill>
                  <w14:solidFill>
                    <w14:schemeClr w14:val="tx1">
                      <w14:lumMod w14:val="95000"/>
                      <w14:lumOff w14:val="5000"/>
                    </w14:schemeClr>
                  </w14:solidFill>
                </w14:textFill>
              </w:rPr>
              <w:t>8</w:t>
            </w: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,328</w:t>
            </w:r>
          </w:p>
        </w:tc>
      </w:tr>
      <w:tr>
        <w:tblPrEx>
          <w:tblCellMar>
            <w:top w:w="0" w:type="dxa"/>
            <w:left w:w="108" w:type="dxa"/>
            <w:bottom w:w="0" w:type="dxa"/>
            <w:right w:w="108" w:type="dxa"/>
          </w:tblCellMar>
        </w:tblPrEx>
        <w:trPr>
          <w:trHeight w:val="330" w:hRule="atLeast"/>
          <w:jc w:val="center"/>
        </w:trPr>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w:t>
            </w: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上级补助</w:t>
            </w:r>
          </w:p>
        </w:tc>
        <w:tc>
          <w:tcPr>
            <w:tcW w:w="25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调出资金</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8</w:t>
            </w:r>
            <w:r>
              <w:rPr>
                <w:rFonts w:eastAsia="宋体" w:cs="Times New Roman"/>
                <w:color w:val="0D0D0D" w:themeColor="text1" w:themeTint="F2"/>
                <w:kern w:val="0"/>
                <w:sz w:val="24"/>
                <w:szCs w:val="24"/>
                <w14:textFill>
                  <w14:solidFill>
                    <w14:schemeClr w14:val="tx1">
                      <w14:lumMod w14:val="95000"/>
                      <w14:lumOff w14:val="5000"/>
                    </w14:schemeClr>
                  </w14:solidFill>
                </w14:textFill>
              </w:rPr>
              <w:t>,300</w:t>
            </w:r>
          </w:p>
        </w:tc>
      </w:tr>
      <w:tr>
        <w:tblPrEx>
          <w:tblCellMar>
            <w:top w:w="0" w:type="dxa"/>
            <w:left w:w="108" w:type="dxa"/>
            <w:bottom w:w="0" w:type="dxa"/>
            <w:right w:w="108" w:type="dxa"/>
          </w:tblCellMar>
        </w:tblPrEx>
        <w:trPr>
          <w:trHeight w:val="330" w:hRule="atLeast"/>
          <w:jc w:val="center"/>
        </w:trPr>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上年结转</w:t>
            </w:r>
          </w:p>
        </w:tc>
        <w:tc>
          <w:tcPr>
            <w:tcW w:w="25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color w:val="0D0D0D" w:themeColor="text1" w:themeTint="F2"/>
                <w:kern w:val="0"/>
                <w:sz w:val="24"/>
                <w:szCs w:val="24"/>
                <w14:textFill>
                  <w14:solidFill>
                    <w14:schemeClr w14:val="tx1">
                      <w14:lumMod w14:val="95000"/>
                      <w14:lumOff w14:val="5000"/>
                    </w14:schemeClr>
                  </w14:solidFill>
                </w14:textFill>
              </w:rPr>
              <w:t>3</w:t>
            </w:r>
            <w:r>
              <w:rPr>
                <w:rFonts w:eastAsia="等线" w:cs="Times New Roman"/>
                <w:color w:val="0D0D0D" w:themeColor="text1" w:themeTint="F2"/>
                <w:kern w:val="0"/>
                <w:sz w:val="24"/>
                <w:szCs w:val="24"/>
                <w14:textFill>
                  <w14:solidFill>
                    <w14:schemeClr w14:val="tx1">
                      <w14:lumMod w14:val="95000"/>
                      <w14:lumOff w14:val="5000"/>
                    </w14:schemeClr>
                  </w14:solidFill>
                </w14:textFill>
              </w:rPr>
              <w:t>8</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240" w:firstLineChars="10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结转下年</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2</w:t>
            </w:r>
            <w:r>
              <w:rPr>
                <w:rFonts w:eastAsia="宋体" w:cs="Times New Roman"/>
                <w:color w:val="0D0D0D" w:themeColor="text1" w:themeTint="F2"/>
                <w:kern w:val="0"/>
                <w:sz w:val="24"/>
                <w:szCs w:val="24"/>
                <w14:textFill>
                  <w14:solidFill>
                    <w14:schemeClr w14:val="tx1">
                      <w14:lumMod w14:val="95000"/>
                      <w14:lumOff w14:val="5000"/>
                    </w14:schemeClr>
                  </w14:solidFill>
                </w14:textFill>
              </w:rPr>
              <w:t>8</w:t>
            </w:r>
          </w:p>
        </w:tc>
      </w:tr>
    </w:tbl>
    <w:p>
      <w:pPr>
        <w:pStyle w:val="3"/>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（四）其他重点报告事项</w:t>
      </w:r>
    </w:p>
    <w:p>
      <w:pPr>
        <w:ind w:firstLine="640"/>
        <w:rPr>
          <w:rFonts w:eastAsia="方正楷体_GBK" w:cs="方正楷体_GBK"/>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1</w:t>
      </w:r>
      <w:r>
        <w:rPr>
          <w:color w:val="0D0D0D" w:themeColor="text1" w:themeTint="F2"/>
          <w14:textFill>
            <w14:solidFill>
              <w14:schemeClr w14:val="tx1">
                <w14:lumMod w14:val="95000"/>
                <w14:lumOff w14:val="5000"/>
              </w14:schemeClr>
            </w14:solidFill>
          </w14:textFill>
        </w:rPr>
        <w:t>.</w:t>
      </w:r>
      <w:r>
        <w:rPr>
          <w:rFonts w:hint="eastAsia" w:eastAsia="方正楷体_GBK" w:cs="方正楷体_GBK"/>
          <w:color w:val="0D0D0D" w:themeColor="text1" w:themeTint="F2"/>
          <w14:textFill>
            <w14:solidFill>
              <w14:schemeClr w14:val="tx1">
                <w14:lumMod w14:val="95000"/>
                <w14:lumOff w14:val="5000"/>
              </w14:schemeClr>
            </w14:solidFill>
          </w14:textFill>
        </w:rPr>
        <w:t>“</w:t>
      </w:r>
      <w:r>
        <w:rPr>
          <w:rFonts w:hint="eastAsia" w:hAnsi="方正楷体_GBK" w:eastAsia="方正楷体_GBK" w:cs="方正楷体_GBK"/>
          <w:color w:val="0D0D0D" w:themeColor="text1" w:themeTint="F2"/>
          <w14:textFill>
            <w14:solidFill>
              <w14:schemeClr w14:val="tx1">
                <w14:lumMod w14:val="95000"/>
                <w14:lumOff w14:val="5000"/>
              </w14:schemeClr>
            </w14:solidFill>
          </w14:textFill>
        </w:rPr>
        <w:t>三公</w:t>
      </w:r>
      <w:r>
        <w:rPr>
          <w:rFonts w:hint="eastAsia" w:eastAsia="方正楷体_GBK" w:cs="方正楷体_GBK"/>
          <w:color w:val="0D0D0D" w:themeColor="text1" w:themeTint="F2"/>
          <w14:textFill>
            <w14:solidFill>
              <w14:schemeClr w14:val="tx1">
                <w14:lumMod w14:val="95000"/>
                <w14:lumOff w14:val="5000"/>
              </w14:schemeClr>
            </w14:solidFill>
          </w14:textFill>
        </w:rPr>
        <w:t>”</w:t>
      </w:r>
      <w:r>
        <w:rPr>
          <w:rFonts w:hint="eastAsia" w:hAnsi="方正楷体_GBK" w:eastAsia="方正楷体_GBK" w:cs="方正楷体_GBK"/>
          <w:color w:val="0D0D0D" w:themeColor="text1" w:themeTint="F2"/>
          <w14:textFill>
            <w14:solidFill>
              <w14:schemeClr w14:val="tx1">
                <w14:lumMod w14:val="95000"/>
                <w14:lumOff w14:val="5000"/>
              </w14:schemeClr>
            </w14:solidFill>
          </w14:textFill>
        </w:rPr>
        <w:t>经费执行情况</w:t>
      </w:r>
      <w:r>
        <w:rPr>
          <w:rFonts w:hint="eastAsia"/>
          <w:color w:val="0D0D0D" w:themeColor="text1" w:themeTint="F2"/>
          <w14:textFill>
            <w14:solidFill>
              <w14:schemeClr w14:val="tx1">
                <w14:lumMod w14:val="95000"/>
                <w14:lumOff w14:val="5000"/>
              </w14:schemeClr>
            </w14:solidFill>
          </w14:textFill>
        </w:rPr>
        <w:t>：2</w:t>
      </w:r>
      <w:r>
        <w:rPr>
          <w:color w:val="0D0D0D" w:themeColor="text1" w:themeTint="F2"/>
          <w14:textFill>
            <w14:solidFill>
              <w14:schemeClr w14:val="tx1">
                <w14:lumMod w14:val="95000"/>
                <w14:lumOff w14:val="5000"/>
              </w14:schemeClr>
            </w14:solidFill>
          </w14:textFill>
        </w:rPr>
        <w:t>022</w:t>
      </w:r>
      <w:r>
        <w:rPr>
          <w:rFonts w:hint="eastAsia"/>
          <w:color w:val="0D0D0D" w:themeColor="text1" w:themeTint="F2"/>
          <w14:textFill>
            <w14:solidFill>
              <w14:schemeClr w14:val="tx1">
                <w14:lumMod w14:val="95000"/>
                <w14:lumOff w14:val="5000"/>
              </w14:schemeClr>
            </w14:solidFill>
          </w14:textFill>
        </w:rPr>
        <w:t>年重庆高新区“三公”经费支出数为</w:t>
      </w:r>
      <w:r>
        <w:rPr>
          <w:color w:val="0D0D0D" w:themeColor="text1" w:themeTint="F2"/>
          <w14:textFill>
            <w14:solidFill>
              <w14:schemeClr w14:val="tx1">
                <w14:lumMod w14:val="95000"/>
                <w14:lumOff w14:val="5000"/>
              </w14:schemeClr>
            </w14:solidFill>
          </w14:textFill>
        </w:rPr>
        <w:t>1</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066</w:t>
      </w:r>
      <w:r>
        <w:rPr>
          <w:rFonts w:hint="eastAsia"/>
          <w:color w:val="0D0D0D" w:themeColor="text1" w:themeTint="F2"/>
          <w14:textFill>
            <w14:solidFill>
              <w14:schemeClr w14:val="tx1">
                <w14:lumMod w14:val="95000"/>
                <w14:lumOff w14:val="5000"/>
              </w14:schemeClr>
            </w14:solidFill>
          </w14:textFill>
        </w:rPr>
        <w:t>万元，较上年下降1</w:t>
      </w:r>
      <w:r>
        <w:rPr>
          <w:color w:val="0D0D0D" w:themeColor="text1" w:themeTint="F2"/>
          <w14:textFill>
            <w14:solidFill>
              <w14:schemeClr w14:val="tx1">
                <w14:lumMod w14:val="95000"/>
                <w14:lumOff w14:val="5000"/>
              </w14:schemeClr>
            </w14:solidFill>
          </w14:textFill>
        </w:rPr>
        <w:t>2</w:t>
      </w:r>
      <w:r>
        <w:rPr>
          <w:rFonts w:hint="eastAsia"/>
          <w:color w:val="0D0D0D" w:themeColor="text1" w:themeTint="F2"/>
          <w14:textFill>
            <w14:solidFill>
              <w14:schemeClr w14:val="tx1">
                <w14:lumMod w14:val="95000"/>
                <w14:lumOff w14:val="5000"/>
              </w14:schemeClr>
            </w14:solidFill>
          </w14:textFill>
        </w:rPr>
        <w:t>%。其中：公务用车运行维护费</w:t>
      </w:r>
      <w:r>
        <w:rPr>
          <w:color w:val="0D0D0D" w:themeColor="text1" w:themeTint="F2"/>
          <w14:textFill>
            <w14:solidFill>
              <w14:schemeClr w14:val="tx1">
                <w14:lumMod w14:val="95000"/>
                <w14:lumOff w14:val="5000"/>
              </w14:schemeClr>
            </w14:solidFill>
          </w14:textFill>
        </w:rPr>
        <w:t>734</w:t>
      </w:r>
      <w:r>
        <w:rPr>
          <w:rFonts w:hint="eastAsia"/>
          <w:color w:val="0D0D0D" w:themeColor="text1" w:themeTint="F2"/>
          <w14:textFill>
            <w14:solidFill>
              <w14:schemeClr w14:val="tx1">
                <w14:lumMod w14:val="95000"/>
                <w14:lumOff w14:val="5000"/>
              </w14:schemeClr>
            </w14:solidFill>
          </w14:textFill>
        </w:rPr>
        <w:t>万元，较上年增长1</w:t>
      </w:r>
      <w:r>
        <w:rPr>
          <w:color w:val="0D0D0D" w:themeColor="text1" w:themeTint="F2"/>
          <w14:textFill>
            <w14:solidFill>
              <w14:schemeClr w14:val="tx1">
                <w14:lumMod w14:val="95000"/>
                <w14:lumOff w14:val="5000"/>
              </w14:schemeClr>
            </w14:solidFill>
          </w14:textFill>
        </w:rPr>
        <w:t>2.7</w:t>
      </w:r>
      <w:r>
        <w:rPr>
          <w:rFonts w:hint="eastAsia"/>
          <w:color w:val="0D0D0D" w:themeColor="text1" w:themeTint="F2"/>
          <w14:textFill>
            <w14:solidFill>
              <w14:schemeClr w14:val="tx1">
                <w14:lumMod w14:val="95000"/>
                <w14:lumOff w14:val="5000"/>
              </w14:schemeClr>
            </w14:solidFill>
          </w14:textFill>
        </w:rPr>
        <w:t>%，主要因新增部门及新增加车辆编制，相应运行经费增加；公务用车购置费</w:t>
      </w:r>
      <w:r>
        <w:rPr>
          <w:color w:val="0D0D0D" w:themeColor="text1" w:themeTint="F2"/>
          <w14:textFill>
            <w14:solidFill>
              <w14:schemeClr w14:val="tx1">
                <w14:lumMod w14:val="95000"/>
                <w14:lumOff w14:val="5000"/>
              </w14:schemeClr>
            </w14:solidFill>
          </w14:textFill>
        </w:rPr>
        <w:t>284</w:t>
      </w:r>
      <w:r>
        <w:rPr>
          <w:rFonts w:hint="eastAsia"/>
          <w:color w:val="0D0D0D" w:themeColor="text1" w:themeTint="F2"/>
          <w14:textFill>
            <w14:solidFill>
              <w14:schemeClr w14:val="tx1">
                <w14:lumMod w14:val="95000"/>
                <w14:lumOff w14:val="5000"/>
              </w14:schemeClr>
            </w14:solidFill>
          </w14:textFill>
        </w:rPr>
        <w:t>万元，较上年下降4</w:t>
      </w:r>
      <w:r>
        <w:rPr>
          <w:color w:val="0D0D0D" w:themeColor="text1" w:themeTint="F2"/>
          <w14:textFill>
            <w14:solidFill>
              <w14:schemeClr w14:val="tx1">
                <w14:lumMod w14:val="95000"/>
                <w14:lumOff w14:val="5000"/>
              </w14:schemeClr>
            </w14:solidFill>
          </w14:textFill>
        </w:rPr>
        <w:t>4</w:t>
      </w:r>
      <w:r>
        <w:rPr>
          <w:rFonts w:hint="eastAsia"/>
          <w:color w:val="0D0D0D" w:themeColor="text1" w:themeTint="F2"/>
          <w14:textFill>
            <w14:solidFill>
              <w14:schemeClr w14:val="tx1">
                <w14:lumMod w14:val="95000"/>
                <w14:lumOff w14:val="5000"/>
              </w14:schemeClr>
            </w14:solidFill>
          </w14:textFill>
        </w:rPr>
        <w:t>%；公务接待费</w:t>
      </w:r>
      <w:r>
        <w:rPr>
          <w:color w:val="0D0D0D" w:themeColor="text1" w:themeTint="F2"/>
          <w14:textFill>
            <w14:solidFill>
              <w14:schemeClr w14:val="tx1">
                <w14:lumMod w14:val="95000"/>
                <w14:lumOff w14:val="5000"/>
              </w14:schemeClr>
            </w14:solidFill>
          </w14:textFill>
        </w:rPr>
        <w:t>48</w:t>
      </w:r>
      <w:r>
        <w:rPr>
          <w:rFonts w:hint="eastAsia"/>
          <w:color w:val="0D0D0D" w:themeColor="text1" w:themeTint="F2"/>
          <w14:textFill>
            <w14:solidFill>
              <w14:schemeClr w14:val="tx1">
                <w14:lumMod w14:val="95000"/>
                <w14:lumOff w14:val="5000"/>
              </w14:schemeClr>
            </w14:solidFill>
          </w14:textFill>
        </w:rPr>
        <w:t>万元，较上年下降2%。</w:t>
      </w:r>
    </w:p>
    <w:p>
      <w:pPr>
        <w:ind w:firstLine="640"/>
        <w:rPr>
          <w:color w:val="0D0D0D" w:themeColor="text1" w:themeTint="F2"/>
          <w14:textFill>
            <w14:solidFill>
              <w14:schemeClr w14:val="tx1">
                <w14:lumMod w14:val="95000"/>
                <w14:lumOff w14:val="5000"/>
              </w14:schemeClr>
            </w14:solidFill>
          </w14:textFill>
        </w:rPr>
      </w:pPr>
      <w:r>
        <w:rPr>
          <w:rFonts w:hint="eastAsia" w:eastAsia="方正楷体_GBK" w:cs="方正楷体_GBK"/>
          <w:color w:val="0D0D0D" w:themeColor="text1" w:themeTint="F2"/>
          <w14:textFill>
            <w14:solidFill>
              <w14:schemeClr w14:val="tx1">
                <w14:lumMod w14:val="95000"/>
                <w14:lumOff w14:val="5000"/>
              </w14:schemeClr>
            </w14:solidFill>
          </w14:textFill>
        </w:rPr>
        <w:t>2.</w:t>
      </w:r>
      <w:r>
        <w:rPr>
          <w:rFonts w:hint="eastAsia" w:hAnsi="方正楷体_GBK" w:eastAsia="方正楷体_GBK" w:cs="方正楷体_GBK"/>
          <w:color w:val="0D0D0D" w:themeColor="text1" w:themeTint="F2"/>
          <w14:textFill>
            <w14:solidFill>
              <w14:schemeClr w14:val="tx1">
                <w14:lumMod w14:val="95000"/>
                <w14:lumOff w14:val="5000"/>
              </w14:schemeClr>
            </w14:solidFill>
          </w14:textFill>
        </w:rPr>
        <w:t>政府债务情况</w:t>
      </w:r>
      <w:r>
        <w:rPr>
          <w:rFonts w:hint="eastAsia" w:hAnsi="方正楷体_GBK" w:eastAsia="方正楷体_GBK" w:cs="方正楷体_GBK"/>
          <w:b/>
          <w:bCs/>
          <w:color w:val="0D0D0D" w:themeColor="text1" w:themeTint="F2"/>
          <w14:textFill>
            <w14:solidFill>
              <w14:schemeClr w14:val="tx1">
                <w14:lumMod w14:val="95000"/>
                <w14:lumOff w14:val="5000"/>
              </w14:schemeClr>
            </w14:solidFill>
          </w14:textFill>
        </w:rPr>
        <w:t>：</w:t>
      </w:r>
      <w:r>
        <w:rPr>
          <w:rFonts w:hint="eastAsia"/>
          <w:color w:val="0D0D0D" w:themeColor="text1" w:themeTint="F2"/>
          <w14:textFill>
            <w14:solidFill>
              <w14:schemeClr w14:val="tx1">
                <w14:lumMod w14:val="95000"/>
                <w14:lumOff w14:val="5000"/>
              </w14:schemeClr>
            </w14:solidFill>
          </w14:textFill>
        </w:rPr>
        <w:t>2</w:t>
      </w:r>
      <w:r>
        <w:rPr>
          <w:color w:val="0D0D0D" w:themeColor="text1" w:themeTint="F2"/>
          <w14:textFill>
            <w14:solidFill>
              <w14:schemeClr w14:val="tx1">
                <w14:lumMod w14:val="95000"/>
                <w14:lumOff w14:val="5000"/>
              </w14:schemeClr>
            </w14:solidFill>
          </w14:textFill>
        </w:rPr>
        <w:t>022</w:t>
      </w:r>
      <w:r>
        <w:rPr>
          <w:rFonts w:hint="eastAsia"/>
          <w:color w:val="0D0D0D" w:themeColor="text1" w:themeTint="F2"/>
          <w14:textFill>
            <w14:solidFill>
              <w14:schemeClr w14:val="tx1">
                <w14:lumMod w14:val="95000"/>
                <w14:lumOff w14:val="5000"/>
              </w14:schemeClr>
            </w14:solidFill>
          </w14:textFill>
        </w:rPr>
        <w:t>年市财政下达新增政府债券</w:t>
      </w:r>
      <w:r>
        <w:rPr>
          <w:color w:val="0D0D0D" w:themeColor="text1" w:themeTint="F2"/>
          <w14:textFill>
            <w14:solidFill>
              <w14:schemeClr w14:val="tx1">
                <w14:lumMod w14:val="95000"/>
                <w14:lumOff w14:val="5000"/>
              </w14:schemeClr>
            </w14:solidFill>
          </w14:textFill>
        </w:rPr>
        <w:t>143.8</w:t>
      </w:r>
      <w:r>
        <w:rPr>
          <w:rFonts w:hint="eastAsia"/>
          <w:color w:val="0D0D0D" w:themeColor="text1" w:themeTint="F2"/>
          <w14:textFill>
            <w14:solidFill>
              <w14:schemeClr w14:val="tx1">
                <w14:lumMod w14:val="95000"/>
                <w14:lumOff w14:val="5000"/>
              </w14:schemeClr>
            </w14:solidFill>
          </w14:textFill>
        </w:rPr>
        <w:t>亿元，其中：一般债券</w:t>
      </w:r>
      <w:r>
        <w:rPr>
          <w:color w:val="0D0D0D" w:themeColor="text1" w:themeTint="F2"/>
          <w14:textFill>
            <w14:solidFill>
              <w14:schemeClr w14:val="tx1">
                <w14:lumMod w14:val="95000"/>
                <w14:lumOff w14:val="5000"/>
              </w14:schemeClr>
            </w14:solidFill>
          </w14:textFill>
        </w:rPr>
        <w:t>5.1</w:t>
      </w:r>
      <w:r>
        <w:rPr>
          <w:rFonts w:hint="eastAsia"/>
          <w:color w:val="0D0D0D" w:themeColor="text1" w:themeTint="F2"/>
          <w14:textFill>
            <w14:solidFill>
              <w14:schemeClr w14:val="tx1">
                <w14:lumMod w14:val="95000"/>
                <w14:lumOff w14:val="5000"/>
              </w14:schemeClr>
            </w14:solidFill>
          </w14:textFill>
        </w:rPr>
        <w:t>亿元、专项债券</w:t>
      </w:r>
      <w:r>
        <w:rPr>
          <w:color w:val="0D0D0D" w:themeColor="text1" w:themeTint="F2"/>
          <w14:textFill>
            <w14:solidFill>
              <w14:schemeClr w14:val="tx1">
                <w14:lumMod w14:val="95000"/>
                <w14:lumOff w14:val="5000"/>
              </w14:schemeClr>
            </w14:solidFill>
          </w14:textFill>
        </w:rPr>
        <w:t>138.7</w:t>
      </w:r>
      <w:r>
        <w:rPr>
          <w:rFonts w:hint="eastAsia"/>
          <w:color w:val="0D0D0D" w:themeColor="text1" w:themeTint="F2"/>
          <w14:textFill>
            <w14:solidFill>
              <w14:schemeClr w14:val="tx1">
                <w14:lumMod w14:val="95000"/>
                <w14:lumOff w14:val="5000"/>
              </w14:schemeClr>
            </w14:solidFill>
          </w14:textFill>
        </w:rPr>
        <w:t>亿元。至2</w:t>
      </w:r>
      <w:r>
        <w:rPr>
          <w:color w:val="0D0D0D" w:themeColor="text1" w:themeTint="F2"/>
          <w14:textFill>
            <w14:solidFill>
              <w14:schemeClr w14:val="tx1">
                <w14:lumMod w14:val="95000"/>
                <w14:lumOff w14:val="5000"/>
              </w14:schemeClr>
            </w14:solidFill>
          </w14:textFill>
        </w:rPr>
        <w:t>022</w:t>
      </w:r>
      <w:r>
        <w:rPr>
          <w:rFonts w:hint="eastAsia"/>
          <w:color w:val="0D0D0D" w:themeColor="text1" w:themeTint="F2"/>
          <w14:textFill>
            <w14:solidFill>
              <w14:schemeClr w14:val="tx1">
                <w14:lumMod w14:val="95000"/>
                <w14:lumOff w14:val="5000"/>
              </w14:schemeClr>
            </w14:solidFill>
          </w14:textFill>
        </w:rPr>
        <w:t>年底，重庆高新区政府债务余额3</w:t>
      </w:r>
      <w:r>
        <w:rPr>
          <w:color w:val="0D0D0D" w:themeColor="text1" w:themeTint="F2"/>
          <w14:textFill>
            <w14:solidFill>
              <w14:schemeClr w14:val="tx1">
                <w14:lumMod w14:val="95000"/>
                <w14:lumOff w14:val="5000"/>
              </w14:schemeClr>
            </w14:solidFill>
          </w14:textFill>
        </w:rPr>
        <w:t>66</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9</w:t>
      </w:r>
      <w:r>
        <w:rPr>
          <w:rFonts w:hint="eastAsia"/>
          <w:color w:val="0D0D0D" w:themeColor="text1" w:themeTint="F2"/>
          <w14:textFill>
            <w14:solidFill>
              <w14:schemeClr w14:val="tx1">
                <w14:lumMod w14:val="95000"/>
                <w14:lumOff w14:val="5000"/>
              </w14:schemeClr>
            </w14:solidFill>
          </w14:textFill>
        </w:rPr>
        <w:t>亿元，其中：一般债务余额5</w:t>
      </w:r>
      <w:r>
        <w:rPr>
          <w:color w:val="0D0D0D" w:themeColor="text1" w:themeTint="F2"/>
          <w14:textFill>
            <w14:solidFill>
              <w14:schemeClr w14:val="tx1">
                <w14:lumMod w14:val="95000"/>
                <w14:lumOff w14:val="5000"/>
              </w14:schemeClr>
            </w14:solidFill>
          </w14:textFill>
        </w:rPr>
        <w:t>5</w:t>
      </w:r>
      <w:r>
        <w:rPr>
          <w:rFonts w:hint="eastAsia"/>
          <w:color w:val="0D0D0D" w:themeColor="text1" w:themeTint="F2"/>
          <w14:textFill>
            <w14:solidFill>
              <w14:schemeClr w14:val="tx1">
                <w14:lumMod w14:val="95000"/>
                <w14:lumOff w14:val="5000"/>
              </w14:schemeClr>
            </w14:solidFill>
          </w14:textFill>
        </w:rPr>
        <w:t>亿元、专项债务余额311.</w:t>
      </w:r>
      <w:r>
        <w:rPr>
          <w:color w:val="0D0D0D" w:themeColor="text1" w:themeTint="F2"/>
          <w14:textFill>
            <w14:solidFill>
              <w14:schemeClr w14:val="tx1">
                <w14:lumMod w14:val="95000"/>
                <w14:lumOff w14:val="5000"/>
              </w14:schemeClr>
            </w14:solidFill>
          </w14:textFill>
        </w:rPr>
        <w:t>9</w:t>
      </w:r>
      <w:r>
        <w:rPr>
          <w:rFonts w:hint="eastAsia"/>
          <w:color w:val="0D0D0D" w:themeColor="text1" w:themeTint="F2"/>
          <w14:textFill>
            <w14:solidFill>
              <w14:schemeClr w14:val="tx1">
                <w14:lumMod w14:val="95000"/>
                <w14:lumOff w14:val="5000"/>
              </w14:schemeClr>
            </w14:solidFill>
          </w14:textFill>
        </w:rPr>
        <w:t>亿元。</w:t>
      </w:r>
    </w:p>
    <w:p>
      <w:pPr>
        <w:ind w:firstLine="640"/>
        <w:rPr>
          <w:color w:val="0D0D0D" w:themeColor="text1" w:themeTint="F2"/>
          <w14:textFill>
            <w14:solidFill>
              <w14:schemeClr w14:val="tx1">
                <w14:lumMod w14:val="95000"/>
                <w14:lumOff w14:val="5000"/>
              </w14:schemeClr>
            </w14:solidFill>
          </w14:textFill>
        </w:rPr>
      </w:pPr>
      <w:r>
        <w:rPr>
          <w:rFonts w:hint="eastAsia" w:eastAsia="方正楷体_GBK" w:cs="方正楷体_GBK"/>
          <w:color w:val="0D0D0D" w:themeColor="text1" w:themeTint="F2"/>
          <w14:textFill>
            <w14:solidFill>
              <w14:schemeClr w14:val="tx1">
                <w14:lumMod w14:val="95000"/>
                <w14:lumOff w14:val="5000"/>
              </w14:schemeClr>
            </w14:solidFill>
          </w14:textFill>
        </w:rPr>
        <w:t>3.</w:t>
      </w:r>
      <w:r>
        <w:rPr>
          <w:rFonts w:hint="eastAsia" w:hAnsi="方正楷体_GBK" w:eastAsia="方正楷体_GBK" w:cs="方正楷体_GBK"/>
          <w:color w:val="0D0D0D" w:themeColor="text1" w:themeTint="F2"/>
          <w14:textFill>
            <w14:solidFill>
              <w14:schemeClr w14:val="tx1">
                <w14:lumMod w14:val="95000"/>
                <w14:lumOff w14:val="5000"/>
              </w14:schemeClr>
            </w14:solidFill>
          </w14:textFill>
        </w:rPr>
        <w:t>国资国企情况</w:t>
      </w:r>
      <w:r>
        <w:rPr>
          <w:rFonts w:hint="eastAsia"/>
          <w:color w:val="0D0D0D" w:themeColor="text1" w:themeTint="F2"/>
          <w14:textFill>
            <w14:solidFill>
              <w14:schemeClr w14:val="tx1">
                <w14:lumMod w14:val="95000"/>
                <w14:lumOff w14:val="5000"/>
              </w14:schemeClr>
            </w14:solidFill>
          </w14:textFill>
        </w:rPr>
        <w:t>：体制调整至今，重庆高新区加快优化国资布局和国企改革，完成了“2+1”的国有资本布局，即2家市政府委托重庆高新区管理的市属国有重点企业和1家区属国有重点企业。</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4</w:t>
      </w:r>
      <w:r>
        <w:rPr>
          <w:color w:val="0D0D0D" w:themeColor="text1" w:themeTint="F2"/>
          <w14:textFill>
            <w14:solidFill>
              <w14:schemeClr w14:val="tx1">
                <w14:lumMod w14:val="95000"/>
                <w14:lumOff w14:val="5000"/>
              </w14:schemeClr>
            </w14:solidFill>
          </w14:textFill>
        </w:rPr>
        <w:t>.</w:t>
      </w:r>
      <w:r>
        <w:rPr>
          <w:rFonts w:hint="eastAsia" w:hAnsi="方正楷体_GBK" w:eastAsia="方正楷体_GBK" w:cs="方正楷体_GBK"/>
          <w:color w:val="0D0D0D" w:themeColor="text1" w:themeTint="F2"/>
          <w14:textFill>
            <w14:solidFill>
              <w14:schemeClr w14:val="tx1">
                <w14:lumMod w14:val="95000"/>
                <w14:lumOff w14:val="5000"/>
              </w14:schemeClr>
            </w14:solidFill>
          </w14:textFill>
        </w:rPr>
        <w:t>重点项目绩效评价情况</w:t>
      </w:r>
      <w:r>
        <w:rPr>
          <w:rFonts w:hint="eastAsia"/>
          <w:color w:val="0D0D0D" w:themeColor="text1" w:themeTint="F2"/>
          <w14:textFill>
            <w14:solidFill>
              <w14:schemeClr w14:val="tx1">
                <w14:lumMod w14:val="95000"/>
                <w14:lumOff w14:val="5000"/>
              </w14:schemeClr>
            </w14:solidFill>
          </w14:textFill>
        </w:rPr>
        <w:t>：2022年，重庆高新区着力提升预算绩效管理水平，一是建立健全制度办法，持续完善“1个实施意见+1个行动方案+N个配套措施”制度框架，印发《重庆高新区预算安排与监督检查和绩效评价结果挂钩办法（试行）》，补充完善结果应用环节规章制度，基本实现重点环节有章可循、有据可依。二是牢固树立绩效理念，邀请专家开展专题培训，提升绩效意识。牵头组织开展2021年绩效自评，做到绩效自评全覆盖。另聘请中介机构对西部（重庆）科学城医疗卫生一期建设项目、老旧校舍维修幼儿园装修等专项经费、补助大气VOCs深度治理项目三个重点项目，以及两个部门镇街的整体绩效开展重点评价，真正树立“花钱必问效、无效必问责”理念。三是千方百计提升业务本领，邀请绩效领域学者及三方机构专家开展线下专题培训，提升本单位相关人员业务水平。</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5</w:t>
      </w:r>
      <w:r>
        <w:rPr>
          <w:color w:val="0D0D0D" w:themeColor="text1" w:themeTint="F2"/>
          <w14:textFill>
            <w14:solidFill>
              <w14:schemeClr w14:val="tx1">
                <w14:lumMod w14:val="95000"/>
                <w14:lumOff w14:val="5000"/>
              </w14:schemeClr>
            </w14:solidFill>
          </w14:textFill>
        </w:rPr>
        <w:t>.</w:t>
      </w:r>
      <w:r>
        <w:rPr>
          <w:rFonts w:hint="eastAsia" w:hAnsi="方正楷体_GBK" w:eastAsia="方正楷体_GBK" w:cs="方正楷体_GBK"/>
          <w:color w:val="0D0D0D" w:themeColor="text1" w:themeTint="F2"/>
          <w14:textFill>
            <w14:solidFill>
              <w14:schemeClr w14:val="tx1">
                <w14:lumMod w14:val="95000"/>
                <w14:lumOff w14:val="5000"/>
              </w14:schemeClr>
            </w14:solidFill>
          </w14:textFill>
        </w:rPr>
        <w:t>预算稳定调节基金、预备费、结转结余资金使用情况</w:t>
      </w:r>
      <w:r>
        <w:rPr>
          <w:rFonts w:hint="eastAsia"/>
          <w:color w:val="0D0D0D" w:themeColor="text1" w:themeTint="F2"/>
          <w14:textFill>
            <w14:solidFill>
              <w14:schemeClr w14:val="tx1">
                <w14:lumMod w14:val="95000"/>
                <w14:lumOff w14:val="5000"/>
              </w14:schemeClr>
            </w14:solidFill>
          </w14:textFill>
        </w:rPr>
        <w:t>：202</w:t>
      </w:r>
      <w:r>
        <w:rPr>
          <w:color w:val="0D0D0D" w:themeColor="text1" w:themeTint="F2"/>
          <w14:textFill>
            <w14:solidFill>
              <w14:schemeClr w14:val="tx1">
                <w14:lumMod w14:val="95000"/>
                <w14:lumOff w14:val="5000"/>
              </w14:schemeClr>
            </w14:solidFill>
          </w14:textFill>
        </w:rPr>
        <w:t>2</w:t>
      </w:r>
      <w:r>
        <w:rPr>
          <w:rFonts w:hint="eastAsia"/>
          <w:color w:val="0D0D0D" w:themeColor="text1" w:themeTint="F2"/>
          <w14:textFill>
            <w14:solidFill>
              <w14:schemeClr w14:val="tx1">
                <w14:lumMod w14:val="95000"/>
                <w14:lumOff w14:val="5000"/>
              </w14:schemeClr>
            </w14:solidFill>
          </w14:textFill>
        </w:rPr>
        <w:t>年年初预算稳定调节基金余额</w:t>
      </w:r>
      <w:r>
        <w:rPr>
          <w:color w:val="0D0D0D" w:themeColor="text1" w:themeTint="F2"/>
          <w14:textFill>
            <w14:solidFill>
              <w14:schemeClr w14:val="tx1">
                <w14:lumMod w14:val="95000"/>
                <w14:lumOff w14:val="5000"/>
              </w14:schemeClr>
            </w14:solidFill>
          </w14:textFill>
        </w:rPr>
        <w:t>0.3</w:t>
      </w:r>
      <w:r>
        <w:rPr>
          <w:rFonts w:hint="eastAsia"/>
          <w:color w:val="0D0D0D" w:themeColor="text1" w:themeTint="F2"/>
          <w14:textFill>
            <w14:solidFill>
              <w14:schemeClr w14:val="tx1">
                <w14:lumMod w14:val="95000"/>
                <w14:lumOff w14:val="5000"/>
              </w14:schemeClr>
            </w14:solidFill>
          </w14:textFill>
        </w:rPr>
        <w:t>亿元，年初预算未动用。年末超收收入</w:t>
      </w:r>
      <w:r>
        <w:rPr>
          <w:color w:val="0D0D0D" w:themeColor="text1" w:themeTint="F2"/>
          <w14:textFill>
            <w14:solidFill>
              <w14:schemeClr w14:val="tx1">
                <w14:lumMod w14:val="95000"/>
                <w14:lumOff w14:val="5000"/>
              </w14:schemeClr>
            </w14:solidFill>
          </w14:textFill>
        </w:rPr>
        <w:t>1.8</w:t>
      </w:r>
      <w:r>
        <w:rPr>
          <w:rFonts w:hint="eastAsia"/>
          <w:color w:val="0D0D0D" w:themeColor="text1" w:themeTint="F2"/>
          <w14:textFill>
            <w14:solidFill>
              <w14:schemeClr w14:val="tx1">
                <w14:lumMod w14:val="95000"/>
                <w14:lumOff w14:val="5000"/>
              </w14:schemeClr>
            </w14:solidFill>
          </w14:textFill>
        </w:rPr>
        <w:t>亿元和收回部分年初预算结余</w:t>
      </w:r>
      <w:r>
        <w:rPr>
          <w:color w:val="0D0D0D" w:themeColor="text1" w:themeTint="F2"/>
          <w14:textFill>
            <w14:solidFill>
              <w14:schemeClr w14:val="tx1">
                <w14:lumMod w14:val="95000"/>
                <w14:lumOff w14:val="5000"/>
              </w14:schemeClr>
            </w14:solidFill>
          </w14:textFill>
        </w:rPr>
        <w:t>3</w:t>
      </w:r>
      <w:r>
        <w:rPr>
          <w:rFonts w:hint="eastAsia"/>
          <w:color w:val="0D0D0D" w:themeColor="text1" w:themeTint="F2"/>
          <w14:textFill>
            <w14:solidFill>
              <w14:schemeClr w14:val="tx1">
                <w14:lumMod w14:val="95000"/>
                <w14:lumOff w14:val="5000"/>
              </w14:schemeClr>
            </w14:solidFill>
          </w14:textFill>
        </w:rPr>
        <w:t>亿元用于补充预算稳定调节基金。2</w:t>
      </w:r>
      <w:r>
        <w:rPr>
          <w:color w:val="0D0D0D" w:themeColor="text1" w:themeTint="F2"/>
          <w14:textFill>
            <w14:solidFill>
              <w14:schemeClr w14:val="tx1">
                <w14:lumMod w14:val="95000"/>
                <w14:lumOff w14:val="5000"/>
              </w14:schemeClr>
            </w14:solidFill>
          </w14:textFill>
        </w:rPr>
        <w:t>022</w:t>
      </w:r>
      <w:r>
        <w:rPr>
          <w:rFonts w:hint="eastAsia"/>
          <w:color w:val="0D0D0D" w:themeColor="text1" w:themeTint="F2"/>
          <w14:textFill>
            <w14:solidFill>
              <w14:schemeClr w14:val="tx1">
                <w14:lumMod w14:val="95000"/>
                <w14:lumOff w14:val="5000"/>
              </w14:schemeClr>
            </w14:solidFill>
          </w14:textFill>
        </w:rPr>
        <w:t>年年末，预算稳定调节基金余额为5</w:t>
      </w:r>
      <w:r>
        <w:rPr>
          <w:color w:val="0D0D0D" w:themeColor="text1" w:themeTint="F2"/>
          <w14:textFill>
            <w14:solidFill>
              <w14:schemeClr w14:val="tx1">
                <w14:lumMod w14:val="95000"/>
                <w14:lumOff w14:val="5000"/>
              </w14:schemeClr>
            </w14:solidFill>
          </w14:textFill>
        </w:rPr>
        <w:t>.1</w:t>
      </w:r>
      <w:r>
        <w:rPr>
          <w:rFonts w:hint="eastAsia"/>
          <w:color w:val="0D0D0D" w:themeColor="text1" w:themeTint="F2"/>
          <w14:textFill>
            <w14:solidFill>
              <w14:schemeClr w14:val="tx1">
                <w14:lumMod w14:val="95000"/>
                <w14:lumOff w14:val="5000"/>
              </w14:schemeClr>
            </w14:solidFill>
          </w14:textFill>
        </w:rPr>
        <w:t>亿元。</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202</w:t>
      </w:r>
      <w:r>
        <w:rPr>
          <w:color w:val="0D0D0D" w:themeColor="text1" w:themeTint="F2"/>
          <w14:textFill>
            <w14:solidFill>
              <w14:schemeClr w14:val="tx1">
                <w14:lumMod w14:val="95000"/>
                <w14:lumOff w14:val="5000"/>
              </w14:schemeClr>
            </w14:solidFill>
          </w14:textFill>
        </w:rPr>
        <w:t>2</w:t>
      </w:r>
      <w:r>
        <w:rPr>
          <w:rFonts w:hint="eastAsia"/>
          <w:color w:val="0D0D0D" w:themeColor="text1" w:themeTint="F2"/>
          <w14:textFill>
            <w14:solidFill>
              <w14:schemeClr w14:val="tx1">
                <w14:lumMod w14:val="95000"/>
                <w14:lumOff w14:val="5000"/>
              </w14:schemeClr>
            </w14:solidFill>
          </w14:textFill>
        </w:rPr>
        <w:t>年一般公共预算形成的结余资金</w:t>
      </w:r>
      <w:r>
        <w:rPr>
          <w:color w:val="0D0D0D" w:themeColor="text1" w:themeTint="F2"/>
          <w14:textFill>
            <w14:solidFill>
              <w14:schemeClr w14:val="tx1">
                <w14:lumMod w14:val="95000"/>
                <w14:lumOff w14:val="5000"/>
              </w14:schemeClr>
            </w14:solidFill>
          </w14:textFill>
        </w:rPr>
        <w:t>4</w:t>
      </w:r>
      <w:r>
        <w:rPr>
          <w:rFonts w:hint="eastAsia"/>
          <w:color w:val="0D0D0D" w:themeColor="text1" w:themeTint="F2"/>
          <w14:textFill>
            <w14:solidFill>
              <w14:schemeClr w14:val="tx1">
                <w14:lumMod w14:val="95000"/>
                <w14:lumOff w14:val="5000"/>
              </w14:schemeClr>
            </w14:solidFill>
          </w14:textFill>
        </w:rPr>
        <w:t>亿元按照规定用途全额结转至202</w:t>
      </w:r>
      <w:r>
        <w:rPr>
          <w:color w:val="0D0D0D" w:themeColor="text1" w:themeTint="F2"/>
          <w14:textFill>
            <w14:solidFill>
              <w14:schemeClr w14:val="tx1">
                <w14:lumMod w14:val="95000"/>
                <w14:lumOff w14:val="5000"/>
              </w14:schemeClr>
            </w14:solidFill>
          </w14:textFill>
        </w:rPr>
        <w:t>3</w:t>
      </w:r>
      <w:r>
        <w:rPr>
          <w:rFonts w:hint="eastAsia"/>
          <w:color w:val="0D0D0D" w:themeColor="text1" w:themeTint="F2"/>
          <w14:textFill>
            <w14:solidFill>
              <w14:schemeClr w14:val="tx1">
                <w14:lumMod w14:val="95000"/>
                <w14:lumOff w14:val="5000"/>
              </w14:schemeClr>
            </w14:solidFill>
          </w14:textFill>
        </w:rPr>
        <w:t>年使用。</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202</w:t>
      </w:r>
      <w:r>
        <w:rPr>
          <w:color w:val="0D0D0D" w:themeColor="text1" w:themeTint="F2"/>
          <w14:textFill>
            <w14:solidFill>
              <w14:schemeClr w14:val="tx1">
                <w14:lumMod w14:val="95000"/>
                <w14:lumOff w14:val="5000"/>
              </w14:schemeClr>
            </w14:solidFill>
          </w14:textFill>
        </w:rPr>
        <w:t>2</w:t>
      </w:r>
      <w:r>
        <w:rPr>
          <w:rFonts w:hint="eastAsia"/>
          <w:color w:val="0D0D0D" w:themeColor="text1" w:themeTint="F2"/>
          <w14:textFill>
            <w14:solidFill>
              <w14:schemeClr w14:val="tx1">
                <w14:lumMod w14:val="95000"/>
                <w14:lumOff w14:val="5000"/>
              </w14:schemeClr>
            </w14:solidFill>
          </w14:textFill>
        </w:rPr>
        <w:t>年年初预算安排预备费</w:t>
      </w:r>
      <w:r>
        <w:rPr>
          <w:color w:val="0D0D0D" w:themeColor="text1" w:themeTint="F2"/>
          <w14:textFill>
            <w14:solidFill>
              <w14:schemeClr w14:val="tx1">
                <w14:lumMod w14:val="95000"/>
                <w14:lumOff w14:val="5000"/>
              </w14:schemeClr>
            </w14:solidFill>
          </w14:textFill>
        </w:rPr>
        <w:t>1</w:t>
      </w:r>
      <w:r>
        <w:rPr>
          <w:rFonts w:hint="eastAsia"/>
          <w:color w:val="0D0D0D" w:themeColor="text1" w:themeTint="F2"/>
          <w14:textFill>
            <w14:solidFill>
              <w14:schemeClr w14:val="tx1">
                <w14:lumMod w14:val="95000"/>
                <w14:lumOff w14:val="5000"/>
              </w14:schemeClr>
            </w14:solidFill>
          </w14:textFill>
        </w:rPr>
        <w:t>亿元，当年全部用于疫情防控和社会治理等支出。</w:t>
      </w:r>
    </w:p>
    <w:p>
      <w:pPr>
        <w:pStyle w:val="2"/>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三、2</w:t>
      </w:r>
      <w:r>
        <w:rPr>
          <w:color w:val="0D0D0D" w:themeColor="text1" w:themeTint="F2"/>
          <w14:textFill>
            <w14:solidFill>
              <w14:schemeClr w14:val="tx1">
                <w14:lumMod w14:val="95000"/>
                <w14:lumOff w14:val="5000"/>
              </w14:schemeClr>
            </w14:solidFill>
          </w14:textFill>
        </w:rPr>
        <w:t>023</w:t>
      </w:r>
      <w:r>
        <w:rPr>
          <w:rFonts w:hint="eastAsia"/>
          <w:color w:val="0D0D0D" w:themeColor="text1" w:themeTint="F2"/>
          <w14:textFill>
            <w14:solidFill>
              <w14:schemeClr w14:val="tx1">
                <w14:lumMod w14:val="95000"/>
                <w14:lumOff w14:val="5000"/>
              </w14:schemeClr>
            </w14:solidFill>
          </w14:textFill>
        </w:rPr>
        <w:t>年财政收支预算情况</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2023年是贯彻落实党的二十大精神的开局之年，是实施“十四五”规划承上启下的关键一年，做好经济工作十分关键，要坚持以习近平新时代中国特色社会主义思想为指导，全面贯彻落实党的二十大精神，扎实推进中国式现代化，坚持稳中求进工作总基调，完整、准确、全面贯彻新发展理念，加快构建新发展格局，着力推动高质量发展，推动经济运行整体好转，实现质的有效提升和量的合理增长，为全面建设社会主义现代化国家开好局起好步。</w:t>
      </w:r>
    </w:p>
    <w:p>
      <w:pPr>
        <w:ind w:firstLine="640"/>
        <w:rPr>
          <w:color w:val="0D0D0D" w:themeColor="text1" w:themeTint="F2"/>
          <w14:textFill>
            <w14:solidFill>
              <w14:schemeClr w14:val="tx1">
                <w14:lumMod w14:val="95000"/>
                <w14:lumOff w14:val="5000"/>
              </w14:schemeClr>
            </w14:solidFill>
          </w14:textFill>
        </w:rPr>
      </w:pPr>
      <w:bookmarkStart w:id="1" w:name="_Hlk97655679"/>
      <w:r>
        <w:rPr>
          <w:rFonts w:hint="eastAsia" w:eastAsia="方正楷体_GBK" w:cstheme="majorBidi"/>
          <w:bCs/>
          <w:color w:val="0D0D0D" w:themeColor="text1" w:themeTint="F2"/>
          <w:szCs w:val="32"/>
          <w14:textFill>
            <w14:solidFill>
              <w14:schemeClr w14:val="tx1">
                <w14:lumMod w14:val="95000"/>
                <w14:lumOff w14:val="5000"/>
              </w14:schemeClr>
            </w14:solidFill>
          </w14:textFill>
        </w:rPr>
        <w:t>（一）财政收支形势分析</w:t>
      </w:r>
    </w:p>
    <w:bookmarkEnd w:id="1"/>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财政收入形势。积极因素方面，一是宏观层面看，随着疫情防控优化措施的持续落实，稳经济各项政策效应逐步释放，我国经济增速有望持续回升，为经济加快企稳回升提供了有力的宏观环境。二是西部科学城重庆高新区经济基本面长期向好，工业投资稳定，生产需求持续恢复，科研平台抢时间、赶进度、出成果，就业、物价保持稳定，新动能积蓄增强，科学城发展韧性继续彰显，经济社会大局稳定，为202</w:t>
      </w:r>
      <w:r>
        <w:rPr>
          <w:color w:val="0D0D0D" w:themeColor="text1" w:themeTint="F2"/>
          <w14:textFill>
            <w14:solidFill>
              <w14:schemeClr w14:val="tx1">
                <w14:lumMod w14:val="95000"/>
                <w14:lumOff w14:val="5000"/>
              </w14:schemeClr>
            </w14:solidFill>
          </w14:textFill>
        </w:rPr>
        <w:t>3</w:t>
      </w:r>
      <w:r>
        <w:rPr>
          <w:rFonts w:hint="eastAsia"/>
          <w:color w:val="0D0D0D" w:themeColor="text1" w:themeTint="F2"/>
          <w14:textFill>
            <w14:solidFill>
              <w14:schemeClr w14:val="tx1">
                <w14:lumMod w14:val="95000"/>
                <w14:lumOff w14:val="5000"/>
              </w14:schemeClr>
            </w14:solidFill>
          </w14:textFill>
        </w:rPr>
        <w:t>年推动经济稳步增长奠定良好基础。三是成渝地区双城经济圈建设纵深推进，更多政策、项目、试点在成渝大地落地实施，为财政收入平稳增长提供有利条件。</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不利因素方面，一是国际经贸环境复杂严峻。2</w:t>
      </w:r>
      <w:r>
        <w:rPr>
          <w:color w:val="0D0D0D" w:themeColor="text1" w:themeTint="F2"/>
          <w14:textFill>
            <w14:solidFill>
              <w14:schemeClr w14:val="tx1">
                <w14:lumMod w14:val="95000"/>
                <w14:lumOff w14:val="5000"/>
              </w14:schemeClr>
            </w14:solidFill>
          </w14:textFill>
        </w:rPr>
        <w:t>023</w:t>
      </w:r>
      <w:r>
        <w:rPr>
          <w:rFonts w:hint="eastAsia"/>
          <w:color w:val="0D0D0D" w:themeColor="text1" w:themeTint="F2"/>
          <w14:textFill>
            <w14:solidFill>
              <w14:schemeClr w14:val="tx1">
                <w14:lumMod w14:val="95000"/>
                <w14:lumOff w14:val="5000"/>
              </w14:schemeClr>
            </w14:solidFill>
          </w14:textFill>
        </w:rPr>
        <w:t>年全球经济和贸易下行压力增大，我国出口预计同步下滑，地缘政治、科技封锁、贸易保护主义等逆全球化影响将持续制约。二是现代产业体系基础薄弱，战略性支柱产业集群和战略性新兴产业集群产业链条延伸不够，产品附加值较低。</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财政支出方面，随着科学城公共服务供给能力提升，“三保”支出和刚性支出快速扩张，教育、产业扶持等新增支出较大。</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总体来看，202</w:t>
      </w:r>
      <w:r>
        <w:rPr>
          <w:color w:val="0D0D0D" w:themeColor="text1" w:themeTint="F2"/>
          <w14:textFill>
            <w14:solidFill>
              <w14:schemeClr w14:val="tx1">
                <w14:lumMod w14:val="95000"/>
                <w14:lumOff w14:val="5000"/>
              </w14:schemeClr>
            </w14:solidFill>
          </w14:textFill>
        </w:rPr>
        <w:t>3</w:t>
      </w:r>
      <w:r>
        <w:rPr>
          <w:rFonts w:hint="eastAsia"/>
          <w:color w:val="0D0D0D" w:themeColor="text1" w:themeTint="F2"/>
          <w14:textFill>
            <w14:solidFill>
              <w14:schemeClr w14:val="tx1">
                <w14:lumMod w14:val="95000"/>
                <w14:lumOff w14:val="5000"/>
              </w14:schemeClr>
            </w14:solidFill>
          </w14:textFill>
        </w:rPr>
        <w:t>年财政收支形势更加严峻，必须加强财政资源统筹，坚持有保有压、统筹兼顾，科学合理编制好预算，切实保障市委市政府和党工委管委会决策部署落地落实。</w:t>
      </w:r>
    </w:p>
    <w:p>
      <w:pPr>
        <w:pStyle w:val="3"/>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（二）202</w:t>
      </w:r>
      <w:r>
        <w:rPr>
          <w:color w:val="0D0D0D" w:themeColor="text1" w:themeTint="F2"/>
          <w14:textFill>
            <w14:solidFill>
              <w14:schemeClr w14:val="tx1">
                <w14:lumMod w14:val="95000"/>
                <w14:lumOff w14:val="5000"/>
              </w14:schemeClr>
            </w14:solidFill>
          </w14:textFill>
        </w:rPr>
        <w:t>3</w:t>
      </w:r>
      <w:r>
        <w:rPr>
          <w:rFonts w:hint="eastAsia"/>
          <w:color w:val="0D0D0D" w:themeColor="text1" w:themeTint="F2"/>
          <w14:textFill>
            <w14:solidFill>
              <w14:schemeClr w14:val="tx1">
                <w14:lumMod w14:val="95000"/>
                <w14:lumOff w14:val="5000"/>
              </w14:schemeClr>
            </w14:solidFill>
          </w14:textFill>
        </w:rPr>
        <w:t>年预算编制指导思想</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坚持以习近平新时代中国特色社会主义思想为指导，全面贯彻党的二十大精神，扎实推进中国式现代化，坚持稳中求进工作总基调，大力提振市场信心，突出做好稳增长、稳就业、稳物价工作，推动经济运行整体好转，实现质的有效提升和量的合理增长。全力聚焦党工委管委会明确的重点工作任务，按照“建立全面规范透明、标准科学、约束有力的预算制度，全面实施绩效管理”的改革目标，持续深化财政预算管理改革，加强财政资源统筹。坚持艰苦奋斗、厉行节约，切实兜牢“三保”底线，坚决落实政府“过紧日子”要求。加大支出结构优化力度，集中力量办大事，为加快建设具有全国影响力的科技创新中心提供强有力的财政保障。</w:t>
      </w:r>
    </w:p>
    <w:p>
      <w:pPr>
        <w:pStyle w:val="3"/>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（三）202</w:t>
      </w:r>
      <w:r>
        <w:rPr>
          <w:color w:val="0D0D0D" w:themeColor="text1" w:themeTint="F2"/>
          <w14:textFill>
            <w14:solidFill>
              <w14:schemeClr w14:val="tx1">
                <w14:lumMod w14:val="95000"/>
                <w14:lumOff w14:val="5000"/>
              </w14:schemeClr>
            </w14:solidFill>
          </w14:textFill>
        </w:rPr>
        <w:t>3</w:t>
      </w:r>
      <w:r>
        <w:rPr>
          <w:rFonts w:hint="eastAsia"/>
          <w:color w:val="0D0D0D" w:themeColor="text1" w:themeTint="F2"/>
          <w14:textFill>
            <w14:solidFill>
              <w14:schemeClr w14:val="tx1">
                <w14:lumMod w14:val="95000"/>
                <w14:lumOff w14:val="5000"/>
              </w14:schemeClr>
            </w14:solidFill>
          </w14:textFill>
        </w:rPr>
        <w:t>年预算编制原则</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加强资源统筹，科学收入管理。综合经济运行、房地产市场形势和减税降费政策等因素，合理确定一般公共预算收入增幅，加大三本预算统筹力度，一般公共预算收支缺口通过调入政府性基金预算和国有资本经营预算弥补。强化单位事业收入统筹，确保单位资金全部纳入年初预算管理。</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坚持厉行节约，优化支出结构。坚持保基本民生、保工资、保运转的优先顺序，坚决保障党工委管委会重大战略部署和改革任务落地推进，优先保障各部门成熟度高、执行情况好的项目。从严从紧编制部门预算，压减一般性行政开支，严控“三公”经费。加大部门支出结构优化调整，压减非刚性、非重点项目支出。</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加快标准建设，强化预算约束。继续贯彻“无标准、不预算”的理念，完善预算支出标准体系。严格规范各单位非编人员经费保障，确保按定员定额标准编报相关支出，严禁超标准编制预算。结合职能职责和业务活动，拆解细化支出项目内容，规范列报支出预算测算过程。</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深化绩效管理，加强结果运用。进一步深化部门预算绩效管理改革，健全全过程预算绩效管理运行机制，全面推进部门整体绩效管理改革试点，健全事前绩效评估机制。结合项目实施内容和资金使用方向，分类确定评估重点，并依托预算公开评审，分批开展绩效评估工作。</w:t>
      </w:r>
    </w:p>
    <w:p>
      <w:pPr>
        <w:pStyle w:val="3"/>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（四）2</w:t>
      </w:r>
      <w:r>
        <w:rPr>
          <w:color w:val="0D0D0D" w:themeColor="text1" w:themeTint="F2"/>
          <w14:textFill>
            <w14:solidFill>
              <w14:schemeClr w14:val="tx1">
                <w14:lumMod w14:val="95000"/>
                <w14:lumOff w14:val="5000"/>
              </w14:schemeClr>
            </w14:solidFill>
          </w14:textFill>
        </w:rPr>
        <w:t>023</w:t>
      </w:r>
      <w:r>
        <w:rPr>
          <w:rFonts w:hint="eastAsia"/>
          <w:color w:val="0D0D0D" w:themeColor="text1" w:themeTint="F2"/>
          <w14:textFill>
            <w14:solidFill>
              <w14:schemeClr w14:val="tx1">
                <w14:lumMod w14:val="95000"/>
                <w14:lumOff w14:val="5000"/>
              </w14:schemeClr>
            </w14:solidFill>
          </w14:textFill>
        </w:rPr>
        <w:t>年财政收支预算</w:t>
      </w:r>
    </w:p>
    <w:p>
      <w:pPr>
        <w:ind w:firstLine="643"/>
        <w:rPr>
          <w:b/>
          <w:bCs/>
          <w:color w:val="0D0D0D" w:themeColor="text1" w:themeTint="F2"/>
          <w14:textFill>
            <w14:solidFill>
              <w14:schemeClr w14:val="tx1">
                <w14:lumMod w14:val="95000"/>
                <w14:lumOff w14:val="5000"/>
              </w14:schemeClr>
            </w14:solidFill>
          </w14:textFill>
        </w:rPr>
      </w:pPr>
      <w:r>
        <w:rPr>
          <w:rFonts w:hint="eastAsia"/>
          <w:b/>
          <w:bCs/>
          <w:color w:val="0D0D0D" w:themeColor="text1" w:themeTint="F2"/>
          <w14:textFill>
            <w14:solidFill>
              <w14:schemeClr w14:val="tx1">
                <w14:lumMod w14:val="95000"/>
                <w14:lumOff w14:val="5000"/>
              </w14:schemeClr>
            </w14:solidFill>
          </w14:textFill>
        </w:rPr>
        <w:t>1</w:t>
      </w:r>
      <w:r>
        <w:rPr>
          <w:b/>
          <w:bCs/>
          <w:color w:val="0D0D0D" w:themeColor="text1" w:themeTint="F2"/>
          <w14:textFill>
            <w14:solidFill>
              <w14:schemeClr w14:val="tx1">
                <w14:lumMod w14:val="95000"/>
                <w14:lumOff w14:val="5000"/>
              </w14:schemeClr>
            </w14:solidFill>
          </w14:textFill>
        </w:rPr>
        <w:t>.</w:t>
      </w:r>
      <w:r>
        <w:rPr>
          <w:rFonts w:hint="eastAsia"/>
          <w:b/>
          <w:bCs/>
          <w:color w:val="0D0D0D" w:themeColor="text1" w:themeTint="F2"/>
          <w14:textFill>
            <w14:solidFill>
              <w14:schemeClr w14:val="tx1">
                <w14:lumMod w14:val="95000"/>
                <w14:lumOff w14:val="5000"/>
              </w14:schemeClr>
            </w14:solidFill>
          </w14:textFill>
        </w:rPr>
        <w:t>一般公共预算</w:t>
      </w:r>
    </w:p>
    <w:tbl>
      <w:tblPr>
        <w:tblStyle w:val="7"/>
        <w:tblW w:w="9498" w:type="dxa"/>
        <w:tblInd w:w="0" w:type="dxa"/>
        <w:tblLayout w:type="autofit"/>
        <w:tblCellMar>
          <w:top w:w="0" w:type="dxa"/>
          <w:left w:w="108" w:type="dxa"/>
          <w:bottom w:w="0" w:type="dxa"/>
          <w:right w:w="108" w:type="dxa"/>
        </w:tblCellMar>
      </w:tblPr>
      <w:tblGrid>
        <w:gridCol w:w="3686"/>
        <w:gridCol w:w="1417"/>
        <w:gridCol w:w="3261"/>
        <w:gridCol w:w="1134"/>
      </w:tblGrid>
      <w:tr>
        <w:tblPrEx>
          <w:tblCellMar>
            <w:top w:w="0" w:type="dxa"/>
            <w:left w:w="108" w:type="dxa"/>
            <w:bottom w:w="0" w:type="dxa"/>
            <w:right w:w="108" w:type="dxa"/>
          </w:tblCellMar>
        </w:tblPrEx>
        <w:trPr>
          <w:trHeight w:val="504" w:hRule="atLeast"/>
          <w:tblHeader/>
        </w:trPr>
        <w:tc>
          <w:tcPr>
            <w:tcW w:w="9498" w:type="dxa"/>
            <w:gridSpan w:val="4"/>
            <w:tcBorders>
              <w:top w:val="nil"/>
              <w:left w:val="nil"/>
              <w:bottom w:val="nil"/>
              <w:right w:val="nil"/>
            </w:tcBorders>
            <w:shd w:val="clear" w:color="auto" w:fill="auto"/>
            <w:noWrap/>
            <w:vAlign w:val="center"/>
          </w:tcPr>
          <w:p>
            <w:pPr>
              <w:widowControl/>
              <w:spacing w:line="240" w:lineRule="auto"/>
              <w:ind w:firstLine="0" w:firstLineChars="0"/>
              <w:jc w:val="center"/>
              <w:rPr>
                <w:rFonts w:eastAsia="方正小标宋_GBK" w:cs="宋体"/>
                <w:color w:val="0D0D0D" w:themeColor="text1" w:themeTint="F2"/>
                <w:kern w:val="0"/>
                <w:sz w:val="30"/>
                <w:szCs w:val="30"/>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2023年一般公共预算收支预算表</w:t>
            </w:r>
          </w:p>
        </w:tc>
      </w:tr>
      <w:tr>
        <w:tblPrEx>
          <w:tblCellMar>
            <w:top w:w="0" w:type="dxa"/>
            <w:left w:w="108" w:type="dxa"/>
            <w:bottom w:w="0" w:type="dxa"/>
            <w:right w:w="108" w:type="dxa"/>
          </w:tblCellMar>
        </w:tblPrEx>
        <w:trPr>
          <w:trHeight w:val="288" w:hRule="atLeast"/>
          <w:tblHeader/>
        </w:trPr>
        <w:tc>
          <w:tcPr>
            <w:tcW w:w="9498" w:type="dxa"/>
            <w:gridSpan w:val="4"/>
            <w:tcBorders>
              <w:top w:val="nil"/>
              <w:left w:val="nil"/>
              <w:bottom w:val="single" w:color="auto" w:sz="4" w:space="0"/>
              <w:right w:val="nil"/>
            </w:tcBorders>
            <w:shd w:val="clear" w:color="auto" w:fill="auto"/>
            <w:noWrap/>
            <w:vAlign w:val="bottom"/>
          </w:tcPr>
          <w:p>
            <w:pPr>
              <w:widowControl/>
              <w:adjustRightInd w:val="0"/>
              <w:snapToGrid w:val="0"/>
              <w:spacing w:line="240" w:lineRule="auto"/>
              <w:ind w:firstLine="0" w:firstLineChars="0"/>
              <w:jc w:val="right"/>
              <w:rPr>
                <w:rFonts w:eastAsia="等线" w:cs="Times New Roman"/>
                <w:color w:val="0D0D0D" w:themeColor="text1" w:themeTint="F2"/>
                <w:kern w:val="0"/>
                <w:szCs w:val="32"/>
                <w14:textFill>
                  <w14:solidFill>
                    <w14:schemeClr w14:val="tx1">
                      <w14:lumMod w14:val="95000"/>
                      <w14:lumOff w14:val="5000"/>
                    </w14:schemeClr>
                  </w14:solidFill>
                </w14:textFill>
              </w:rPr>
            </w:pPr>
            <w:r>
              <w:rPr>
                <w:rFonts w:hint="eastAsia" w:cs="Times New Roman"/>
                <w:color w:val="0D0D0D" w:themeColor="text1" w:themeTint="F2"/>
                <w:kern w:val="0"/>
                <w:szCs w:val="32"/>
                <w14:textFill>
                  <w14:solidFill>
                    <w14:schemeClr w14:val="tx1">
                      <w14:lumMod w14:val="95000"/>
                      <w14:lumOff w14:val="5000"/>
                    </w14:schemeClr>
                  </w14:solidFill>
                </w14:textFill>
              </w:rPr>
              <w:t>单位：万元</w:t>
            </w:r>
          </w:p>
        </w:tc>
      </w:tr>
      <w:tr>
        <w:tblPrEx>
          <w:tblCellMar>
            <w:top w:w="0" w:type="dxa"/>
            <w:left w:w="108" w:type="dxa"/>
            <w:bottom w:w="0" w:type="dxa"/>
            <w:right w:w="108" w:type="dxa"/>
          </w:tblCellMar>
        </w:tblPrEx>
        <w:trPr>
          <w:trHeight w:val="432" w:hRule="atLeast"/>
          <w:tblHeader/>
        </w:trPr>
        <w:tc>
          <w:tcPr>
            <w:tcW w:w="36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方正黑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收     入</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方正黑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预算数</w:t>
            </w:r>
          </w:p>
        </w:tc>
        <w:tc>
          <w:tcPr>
            <w:tcW w:w="3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方正黑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支    出</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方正黑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预算数</w:t>
            </w:r>
          </w:p>
        </w:tc>
      </w:tr>
      <w:tr>
        <w:tblPrEx>
          <w:tblCellMar>
            <w:top w:w="0" w:type="dxa"/>
            <w:left w:w="108" w:type="dxa"/>
            <w:bottom w:w="0" w:type="dxa"/>
            <w:right w:w="108" w:type="dxa"/>
          </w:tblCellMar>
        </w:tblPrEx>
        <w:trPr>
          <w:trHeight w:val="324" w:hRule="atLeast"/>
        </w:trPr>
        <w:tc>
          <w:tcPr>
            <w:tcW w:w="36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宋体"/>
                <w:b/>
                <w:bCs/>
                <w:color w:val="0D0D0D" w:themeColor="text1" w:themeTint="F2"/>
                <w:kern w:val="0"/>
                <w:sz w:val="28"/>
                <w:szCs w:val="28"/>
                <w14:textFill>
                  <w14:solidFill>
                    <w14:schemeClr w14:val="tx1">
                      <w14:lumMod w14:val="95000"/>
                      <w14:lumOff w14:val="5000"/>
                    </w14:schemeClr>
                  </w14:solidFill>
                </w14:textFill>
              </w:rPr>
            </w:pPr>
            <w:r>
              <w:rPr>
                <w:rFonts w:hint="eastAsia" w:cs="宋体"/>
                <w:b/>
                <w:bCs/>
                <w:color w:val="0D0D0D" w:themeColor="text1" w:themeTint="F2"/>
                <w:kern w:val="0"/>
                <w:sz w:val="28"/>
                <w:szCs w:val="28"/>
                <w14:textFill>
                  <w14:solidFill>
                    <w14:schemeClr w14:val="tx1">
                      <w14:lumMod w14:val="95000"/>
                      <w14:lumOff w14:val="5000"/>
                    </w14:schemeClr>
                  </w14:solidFill>
                </w14:textFill>
              </w:rPr>
              <w:t>总    计</w:t>
            </w:r>
          </w:p>
        </w:tc>
        <w:tc>
          <w:tcPr>
            <w:tcW w:w="1417"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right"/>
              <w:rPr>
                <w:rFonts w:cs="宋体"/>
                <w:b/>
                <w:bCs/>
                <w:color w:val="0D0D0D" w:themeColor="text1" w:themeTint="F2"/>
                <w:kern w:val="0"/>
                <w:sz w:val="28"/>
                <w:szCs w:val="28"/>
                <w14:textFill>
                  <w14:solidFill>
                    <w14:schemeClr w14:val="tx1">
                      <w14:lumMod w14:val="95000"/>
                      <w14:lumOff w14:val="5000"/>
                    </w14:schemeClr>
                  </w14:solidFill>
                </w14:textFill>
              </w:rPr>
            </w:pPr>
            <w:r>
              <w:rPr>
                <w:rFonts w:hint="eastAsia" w:cs="宋体"/>
                <w:b/>
                <w:bCs/>
                <w:color w:val="0D0D0D" w:themeColor="text1" w:themeTint="F2"/>
                <w:kern w:val="0"/>
                <w:sz w:val="28"/>
                <w:szCs w:val="28"/>
                <w14:textFill>
                  <w14:solidFill>
                    <w14:schemeClr w14:val="tx1">
                      <w14:lumMod w14:val="95000"/>
                      <w14:lumOff w14:val="5000"/>
                    </w14:schemeClr>
                  </w14:solidFill>
                </w14:textFill>
              </w:rPr>
              <w:t>8</w:t>
            </w:r>
            <w:r>
              <w:rPr>
                <w:rFonts w:cs="宋体"/>
                <w:b/>
                <w:bCs/>
                <w:color w:val="0D0D0D" w:themeColor="text1" w:themeTint="F2"/>
                <w:kern w:val="0"/>
                <w:sz w:val="28"/>
                <w:szCs w:val="28"/>
                <w14:textFill>
                  <w14:solidFill>
                    <w14:schemeClr w14:val="tx1">
                      <w14:lumMod w14:val="95000"/>
                      <w14:lumOff w14:val="5000"/>
                    </w14:schemeClr>
                  </w14:solidFill>
                </w14:textFill>
              </w:rPr>
              <w:t>66</w:t>
            </w:r>
            <w:r>
              <w:rPr>
                <w:rFonts w:hint="eastAsia" w:cs="宋体"/>
                <w:b/>
                <w:bCs/>
                <w:color w:val="0D0D0D" w:themeColor="text1" w:themeTint="F2"/>
                <w:kern w:val="0"/>
                <w:sz w:val="28"/>
                <w:szCs w:val="28"/>
                <w14:textFill>
                  <w14:solidFill>
                    <w14:schemeClr w14:val="tx1">
                      <w14:lumMod w14:val="95000"/>
                      <w14:lumOff w14:val="5000"/>
                    </w14:schemeClr>
                  </w14:solidFill>
                </w14:textFill>
              </w:rPr>
              <w:t>,0</w:t>
            </w:r>
            <w:r>
              <w:rPr>
                <w:rFonts w:cs="宋体"/>
                <w:b/>
                <w:bCs/>
                <w:color w:val="0D0D0D" w:themeColor="text1" w:themeTint="F2"/>
                <w:kern w:val="0"/>
                <w:sz w:val="28"/>
                <w:szCs w:val="28"/>
                <w14:textFill>
                  <w14:solidFill>
                    <w14:schemeClr w14:val="tx1">
                      <w14:lumMod w14:val="95000"/>
                      <w14:lumOff w14:val="5000"/>
                    </w14:schemeClr>
                  </w14:solidFill>
                </w14:textFill>
              </w:rPr>
              <w:t>75</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宋体"/>
                <w:b/>
                <w:bCs/>
                <w:color w:val="0D0D0D" w:themeColor="text1" w:themeTint="F2"/>
                <w:kern w:val="0"/>
                <w:sz w:val="28"/>
                <w:szCs w:val="28"/>
                <w14:textFill>
                  <w14:solidFill>
                    <w14:schemeClr w14:val="tx1">
                      <w14:lumMod w14:val="95000"/>
                      <w14:lumOff w14:val="5000"/>
                    </w14:schemeClr>
                  </w14:solidFill>
                </w14:textFill>
              </w:rPr>
            </w:pPr>
            <w:r>
              <w:rPr>
                <w:rFonts w:hint="eastAsia" w:cs="宋体"/>
                <w:b/>
                <w:bCs/>
                <w:color w:val="0D0D0D" w:themeColor="text1" w:themeTint="F2"/>
                <w:kern w:val="0"/>
                <w:sz w:val="28"/>
                <w:szCs w:val="28"/>
                <w14:textFill>
                  <w14:solidFill>
                    <w14:schemeClr w14:val="tx1">
                      <w14:lumMod w14:val="95000"/>
                      <w14:lumOff w14:val="5000"/>
                    </w14:schemeClr>
                  </w14:solidFill>
                </w14:textFill>
              </w:rPr>
              <w:t>总     计</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right"/>
              <w:rPr>
                <w:rFonts w:cs="宋体"/>
                <w:b/>
                <w:bCs/>
                <w:color w:val="0D0D0D" w:themeColor="text1" w:themeTint="F2"/>
                <w:kern w:val="0"/>
                <w:sz w:val="28"/>
                <w:szCs w:val="28"/>
                <w14:textFill>
                  <w14:solidFill>
                    <w14:schemeClr w14:val="tx1">
                      <w14:lumMod w14:val="95000"/>
                      <w14:lumOff w14:val="5000"/>
                    </w14:schemeClr>
                  </w14:solidFill>
                </w14:textFill>
              </w:rPr>
            </w:pPr>
            <w:r>
              <w:rPr>
                <w:rFonts w:hint="eastAsia" w:cs="宋体"/>
                <w:b/>
                <w:bCs/>
                <w:color w:val="0D0D0D" w:themeColor="text1" w:themeTint="F2"/>
                <w:kern w:val="0"/>
                <w:sz w:val="28"/>
                <w:szCs w:val="28"/>
                <w14:textFill>
                  <w14:solidFill>
                    <w14:schemeClr w14:val="tx1">
                      <w14:lumMod w14:val="95000"/>
                      <w14:lumOff w14:val="5000"/>
                    </w14:schemeClr>
                  </w14:solidFill>
                </w14:textFill>
              </w:rPr>
              <w:t>8</w:t>
            </w:r>
            <w:r>
              <w:rPr>
                <w:rFonts w:cs="宋体"/>
                <w:b/>
                <w:bCs/>
                <w:color w:val="0D0D0D" w:themeColor="text1" w:themeTint="F2"/>
                <w:kern w:val="0"/>
                <w:sz w:val="28"/>
                <w:szCs w:val="28"/>
                <w14:textFill>
                  <w14:solidFill>
                    <w14:schemeClr w14:val="tx1">
                      <w14:lumMod w14:val="95000"/>
                      <w14:lumOff w14:val="5000"/>
                    </w14:schemeClr>
                  </w14:solidFill>
                </w14:textFill>
              </w:rPr>
              <w:t>66</w:t>
            </w:r>
            <w:r>
              <w:rPr>
                <w:rFonts w:hint="eastAsia" w:cs="宋体"/>
                <w:b/>
                <w:bCs/>
                <w:color w:val="0D0D0D" w:themeColor="text1" w:themeTint="F2"/>
                <w:kern w:val="0"/>
                <w:sz w:val="28"/>
                <w:szCs w:val="28"/>
                <w14:textFill>
                  <w14:solidFill>
                    <w14:schemeClr w14:val="tx1">
                      <w14:lumMod w14:val="95000"/>
                      <w14:lumOff w14:val="5000"/>
                    </w14:schemeClr>
                  </w14:solidFill>
                </w14:textFill>
              </w:rPr>
              <w:t>,0</w:t>
            </w:r>
            <w:r>
              <w:rPr>
                <w:rFonts w:cs="宋体"/>
                <w:b/>
                <w:bCs/>
                <w:color w:val="0D0D0D" w:themeColor="text1" w:themeTint="F2"/>
                <w:kern w:val="0"/>
                <w:sz w:val="28"/>
                <w:szCs w:val="28"/>
                <w14:textFill>
                  <w14:solidFill>
                    <w14:schemeClr w14:val="tx1">
                      <w14:lumMod w14:val="95000"/>
                      <w14:lumOff w14:val="5000"/>
                    </w14:schemeClr>
                  </w14:solidFill>
                </w14:textFill>
              </w:rPr>
              <w:t>75</w:t>
            </w:r>
          </w:p>
        </w:tc>
      </w:tr>
      <w:tr>
        <w:tblPrEx>
          <w:tblCellMar>
            <w:top w:w="0" w:type="dxa"/>
            <w:left w:w="108" w:type="dxa"/>
            <w:bottom w:w="0" w:type="dxa"/>
            <w:right w:w="108" w:type="dxa"/>
          </w:tblCellMar>
        </w:tblPrEx>
        <w:trPr>
          <w:trHeight w:val="324" w:hRule="atLeast"/>
        </w:trPr>
        <w:tc>
          <w:tcPr>
            <w:tcW w:w="368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ind w:firstLine="0" w:firstLineChars="0"/>
              <w:jc w:val="left"/>
              <w:rPr>
                <w:rFonts w:cs="宋体"/>
                <w:b/>
                <w:bCs/>
                <w:color w:val="0D0D0D" w:themeColor="text1" w:themeTint="F2"/>
                <w:kern w:val="0"/>
                <w:sz w:val="28"/>
                <w:szCs w:val="28"/>
                <w14:textFill>
                  <w14:solidFill>
                    <w14:schemeClr w14:val="tx1">
                      <w14:lumMod w14:val="95000"/>
                      <w14:lumOff w14:val="5000"/>
                    </w14:schemeClr>
                  </w14:solidFill>
                </w14:textFill>
              </w:rPr>
            </w:pPr>
            <w:r>
              <w:rPr>
                <w:rFonts w:hint="eastAsia" w:cs="宋体"/>
                <w:b/>
                <w:bCs/>
                <w:color w:val="0D0D0D" w:themeColor="text1" w:themeTint="F2"/>
                <w:kern w:val="0"/>
                <w:sz w:val="28"/>
                <w:szCs w:val="28"/>
                <w14:textFill>
                  <w14:solidFill>
                    <w14:schemeClr w14:val="tx1">
                      <w14:lumMod w14:val="95000"/>
                      <w14:lumOff w14:val="5000"/>
                    </w14:schemeClr>
                  </w14:solidFill>
                </w14:textFill>
              </w:rPr>
              <w:t>本级收入合计</w:t>
            </w:r>
          </w:p>
        </w:tc>
        <w:tc>
          <w:tcPr>
            <w:tcW w:w="141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right"/>
              <w:rPr>
                <w:rFonts w:cs="宋体"/>
                <w:b/>
                <w:bCs/>
                <w:color w:val="0D0D0D" w:themeColor="text1" w:themeTint="F2"/>
                <w:kern w:val="0"/>
                <w:sz w:val="28"/>
                <w:szCs w:val="28"/>
                <w14:textFill>
                  <w14:solidFill>
                    <w14:schemeClr w14:val="tx1">
                      <w14:lumMod w14:val="95000"/>
                      <w14:lumOff w14:val="5000"/>
                    </w14:schemeClr>
                  </w14:solidFill>
                </w14:textFill>
              </w:rPr>
            </w:pPr>
            <w:r>
              <w:rPr>
                <w:rFonts w:hint="eastAsia" w:cs="宋体"/>
                <w:b/>
                <w:bCs/>
                <w:color w:val="0D0D0D" w:themeColor="text1" w:themeTint="F2"/>
                <w:kern w:val="0"/>
                <w:sz w:val="28"/>
                <w:szCs w:val="28"/>
                <w14:textFill>
                  <w14:solidFill>
                    <w14:schemeClr w14:val="tx1">
                      <w14:lumMod w14:val="95000"/>
                      <w14:lumOff w14:val="5000"/>
                    </w14:schemeClr>
                  </w14:solidFill>
                </w14:textFill>
              </w:rPr>
              <w:t>3</w:t>
            </w:r>
            <w:r>
              <w:rPr>
                <w:rFonts w:cs="宋体"/>
                <w:b/>
                <w:bCs/>
                <w:color w:val="0D0D0D" w:themeColor="text1" w:themeTint="F2"/>
                <w:kern w:val="0"/>
                <w:sz w:val="28"/>
                <w:szCs w:val="28"/>
                <w14:textFill>
                  <w14:solidFill>
                    <w14:schemeClr w14:val="tx1">
                      <w14:lumMod w14:val="95000"/>
                      <w14:lumOff w14:val="5000"/>
                    </w14:schemeClr>
                  </w14:solidFill>
                </w14:textFill>
              </w:rPr>
              <w:t>2</w:t>
            </w:r>
            <w:r>
              <w:rPr>
                <w:rFonts w:hint="eastAsia" w:cs="宋体"/>
                <w:b/>
                <w:bCs/>
                <w:color w:val="0D0D0D" w:themeColor="text1" w:themeTint="F2"/>
                <w:kern w:val="0"/>
                <w:sz w:val="28"/>
                <w:szCs w:val="28"/>
                <w14:textFill>
                  <w14:solidFill>
                    <w14:schemeClr w14:val="tx1">
                      <w14:lumMod w14:val="95000"/>
                      <w14:lumOff w14:val="5000"/>
                    </w14:schemeClr>
                  </w14:solidFill>
                </w14:textFill>
              </w:rPr>
              <w:t>3,900</w:t>
            </w:r>
          </w:p>
        </w:tc>
        <w:tc>
          <w:tcPr>
            <w:tcW w:w="3261"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left"/>
              <w:rPr>
                <w:rFonts w:cs="宋体"/>
                <w:b/>
                <w:bCs/>
                <w:color w:val="0D0D0D" w:themeColor="text1" w:themeTint="F2"/>
                <w:kern w:val="0"/>
                <w:sz w:val="28"/>
                <w:szCs w:val="28"/>
                <w14:textFill>
                  <w14:solidFill>
                    <w14:schemeClr w14:val="tx1">
                      <w14:lumMod w14:val="95000"/>
                      <w14:lumOff w14:val="5000"/>
                    </w14:schemeClr>
                  </w14:solidFill>
                </w14:textFill>
              </w:rPr>
            </w:pPr>
            <w:r>
              <w:rPr>
                <w:rFonts w:hint="eastAsia" w:cs="宋体"/>
                <w:b/>
                <w:bCs/>
                <w:color w:val="0D0D0D" w:themeColor="text1" w:themeTint="F2"/>
                <w:kern w:val="0"/>
                <w:sz w:val="28"/>
                <w:szCs w:val="28"/>
                <w14:textFill>
                  <w14:solidFill>
                    <w14:schemeClr w14:val="tx1">
                      <w14:lumMod w14:val="95000"/>
                      <w14:lumOff w14:val="5000"/>
                    </w14:schemeClr>
                  </w14:solidFill>
                </w14:textFill>
              </w:rPr>
              <w:t>本级支出合计</w:t>
            </w:r>
          </w:p>
        </w:tc>
        <w:tc>
          <w:tcPr>
            <w:tcW w:w="1134"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right"/>
              <w:rPr>
                <w:rFonts w:cs="宋体"/>
                <w:b/>
                <w:bCs/>
                <w:color w:val="0D0D0D" w:themeColor="text1" w:themeTint="F2"/>
                <w:kern w:val="0"/>
                <w:sz w:val="28"/>
                <w:szCs w:val="28"/>
                <w14:textFill>
                  <w14:solidFill>
                    <w14:schemeClr w14:val="tx1">
                      <w14:lumMod w14:val="95000"/>
                      <w14:lumOff w14:val="5000"/>
                    </w14:schemeClr>
                  </w14:solidFill>
                </w14:textFill>
              </w:rPr>
            </w:pPr>
            <w:r>
              <w:rPr>
                <w:rFonts w:hint="eastAsia" w:cs="宋体"/>
                <w:b/>
                <w:bCs/>
                <w:color w:val="0D0D0D" w:themeColor="text1" w:themeTint="F2"/>
                <w:kern w:val="0"/>
                <w:sz w:val="28"/>
                <w:szCs w:val="28"/>
                <w14:textFill>
                  <w14:solidFill>
                    <w14:schemeClr w14:val="tx1">
                      <w14:lumMod w14:val="95000"/>
                      <w14:lumOff w14:val="5000"/>
                    </w14:schemeClr>
                  </w14:solidFill>
                </w14:textFill>
              </w:rPr>
              <w:t>8</w:t>
            </w:r>
            <w:r>
              <w:rPr>
                <w:rFonts w:cs="宋体"/>
                <w:b/>
                <w:bCs/>
                <w:color w:val="0D0D0D" w:themeColor="text1" w:themeTint="F2"/>
                <w:kern w:val="0"/>
                <w:sz w:val="28"/>
                <w:szCs w:val="28"/>
                <w14:textFill>
                  <w14:solidFill>
                    <w14:schemeClr w14:val="tx1">
                      <w14:lumMod w14:val="95000"/>
                      <w14:lumOff w14:val="5000"/>
                    </w14:schemeClr>
                  </w14:solidFill>
                </w14:textFill>
              </w:rPr>
              <w:t>35</w:t>
            </w:r>
            <w:r>
              <w:rPr>
                <w:rFonts w:hint="eastAsia" w:cs="宋体"/>
                <w:b/>
                <w:bCs/>
                <w:color w:val="0D0D0D" w:themeColor="text1" w:themeTint="F2"/>
                <w:kern w:val="0"/>
                <w:sz w:val="28"/>
                <w:szCs w:val="28"/>
                <w14:textFill>
                  <w14:solidFill>
                    <w14:schemeClr w14:val="tx1">
                      <w14:lumMod w14:val="95000"/>
                      <w14:lumOff w14:val="5000"/>
                    </w14:schemeClr>
                  </w14:solidFill>
                </w14:textFill>
              </w:rPr>
              <w:t>,</w:t>
            </w:r>
            <w:r>
              <w:rPr>
                <w:rFonts w:cs="宋体"/>
                <w:b/>
                <w:bCs/>
                <w:color w:val="0D0D0D" w:themeColor="text1" w:themeTint="F2"/>
                <w:kern w:val="0"/>
                <w:sz w:val="28"/>
                <w:szCs w:val="28"/>
                <w14:textFill>
                  <w14:solidFill>
                    <w14:schemeClr w14:val="tx1">
                      <w14:lumMod w14:val="95000"/>
                      <w14:lumOff w14:val="5000"/>
                    </w14:schemeClr>
                  </w14:solidFill>
                </w14:textFill>
              </w:rPr>
              <w:t>623</w:t>
            </w:r>
          </w:p>
        </w:tc>
      </w:tr>
      <w:tr>
        <w:tblPrEx>
          <w:tblCellMar>
            <w:top w:w="0" w:type="dxa"/>
            <w:left w:w="108" w:type="dxa"/>
            <w:bottom w:w="0" w:type="dxa"/>
            <w:right w:w="108" w:type="dxa"/>
          </w:tblCellMar>
        </w:tblPrEx>
        <w:trPr>
          <w:trHeight w:val="324" w:hRule="atLeast"/>
        </w:trPr>
        <w:tc>
          <w:tcPr>
            <w:tcW w:w="368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ind w:firstLine="0" w:firstLineChars="0"/>
              <w:jc w:val="left"/>
              <w:rPr>
                <w:rFonts w:cs="宋体"/>
                <w:b/>
                <w:bCs/>
                <w:color w:val="0D0D0D" w:themeColor="text1" w:themeTint="F2"/>
                <w:kern w:val="0"/>
                <w:sz w:val="28"/>
                <w:szCs w:val="28"/>
                <w14:textFill>
                  <w14:solidFill>
                    <w14:schemeClr w14:val="tx1">
                      <w14:lumMod w14:val="95000"/>
                      <w14:lumOff w14:val="5000"/>
                    </w14:schemeClr>
                  </w14:solidFill>
                </w14:textFill>
              </w:rPr>
            </w:pPr>
            <w:r>
              <w:rPr>
                <w:rFonts w:hint="eastAsia" w:cs="宋体"/>
                <w:b/>
                <w:bCs/>
                <w:color w:val="0D0D0D" w:themeColor="text1" w:themeTint="F2"/>
                <w:kern w:val="0"/>
                <w:sz w:val="28"/>
                <w:szCs w:val="28"/>
                <w14:textFill>
                  <w14:solidFill>
                    <w14:schemeClr w14:val="tx1">
                      <w14:lumMod w14:val="95000"/>
                      <w14:lumOff w14:val="5000"/>
                    </w14:schemeClr>
                  </w14:solidFill>
                </w14:textFill>
              </w:rPr>
              <w:t>一、税收收入</w:t>
            </w:r>
          </w:p>
        </w:tc>
        <w:tc>
          <w:tcPr>
            <w:tcW w:w="141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right"/>
              <w:rPr>
                <w:rFonts w:cs="宋体"/>
                <w:b/>
                <w:bCs/>
                <w:color w:val="0D0D0D" w:themeColor="text1" w:themeTint="F2"/>
                <w:kern w:val="0"/>
                <w:sz w:val="28"/>
                <w:szCs w:val="28"/>
                <w14:textFill>
                  <w14:solidFill>
                    <w14:schemeClr w14:val="tx1">
                      <w14:lumMod w14:val="95000"/>
                      <w14:lumOff w14:val="5000"/>
                    </w14:schemeClr>
                  </w14:solidFill>
                </w14:textFill>
              </w:rPr>
            </w:pPr>
            <w:r>
              <w:rPr>
                <w:rFonts w:hint="eastAsia" w:cs="宋体"/>
                <w:b/>
                <w:bCs/>
                <w:color w:val="0D0D0D" w:themeColor="text1" w:themeTint="F2"/>
                <w:kern w:val="0"/>
                <w:sz w:val="28"/>
                <w:szCs w:val="28"/>
                <w14:textFill>
                  <w14:solidFill>
                    <w14:schemeClr w14:val="tx1">
                      <w14:lumMod w14:val="95000"/>
                      <w14:lumOff w14:val="5000"/>
                    </w14:schemeClr>
                  </w14:solidFill>
                </w14:textFill>
              </w:rPr>
              <w:t>2</w:t>
            </w:r>
            <w:r>
              <w:rPr>
                <w:rFonts w:cs="宋体"/>
                <w:b/>
                <w:bCs/>
                <w:color w:val="0D0D0D" w:themeColor="text1" w:themeTint="F2"/>
                <w:kern w:val="0"/>
                <w:sz w:val="28"/>
                <w:szCs w:val="28"/>
                <w14:textFill>
                  <w14:solidFill>
                    <w14:schemeClr w14:val="tx1">
                      <w14:lumMod w14:val="95000"/>
                      <w14:lumOff w14:val="5000"/>
                    </w14:schemeClr>
                  </w14:solidFill>
                </w14:textFill>
              </w:rPr>
              <w:t>70</w:t>
            </w:r>
            <w:r>
              <w:rPr>
                <w:rFonts w:hint="eastAsia" w:cs="宋体"/>
                <w:b/>
                <w:bCs/>
                <w:color w:val="0D0D0D" w:themeColor="text1" w:themeTint="F2"/>
                <w:kern w:val="0"/>
                <w:sz w:val="28"/>
                <w:szCs w:val="28"/>
                <w14:textFill>
                  <w14:solidFill>
                    <w14:schemeClr w14:val="tx1">
                      <w14:lumMod w14:val="95000"/>
                      <w14:lumOff w14:val="5000"/>
                    </w14:schemeClr>
                  </w14:solidFill>
                </w14:textFill>
              </w:rPr>
              <w:t>,900</w:t>
            </w:r>
          </w:p>
        </w:tc>
        <w:tc>
          <w:tcPr>
            <w:tcW w:w="326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一、一般公共服务支出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110,70</w:t>
            </w:r>
            <w:r>
              <w:rPr>
                <w:rFonts w:cs="宋体"/>
                <w:color w:val="0D0D0D" w:themeColor="text1" w:themeTint="F2"/>
                <w:kern w:val="0"/>
                <w:sz w:val="28"/>
                <w:szCs w:val="28"/>
                <w14:textFill>
                  <w14:solidFill>
                    <w14:schemeClr w14:val="tx1">
                      <w14:lumMod w14:val="95000"/>
                      <w14:lumOff w14:val="5000"/>
                    </w14:schemeClr>
                  </w14:solidFill>
                </w14:textFill>
              </w:rPr>
              <w:t>4</w:t>
            </w:r>
          </w:p>
        </w:tc>
      </w:tr>
      <w:tr>
        <w:tblPrEx>
          <w:tblCellMar>
            <w:top w:w="0" w:type="dxa"/>
            <w:left w:w="108" w:type="dxa"/>
            <w:bottom w:w="0" w:type="dxa"/>
            <w:right w:w="108" w:type="dxa"/>
          </w:tblCellMar>
        </w:tblPrEx>
        <w:trPr>
          <w:trHeight w:val="324" w:hRule="atLeast"/>
        </w:trPr>
        <w:tc>
          <w:tcPr>
            <w:tcW w:w="368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 xml:space="preserve">    增值税</w:t>
            </w:r>
          </w:p>
        </w:tc>
        <w:tc>
          <w:tcPr>
            <w:tcW w:w="141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50,000</w:t>
            </w:r>
          </w:p>
        </w:tc>
        <w:tc>
          <w:tcPr>
            <w:tcW w:w="326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二、外交支出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368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 xml:space="preserve">    企业所得税</w:t>
            </w:r>
          </w:p>
        </w:tc>
        <w:tc>
          <w:tcPr>
            <w:tcW w:w="141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31,500</w:t>
            </w:r>
          </w:p>
        </w:tc>
        <w:tc>
          <w:tcPr>
            <w:tcW w:w="326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三、国防支出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40</w:t>
            </w:r>
          </w:p>
        </w:tc>
      </w:tr>
      <w:tr>
        <w:tblPrEx>
          <w:tblCellMar>
            <w:top w:w="0" w:type="dxa"/>
            <w:left w:w="108" w:type="dxa"/>
            <w:bottom w:w="0" w:type="dxa"/>
            <w:right w:w="108" w:type="dxa"/>
          </w:tblCellMar>
        </w:tblPrEx>
        <w:trPr>
          <w:trHeight w:val="324" w:hRule="atLeast"/>
        </w:trPr>
        <w:tc>
          <w:tcPr>
            <w:tcW w:w="368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 xml:space="preserve">    个人所得税</w:t>
            </w:r>
          </w:p>
        </w:tc>
        <w:tc>
          <w:tcPr>
            <w:tcW w:w="141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1</w:t>
            </w:r>
            <w:r>
              <w:rPr>
                <w:rFonts w:cs="宋体"/>
                <w:color w:val="0D0D0D" w:themeColor="text1" w:themeTint="F2"/>
                <w:kern w:val="0"/>
                <w:sz w:val="28"/>
                <w:szCs w:val="28"/>
                <w14:textFill>
                  <w14:solidFill>
                    <w14:schemeClr w14:val="tx1">
                      <w14:lumMod w14:val="95000"/>
                      <w14:lumOff w14:val="5000"/>
                    </w14:schemeClr>
                  </w14:solidFill>
                </w14:textFill>
              </w:rPr>
              <w:t>1</w:t>
            </w:r>
            <w:r>
              <w:rPr>
                <w:rFonts w:hint="eastAsia" w:cs="宋体"/>
                <w:color w:val="0D0D0D" w:themeColor="text1" w:themeTint="F2"/>
                <w:kern w:val="0"/>
                <w:sz w:val="28"/>
                <w:szCs w:val="28"/>
                <w14:textFill>
                  <w14:solidFill>
                    <w14:schemeClr w14:val="tx1">
                      <w14:lumMod w14:val="95000"/>
                      <w14:lumOff w14:val="5000"/>
                    </w14:schemeClr>
                  </w14:solidFill>
                </w14:textFill>
              </w:rPr>
              <w:t>,000</w:t>
            </w:r>
          </w:p>
        </w:tc>
        <w:tc>
          <w:tcPr>
            <w:tcW w:w="326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四、公共安全支出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40,584</w:t>
            </w:r>
          </w:p>
        </w:tc>
      </w:tr>
      <w:tr>
        <w:tblPrEx>
          <w:tblCellMar>
            <w:top w:w="0" w:type="dxa"/>
            <w:left w:w="108" w:type="dxa"/>
            <w:bottom w:w="0" w:type="dxa"/>
            <w:right w:w="108" w:type="dxa"/>
          </w:tblCellMar>
        </w:tblPrEx>
        <w:trPr>
          <w:trHeight w:val="324" w:hRule="atLeast"/>
        </w:trPr>
        <w:tc>
          <w:tcPr>
            <w:tcW w:w="368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 xml:space="preserve">    资源税</w:t>
            </w:r>
          </w:p>
        </w:tc>
        <w:tc>
          <w:tcPr>
            <w:tcW w:w="141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w:t>
            </w:r>
          </w:p>
        </w:tc>
        <w:tc>
          <w:tcPr>
            <w:tcW w:w="326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五、教育支出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148,836</w:t>
            </w:r>
          </w:p>
        </w:tc>
      </w:tr>
      <w:tr>
        <w:tblPrEx>
          <w:tblCellMar>
            <w:top w:w="0" w:type="dxa"/>
            <w:left w:w="108" w:type="dxa"/>
            <w:bottom w:w="0" w:type="dxa"/>
            <w:right w:w="108" w:type="dxa"/>
          </w:tblCellMar>
        </w:tblPrEx>
        <w:trPr>
          <w:trHeight w:val="324" w:hRule="atLeast"/>
        </w:trPr>
        <w:tc>
          <w:tcPr>
            <w:tcW w:w="368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 xml:space="preserve">    城市维护建设税</w:t>
            </w:r>
          </w:p>
        </w:tc>
        <w:tc>
          <w:tcPr>
            <w:tcW w:w="141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1</w:t>
            </w:r>
            <w:r>
              <w:rPr>
                <w:rFonts w:cs="宋体"/>
                <w:color w:val="0D0D0D" w:themeColor="text1" w:themeTint="F2"/>
                <w:kern w:val="0"/>
                <w:sz w:val="28"/>
                <w:szCs w:val="28"/>
                <w14:textFill>
                  <w14:solidFill>
                    <w14:schemeClr w14:val="tx1">
                      <w14:lumMod w14:val="95000"/>
                      <w14:lumOff w14:val="5000"/>
                    </w14:schemeClr>
                  </w14:solidFill>
                </w14:textFill>
              </w:rPr>
              <w:t>3</w:t>
            </w:r>
            <w:r>
              <w:rPr>
                <w:rFonts w:hint="eastAsia" w:cs="宋体"/>
                <w:color w:val="0D0D0D" w:themeColor="text1" w:themeTint="F2"/>
                <w:kern w:val="0"/>
                <w:sz w:val="28"/>
                <w:szCs w:val="28"/>
                <w14:textFill>
                  <w14:solidFill>
                    <w14:schemeClr w14:val="tx1">
                      <w14:lumMod w14:val="95000"/>
                      <w14:lumOff w14:val="5000"/>
                    </w14:schemeClr>
                  </w14:solidFill>
                </w14:textFill>
              </w:rPr>
              <w:t>,000</w:t>
            </w:r>
          </w:p>
        </w:tc>
        <w:tc>
          <w:tcPr>
            <w:tcW w:w="326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六、科学技术支出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208,907</w:t>
            </w:r>
          </w:p>
        </w:tc>
      </w:tr>
      <w:tr>
        <w:tblPrEx>
          <w:tblCellMar>
            <w:top w:w="0" w:type="dxa"/>
            <w:left w:w="108" w:type="dxa"/>
            <w:bottom w:w="0" w:type="dxa"/>
            <w:right w:w="108" w:type="dxa"/>
          </w:tblCellMar>
        </w:tblPrEx>
        <w:trPr>
          <w:trHeight w:val="324" w:hRule="atLeast"/>
        </w:trPr>
        <w:tc>
          <w:tcPr>
            <w:tcW w:w="368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 xml:space="preserve">    房产税</w:t>
            </w:r>
          </w:p>
        </w:tc>
        <w:tc>
          <w:tcPr>
            <w:tcW w:w="141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14,000</w:t>
            </w:r>
          </w:p>
        </w:tc>
        <w:tc>
          <w:tcPr>
            <w:tcW w:w="326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七、文化旅游体育与传媒支出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3,165</w:t>
            </w:r>
          </w:p>
        </w:tc>
      </w:tr>
      <w:tr>
        <w:tblPrEx>
          <w:tblCellMar>
            <w:top w:w="0" w:type="dxa"/>
            <w:left w:w="108" w:type="dxa"/>
            <w:bottom w:w="0" w:type="dxa"/>
            <w:right w:w="108" w:type="dxa"/>
          </w:tblCellMar>
        </w:tblPrEx>
        <w:trPr>
          <w:trHeight w:val="324" w:hRule="atLeast"/>
        </w:trPr>
        <w:tc>
          <w:tcPr>
            <w:tcW w:w="368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 xml:space="preserve">    印花税</w:t>
            </w:r>
          </w:p>
        </w:tc>
        <w:tc>
          <w:tcPr>
            <w:tcW w:w="141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1</w:t>
            </w:r>
            <w:r>
              <w:rPr>
                <w:rFonts w:cs="宋体"/>
                <w:color w:val="0D0D0D" w:themeColor="text1" w:themeTint="F2"/>
                <w:kern w:val="0"/>
                <w:sz w:val="28"/>
                <w:szCs w:val="28"/>
                <w14:textFill>
                  <w14:solidFill>
                    <w14:schemeClr w14:val="tx1">
                      <w14:lumMod w14:val="95000"/>
                      <w14:lumOff w14:val="5000"/>
                    </w14:schemeClr>
                  </w14:solidFill>
                </w14:textFill>
              </w:rPr>
              <w:t>2</w:t>
            </w:r>
            <w:r>
              <w:rPr>
                <w:rFonts w:hint="eastAsia" w:cs="宋体"/>
                <w:color w:val="0D0D0D" w:themeColor="text1" w:themeTint="F2"/>
                <w:kern w:val="0"/>
                <w:sz w:val="28"/>
                <w:szCs w:val="28"/>
                <w14:textFill>
                  <w14:solidFill>
                    <w14:schemeClr w14:val="tx1">
                      <w14:lumMod w14:val="95000"/>
                      <w14:lumOff w14:val="5000"/>
                    </w14:schemeClr>
                  </w14:solidFill>
                </w14:textFill>
              </w:rPr>
              <w:t>,000</w:t>
            </w:r>
          </w:p>
        </w:tc>
        <w:tc>
          <w:tcPr>
            <w:tcW w:w="326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八、社会保障和就业支出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52,106</w:t>
            </w:r>
          </w:p>
        </w:tc>
      </w:tr>
      <w:tr>
        <w:tblPrEx>
          <w:tblCellMar>
            <w:top w:w="0" w:type="dxa"/>
            <w:left w:w="108" w:type="dxa"/>
            <w:bottom w:w="0" w:type="dxa"/>
            <w:right w:w="108" w:type="dxa"/>
          </w:tblCellMar>
        </w:tblPrEx>
        <w:trPr>
          <w:trHeight w:val="324" w:hRule="atLeast"/>
        </w:trPr>
        <w:tc>
          <w:tcPr>
            <w:tcW w:w="368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 xml:space="preserve">    城镇土地使用税</w:t>
            </w:r>
          </w:p>
        </w:tc>
        <w:tc>
          <w:tcPr>
            <w:tcW w:w="141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2</w:t>
            </w:r>
            <w:r>
              <w:rPr>
                <w:rFonts w:cs="宋体"/>
                <w:color w:val="0D0D0D" w:themeColor="text1" w:themeTint="F2"/>
                <w:kern w:val="0"/>
                <w:sz w:val="28"/>
                <w:szCs w:val="28"/>
                <w14:textFill>
                  <w14:solidFill>
                    <w14:schemeClr w14:val="tx1">
                      <w14:lumMod w14:val="95000"/>
                      <w14:lumOff w14:val="5000"/>
                    </w14:schemeClr>
                  </w14:solidFill>
                </w14:textFill>
              </w:rPr>
              <w:t>6</w:t>
            </w:r>
            <w:r>
              <w:rPr>
                <w:rFonts w:hint="eastAsia" w:cs="宋体"/>
                <w:color w:val="0D0D0D" w:themeColor="text1" w:themeTint="F2"/>
                <w:kern w:val="0"/>
                <w:sz w:val="28"/>
                <w:szCs w:val="28"/>
                <w14:textFill>
                  <w14:solidFill>
                    <w14:schemeClr w14:val="tx1">
                      <w14:lumMod w14:val="95000"/>
                      <w14:lumOff w14:val="5000"/>
                    </w14:schemeClr>
                  </w14:solidFill>
                </w14:textFill>
              </w:rPr>
              <w:t>,000</w:t>
            </w:r>
          </w:p>
        </w:tc>
        <w:tc>
          <w:tcPr>
            <w:tcW w:w="326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九、卫生健康支出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29,586</w:t>
            </w:r>
          </w:p>
        </w:tc>
      </w:tr>
      <w:tr>
        <w:tblPrEx>
          <w:tblCellMar>
            <w:top w:w="0" w:type="dxa"/>
            <w:left w:w="108" w:type="dxa"/>
            <w:bottom w:w="0" w:type="dxa"/>
            <w:right w:w="108" w:type="dxa"/>
          </w:tblCellMar>
        </w:tblPrEx>
        <w:trPr>
          <w:trHeight w:val="324" w:hRule="atLeast"/>
        </w:trPr>
        <w:tc>
          <w:tcPr>
            <w:tcW w:w="368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 xml:space="preserve">    土地增值税</w:t>
            </w:r>
          </w:p>
        </w:tc>
        <w:tc>
          <w:tcPr>
            <w:tcW w:w="141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45,000</w:t>
            </w:r>
          </w:p>
        </w:tc>
        <w:tc>
          <w:tcPr>
            <w:tcW w:w="326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十、节能环保支出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18,668</w:t>
            </w:r>
          </w:p>
        </w:tc>
      </w:tr>
      <w:tr>
        <w:tblPrEx>
          <w:tblCellMar>
            <w:top w:w="0" w:type="dxa"/>
            <w:left w:w="108" w:type="dxa"/>
            <w:bottom w:w="0" w:type="dxa"/>
            <w:right w:w="108" w:type="dxa"/>
          </w:tblCellMar>
        </w:tblPrEx>
        <w:trPr>
          <w:trHeight w:val="324" w:hRule="atLeast"/>
        </w:trPr>
        <w:tc>
          <w:tcPr>
            <w:tcW w:w="368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 xml:space="preserve">    耕地占用税</w:t>
            </w:r>
          </w:p>
        </w:tc>
        <w:tc>
          <w:tcPr>
            <w:tcW w:w="141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1</w:t>
            </w:r>
            <w:r>
              <w:rPr>
                <w:rFonts w:cs="宋体"/>
                <w:color w:val="0D0D0D" w:themeColor="text1" w:themeTint="F2"/>
                <w:kern w:val="0"/>
                <w:sz w:val="28"/>
                <w:szCs w:val="28"/>
                <w14:textFill>
                  <w14:solidFill>
                    <w14:schemeClr w14:val="tx1">
                      <w14:lumMod w14:val="95000"/>
                      <w14:lumOff w14:val="5000"/>
                    </w14:schemeClr>
                  </w14:solidFill>
                </w14:textFill>
              </w:rPr>
              <w:t>3</w:t>
            </w:r>
            <w:r>
              <w:rPr>
                <w:rFonts w:hint="eastAsia" w:cs="宋体"/>
                <w:color w:val="0D0D0D" w:themeColor="text1" w:themeTint="F2"/>
                <w:kern w:val="0"/>
                <w:sz w:val="28"/>
                <w:szCs w:val="28"/>
                <w14:textFill>
                  <w14:solidFill>
                    <w14:schemeClr w14:val="tx1">
                      <w14:lumMod w14:val="95000"/>
                      <w14:lumOff w14:val="5000"/>
                    </w14:schemeClr>
                  </w14:solidFill>
                </w14:textFill>
              </w:rPr>
              <w:t>,000</w:t>
            </w:r>
          </w:p>
        </w:tc>
        <w:tc>
          <w:tcPr>
            <w:tcW w:w="326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十一、城乡社区支出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cs="宋体"/>
                <w:color w:val="0D0D0D" w:themeColor="text1" w:themeTint="F2"/>
                <w:kern w:val="0"/>
                <w:sz w:val="28"/>
                <w:szCs w:val="28"/>
                <w14:textFill>
                  <w14:solidFill>
                    <w14:schemeClr w14:val="tx1">
                      <w14:lumMod w14:val="95000"/>
                      <w14:lumOff w14:val="5000"/>
                    </w14:schemeClr>
                  </w14:solidFill>
                </w14:textFill>
              </w:rPr>
              <w:t>122</w:t>
            </w:r>
            <w:r>
              <w:rPr>
                <w:rFonts w:hint="eastAsia" w:cs="宋体"/>
                <w:color w:val="0D0D0D" w:themeColor="text1" w:themeTint="F2"/>
                <w:kern w:val="0"/>
                <w:sz w:val="28"/>
                <w:szCs w:val="28"/>
                <w14:textFill>
                  <w14:solidFill>
                    <w14:schemeClr w14:val="tx1">
                      <w14:lumMod w14:val="95000"/>
                      <w14:lumOff w14:val="5000"/>
                    </w14:schemeClr>
                  </w14:solidFill>
                </w14:textFill>
              </w:rPr>
              <w:t>,5</w:t>
            </w:r>
            <w:r>
              <w:rPr>
                <w:rFonts w:cs="宋体"/>
                <w:color w:val="0D0D0D" w:themeColor="text1" w:themeTint="F2"/>
                <w:kern w:val="0"/>
                <w:sz w:val="28"/>
                <w:szCs w:val="28"/>
                <w14:textFill>
                  <w14:solidFill>
                    <w14:schemeClr w14:val="tx1">
                      <w14:lumMod w14:val="95000"/>
                      <w14:lumOff w14:val="5000"/>
                    </w14:schemeClr>
                  </w14:solidFill>
                </w14:textFill>
              </w:rPr>
              <w:t>46</w:t>
            </w:r>
          </w:p>
        </w:tc>
      </w:tr>
      <w:tr>
        <w:tblPrEx>
          <w:tblCellMar>
            <w:top w:w="0" w:type="dxa"/>
            <w:left w:w="108" w:type="dxa"/>
            <w:bottom w:w="0" w:type="dxa"/>
            <w:right w:w="108" w:type="dxa"/>
          </w:tblCellMar>
        </w:tblPrEx>
        <w:trPr>
          <w:trHeight w:val="324" w:hRule="atLeast"/>
        </w:trPr>
        <w:tc>
          <w:tcPr>
            <w:tcW w:w="368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 xml:space="preserve">    契税</w:t>
            </w:r>
          </w:p>
        </w:tc>
        <w:tc>
          <w:tcPr>
            <w:tcW w:w="141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55,000</w:t>
            </w:r>
          </w:p>
        </w:tc>
        <w:tc>
          <w:tcPr>
            <w:tcW w:w="326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十二、农林水支出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12,528</w:t>
            </w:r>
          </w:p>
        </w:tc>
      </w:tr>
      <w:tr>
        <w:tblPrEx>
          <w:tblCellMar>
            <w:top w:w="0" w:type="dxa"/>
            <w:left w:w="108" w:type="dxa"/>
            <w:bottom w:w="0" w:type="dxa"/>
            <w:right w:w="108" w:type="dxa"/>
          </w:tblCellMar>
        </w:tblPrEx>
        <w:trPr>
          <w:trHeight w:val="324" w:hRule="atLeast"/>
        </w:trPr>
        <w:tc>
          <w:tcPr>
            <w:tcW w:w="368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 xml:space="preserve">    环境保护税</w:t>
            </w:r>
          </w:p>
        </w:tc>
        <w:tc>
          <w:tcPr>
            <w:tcW w:w="141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400</w:t>
            </w:r>
          </w:p>
        </w:tc>
        <w:tc>
          <w:tcPr>
            <w:tcW w:w="326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十三、交通运输支出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4,233</w:t>
            </w:r>
          </w:p>
        </w:tc>
      </w:tr>
      <w:tr>
        <w:tblPrEx>
          <w:tblCellMar>
            <w:top w:w="0" w:type="dxa"/>
            <w:left w:w="108" w:type="dxa"/>
            <w:bottom w:w="0" w:type="dxa"/>
            <w:right w:w="108" w:type="dxa"/>
          </w:tblCellMar>
        </w:tblPrEx>
        <w:trPr>
          <w:trHeight w:val="324" w:hRule="atLeast"/>
        </w:trPr>
        <w:tc>
          <w:tcPr>
            <w:tcW w:w="368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 xml:space="preserve">    其他税收收入</w:t>
            </w:r>
          </w:p>
        </w:tc>
        <w:tc>
          <w:tcPr>
            <w:tcW w:w="141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0</w:t>
            </w:r>
          </w:p>
        </w:tc>
        <w:tc>
          <w:tcPr>
            <w:tcW w:w="326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十四、资源勘探工业信息等支出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17,492</w:t>
            </w:r>
          </w:p>
        </w:tc>
      </w:tr>
      <w:tr>
        <w:tblPrEx>
          <w:tblCellMar>
            <w:top w:w="0" w:type="dxa"/>
            <w:left w:w="108" w:type="dxa"/>
            <w:bottom w:w="0" w:type="dxa"/>
            <w:right w:w="108" w:type="dxa"/>
          </w:tblCellMar>
        </w:tblPrEx>
        <w:trPr>
          <w:trHeight w:val="324" w:hRule="atLeast"/>
        </w:trPr>
        <w:tc>
          <w:tcPr>
            <w:tcW w:w="368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ind w:firstLine="0" w:firstLineChars="0"/>
              <w:jc w:val="left"/>
              <w:rPr>
                <w:rFonts w:cs="宋体"/>
                <w:b/>
                <w:bCs/>
                <w:color w:val="0D0D0D" w:themeColor="text1" w:themeTint="F2"/>
                <w:kern w:val="0"/>
                <w:sz w:val="28"/>
                <w:szCs w:val="28"/>
                <w14:textFill>
                  <w14:solidFill>
                    <w14:schemeClr w14:val="tx1">
                      <w14:lumMod w14:val="95000"/>
                      <w14:lumOff w14:val="5000"/>
                    </w14:schemeClr>
                  </w14:solidFill>
                </w14:textFill>
              </w:rPr>
            </w:pPr>
            <w:r>
              <w:rPr>
                <w:rFonts w:hint="eastAsia" w:cs="宋体"/>
                <w:b/>
                <w:bCs/>
                <w:color w:val="0D0D0D" w:themeColor="text1" w:themeTint="F2"/>
                <w:kern w:val="0"/>
                <w:sz w:val="28"/>
                <w:szCs w:val="28"/>
                <w14:textFill>
                  <w14:solidFill>
                    <w14:schemeClr w14:val="tx1">
                      <w14:lumMod w14:val="95000"/>
                      <w14:lumOff w14:val="5000"/>
                    </w14:schemeClr>
                  </w14:solidFill>
                </w14:textFill>
              </w:rPr>
              <w:t>二、非税收入</w:t>
            </w:r>
          </w:p>
        </w:tc>
        <w:tc>
          <w:tcPr>
            <w:tcW w:w="141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right"/>
              <w:rPr>
                <w:rFonts w:cs="宋体"/>
                <w:b/>
                <w:bCs/>
                <w:color w:val="0D0D0D" w:themeColor="text1" w:themeTint="F2"/>
                <w:kern w:val="0"/>
                <w:sz w:val="28"/>
                <w:szCs w:val="28"/>
                <w14:textFill>
                  <w14:solidFill>
                    <w14:schemeClr w14:val="tx1">
                      <w14:lumMod w14:val="95000"/>
                      <w14:lumOff w14:val="5000"/>
                    </w14:schemeClr>
                  </w14:solidFill>
                </w14:textFill>
              </w:rPr>
            </w:pPr>
            <w:r>
              <w:rPr>
                <w:rFonts w:cs="宋体"/>
                <w:b/>
                <w:bCs/>
                <w:color w:val="0D0D0D" w:themeColor="text1" w:themeTint="F2"/>
                <w:kern w:val="0"/>
                <w:sz w:val="28"/>
                <w:szCs w:val="28"/>
                <w14:textFill>
                  <w14:solidFill>
                    <w14:schemeClr w14:val="tx1">
                      <w14:lumMod w14:val="95000"/>
                      <w14:lumOff w14:val="5000"/>
                    </w14:schemeClr>
                  </w14:solidFill>
                </w14:textFill>
              </w:rPr>
              <w:t>53</w:t>
            </w:r>
            <w:r>
              <w:rPr>
                <w:rFonts w:hint="eastAsia" w:cs="宋体"/>
                <w:b/>
                <w:bCs/>
                <w:color w:val="0D0D0D" w:themeColor="text1" w:themeTint="F2"/>
                <w:kern w:val="0"/>
                <w:sz w:val="28"/>
                <w:szCs w:val="28"/>
                <w14:textFill>
                  <w14:solidFill>
                    <w14:schemeClr w14:val="tx1">
                      <w14:lumMod w14:val="95000"/>
                      <w14:lumOff w14:val="5000"/>
                    </w14:schemeClr>
                  </w14:solidFill>
                </w14:textFill>
              </w:rPr>
              <w:t>,000</w:t>
            </w:r>
          </w:p>
        </w:tc>
        <w:tc>
          <w:tcPr>
            <w:tcW w:w="326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十五、商业服务业等支出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4,832</w:t>
            </w:r>
          </w:p>
        </w:tc>
      </w:tr>
      <w:tr>
        <w:tblPrEx>
          <w:tblCellMar>
            <w:top w:w="0" w:type="dxa"/>
            <w:left w:w="108" w:type="dxa"/>
            <w:bottom w:w="0" w:type="dxa"/>
            <w:right w:w="108" w:type="dxa"/>
          </w:tblCellMar>
        </w:tblPrEx>
        <w:trPr>
          <w:trHeight w:val="324" w:hRule="atLeast"/>
        </w:trPr>
        <w:tc>
          <w:tcPr>
            <w:tcW w:w="368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 xml:space="preserve">    专项收入</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cs="宋体"/>
                <w:color w:val="0D0D0D" w:themeColor="text1" w:themeTint="F2"/>
                <w:kern w:val="0"/>
                <w:sz w:val="28"/>
                <w:szCs w:val="28"/>
                <w14:textFill>
                  <w14:solidFill>
                    <w14:schemeClr w14:val="tx1">
                      <w14:lumMod w14:val="95000"/>
                      <w14:lumOff w14:val="5000"/>
                    </w14:schemeClr>
                  </w14:solidFill>
                </w14:textFill>
              </w:rPr>
              <w:t>2</w:t>
            </w:r>
            <w:r>
              <w:rPr>
                <w:rFonts w:hint="eastAsia" w:cs="宋体"/>
                <w:color w:val="0D0D0D" w:themeColor="text1" w:themeTint="F2"/>
                <w:kern w:val="0"/>
                <w:sz w:val="28"/>
                <w:szCs w:val="28"/>
                <w14:textFill>
                  <w14:solidFill>
                    <w14:schemeClr w14:val="tx1">
                      <w14:lumMod w14:val="95000"/>
                      <w14:lumOff w14:val="5000"/>
                    </w14:schemeClr>
                  </w14:solidFill>
                </w14:textFill>
              </w:rPr>
              <w:t>6,000</w:t>
            </w:r>
          </w:p>
        </w:tc>
        <w:tc>
          <w:tcPr>
            <w:tcW w:w="326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十六、金融支出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368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 xml:space="preserve">    行政事业性收费收入</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1,500</w:t>
            </w:r>
          </w:p>
        </w:tc>
        <w:tc>
          <w:tcPr>
            <w:tcW w:w="326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十七、自然资源海洋气象等支出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9,606</w:t>
            </w:r>
          </w:p>
        </w:tc>
      </w:tr>
      <w:tr>
        <w:tblPrEx>
          <w:tblCellMar>
            <w:top w:w="0" w:type="dxa"/>
            <w:left w:w="108" w:type="dxa"/>
            <w:bottom w:w="0" w:type="dxa"/>
            <w:right w:w="108" w:type="dxa"/>
          </w:tblCellMar>
        </w:tblPrEx>
        <w:trPr>
          <w:trHeight w:val="324" w:hRule="atLeast"/>
        </w:trPr>
        <w:tc>
          <w:tcPr>
            <w:tcW w:w="368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 xml:space="preserve">    罚没收入</w:t>
            </w:r>
          </w:p>
        </w:tc>
        <w:tc>
          <w:tcPr>
            <w:tcW w:w="141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4,000</w:t>
            </w:r>
          </w:p>
        </w:tc>
        <w:tc>
          <w:tcPr>
            <w:tcW w:w="326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十八、住房保障支出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14,866</w:t>
            </w:r>
          </w:p>
        </w:tc>
      </w:tr>
      <w:tr>
        <w:tblPrEx>
          <w:tblCellMar>
            <w:top w:w="0" w:type="dxa"/>
            <w:left w:w="108" w:type="dxa"/>
            <w:bottom w:w="0" w:type="dxa"/>
            <w:right w:w="108" w:type="dxa"/>
          </w:tblCellMar>
        </w:tblPrEx>
        <w:trPr>
          <w:trHeight w:val="324" w:hRule="atLeast"/>
        </w:trPr>
        <w:tc>
          <w:tcPr>
            <w:tcW w:w="368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 xml:space="preserve">    国有资源（资产）有偿使用收入</w:t>
            </w:r>
          </w:p>
        </w:tc>
        <w:tc>
          <w:tcPr>
            <w:tcW w:w="141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cs="宋体"/>
                <w:color w:val="0D0D0D" w:themeColor="text1" w:themeTint="F2"/>
                <w:kern w:val="0"/>
                <w:sz w:val="28"/>
                <w:szCs w:val="28"/>
                <w14:textFill>
                  <w14:solidFill>
                    <w14:schemeClr w14:val="tx1">
                      <w14:lumMod w14:val="95000"/>
                      <w14:lumOff w14:val="5000"/>
                    </w14:schemeClr>
                  </w14:solidFill>
                </w14:textFill>
              </w:rPr>
              <w:t>21</w:t>
            </w:r>
            <w:r>
              <w:rPr>
                <w:rFonts w:hint="eastAsia" w:cs="宋体"/>
                <w:color w:val="0D0D0D" w:themeColor="text1" w:themeTint="F2"/>
                <w:kern w:val="0"/>
                <w:sz w:val="28"/>
                <w:szCs w:val="28"/>
                <w14:textFill>
                  <w14:solidFill>
                    <w14:schemeClr w14:val="tx1">
                      <w14:lumMod w14:val="95000"/>
                      <w14:lumOff w14:val="5000"/>
                    </w14:schemeClr>
                  </w14:solidFill>
                </w14:textFill>
              </w:rPr>
              <w:t>,500</w:t>
            </w:r>
          </w:p>
        </w:tc>
        <w:tc>
          <w:tcPr>
            <w:tcW w:w="326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十九、粮油物资储备支出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220</w:t>
            </w:r>
          </w:p>
        </w:tc>
      </w:tr>
      <w:tr>
        <w:tblPrEx>
          <w:tblCellMar>
            <w:top w:w="0" w:type="dxa"/>
            <w:left w:w="108" w:type="dxa"/>
            <w:bottom w:w="0" w:type="dxa"/>
            <w:right w:w="108" w:type="dxa"/>
          </w:tblCellMar>
        </w:tblPrEx>
        <w:trPr>
          <w:trHeight w:val="324" w:hRule="atLeast"/>
        </w:trPr>
        <w:tc>
          <w:tcPr>
            <w:tcW w:w="368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 xml:space="preserve">    捐赠收入</w:t>
            </w:r>
          </w:p>
        </w:tc>
        <w:tc>
          <w:tcPr>
            <w:tcW w:w="141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　</w:t>
            </w:r>
          </w:p>
        </w:tc>
        <w:tc>
          <w:tcPr>
            <w:tcW w:w="326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二十、灾害防治及应急管理支出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1,</w:t>
            </w:r>
            <w:r>
              <w:rPr>
                <w:rFonts w:cs="宋体"/>
                <w:color w:val="0D0D0D" w:themeColor="text1" w:themeTint="F2"/>
                <w:kern w:val="0"/>
                <w:sz w:val="28"/>
                <w:szCs w:val="28"/>
                <w14:textFill>
                  <w14:solidFill>
                    <w14:schemeClr w14:val="tx1">
                      <w14:lumMod w14:val="95000"/>
                      <w14:lumOff w14:val="5000"/>
                    </w14:schemeClr>
                  </w14:solidFill>
                </w14:textFill>
              </w:rPr>
              <w:t>70</w:t>
            </w:r>
            <w:r>
              <w:rPr>
                <w:rFonts w:hint="eastAsia" w:cs="宋体"/>
                <w:color w:val="0D0D0D" w:themeColor="text1" w:themeTint="F2"/>
                <w:kern w:val="0"/>
                <w:sz w:val="28"/>
                <w:szCs w:val="28"/>
                <w14:textFill>
                  <w14:solidFill>
                    <w14:schemeClr w14:val="tx1">
                      <w14:lumMod w14:val="95000"/>
                      <w14:lumOff w14:val="5000"/>
                    </w14:schemeClr>
                  </w14:solidFill>
                </w14:textFill>
              </w:rPr>
              <w:t>4</w:t>
            </w:r>
          </w:p>
        </w:tc>
      </w:tr>
      <w:tr>
        <w:tblPrEx>
          <w:tblCellMar>
            <w:top w:w="0" w:type="dxa"/>
            <w:left w:w="108" w:type="dxa"/>
            <w:bottom w:w="0" w:type="dxa"/>
            <w:right w:w="108" w:type="dxa"/>
          </w:tblCellMar>
        </w:tblPrEx>
        <w:trPr>
          <w:trHeight w:val="324" w:hRule="atLeast"/>
        </w:trPr>
        <w:tc>
          <w:tcPr>
            <w:tcW w:w="368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 xml:space="preserve">    其他收入</w:t>
            </w:r>
          </w:p>
        </w:tc>
        <w:tc>
          <w:tcPr>
            <w:tcW w:w="141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　</w:t>
            </w:r>
          </w:p>
        </w:tc>
        <w:tc>
          <w:tcPr>
            <w:tcW w:w="326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二十一、预备费</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10,000</w:t>
            </w:r>
          </w:p>
        </w:tc>
      </w:tr>
      <w:tr>
        <w:tblPrEx>
          <w:tblCellMar>
            <w:top w:w="0" w:type="dxa"/>
            <w:left w:w="108" w:type="dxa"/>
            <w:bottom w:w="0" w:type="dxa"/>
            <w:right w:w="108" w:type="dxa"/>
          </w:tblCellMar>
        </w:tblPrEx>
        <w:trPr>
          <w:trHeight w:val="324" w:hRule="atLeast"/>
        </w:trPr>
        <w:tc>
          <w:tcPr>
            <w:tcW w:w="368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　</w:t>
            </w:r>
          </w:p>
        </w:tc>
        <w:tc>
          <w:tcPr>
            <w:tcW w:w="141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　</w:t>
            </w:r>
          </w:p>
        </w:tc>
        <w:tc>
          <w:tcPr>
            <w:tcW w:w="326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二十二、其他支出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368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　</w:t>
            </w:r>
          </w:p>
        </w:tc>
        <w:tc>
          <w:tcPr>
            <w:tcW w:w="141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　</w:t>
            </w:r>
          </w:p>
        </w:tc>
        <w:tc>
          <w:tcPr>
            <w:tcW w:w="326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二十三、债务付息支出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25,000</w:t>
            </w:r>
          </w:p>
        </w:tc>
      </w:tr>
      <w:tr>
        <w:tblPrEx>
          <w:tblCellMar>
            <w:top w:w="0" w:type="dxa"/>
            <w:left w:w="108" w:type="dxa"/>
            <w:bottom w:w="0" w:type="dxa"/>
            <w:right w:w="108" w:type="dxa"/>
          </w:tblCellMar>
        </w:tblPrEx>
        <w:trPr>
          <w:trHeight w:val="324" w:hRule="atLeast"/>
        </w:trPr>
        <w:tc>
          <w:tcPr>
            <w:tcW w:w="368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　</w:t>
            </w:r>
          </w:p>
        </w:tc>
        <w:tc>
          <w:tcPr>
            <w:tcW w:w="141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　</w:t>
            </w:r>
          </w:p>
        </w:tc>
        <w:tc>
          <w:tcPr>
            <w:tcW w:w="326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二十四、债务发行费用支出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3686"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ind w:firstLine="0" w:firstLineChars="0"/>
              <w:jc w:val="left"/>
              <w:rPr>
                <w:rFonts w:cs="宋体"/>
                <w:b/>
                <w:bCs/>
                <w:color w:val="0D0D0D" w:themeColor="text1" w:themeTint="F2"/>
                <w:kern w:val="0"/>
                <w:sz w:val="28"/>
                <w:szCs w:val="28"/>
                <w14:textFill>
                  <w14:solidFill>
                    <w14:schemeClr w14:val="tx1">
                      <w14:lumMod w14:val="95000"/>
                      <w14:lumOff w14:val="5000"/>
                    </w14:schemeClr>
                  </w14:solidFill>
                </w14:textFill>
              </w:rPr>
            </w:pPr>
            <w:r>
              <w:rPr>
                <w:rFonts w:hint="eastAsia" w:cs="宋体"/>
                <w:b/>
                <w:bCs/>
                <w:color w:val="0D0D0D" w:themeColor="text1" w:themeTint="F2"/>
                <w:kern w:val="0"/>
                <w:sz w:val="28"/>
                <w:szCs w:val="28"/>
                <w14:textFill>
                  <w14:solidFill>
                    <w14:schemeClr w14:val="tx1">
                      <w14:lumMod w14:val="95000"/>
                      <w14:lumOff w14:val="5000"/>
                    </w14:schemeClr>
                  </w14:solidFill>
                </w14:textFill>
              </w:rPr>
              <w:t>转移性收入合计</w:t>
            </w:r>
          </w:p>
        </w:tc>
        <w:tc>
          <w:tcPr>
            <w:tcW w:w="141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right"/>
              <w:rPr>
                <w:rFonts w:cs="宋体"/>
                <w:b/>
                <w:bCs/>
                <w:color w:val="0D0D0D" w:themeColor="text1" w:themeTint="F2"/>
                <w:kern w:val="0"/>
                <w:sz w:val="28"/>
                <w:szCs w:val="28"/>
                <w14:textFill>
                  <w14:solidFill>
                    <w14:schemeClr w14:val="tx1">
                      <w14:lumMod w14:val="95000"/>
                      <w14:lumOff w14:val="5000"/>
                    </w14:schemeClr>
                  </w14:solidFill>
                </w14:textFill>
              </w:rPr>
            </w:pPr>
            <w:r>
              <w:rPr>
                <w:rFonts w:hint="eastAsia" w:cs="宋体"/>
                <w:b/>
                <w:bCs/>
                <w:color w:val="0D0D0D" w:themeColor="text1" w:themeTint="F2"/>
                <w:kern w:val="0"/>
                <w:sz w:val="28"/>
                <w:szCs w:val="28"/>
                <w14:textFill>
                  <w14:solidFill>
                    <w14:schemeClr w14:val="tx1">
                      <w14:lumMod w14:val="95000"/>
                      <w14:lumOff w14:val="5000"/>
                    </w14:schemeClr>
                  </w14:solidFill>
                </w14:textFill>
              </w:rPr>
              <w:t>5</w:t>
            </w:r>
            <w:r>
              <w:rPr>
                <w:rFonts w:cs="宋体"/>
                <w:b/>
                <w:bCs/>
                <w:color w:val="0D0D0D" w:themeColor="text1" w:themeTint="F2"/>
                <w:kern w:val="0"/>
                <w:sz w:val="28"/>
                <w:szCs w:val="28"/>
                <w14:textFill>
                  <w14:solidFill>
                    <w14:schemeClr w14:val="tx1">
                      <w14:lumMod w14:val="95000"/>
                      <w14:lumOff w14:val="5000"/>
                    </w14:schemeClr>
                  </w14:solidFill>
                </w14:textFill>
              </w:rPr>
              <w:t>42</w:t>
            </w:r>
            <w:r>
              <w:rPr>
                <w:rFonts w:hint="eastAsia" w:cs="宋体"/>
                <w:b/>
                <w:bCs/>
                <w:color w:val="0D0D0D" w:themeColor="text1" w:themeTint="F2"/>
                <w:kern w:val="0"/>
                <w:sz w:val="28"/>
                <w:szCs w:val="28"/>
                <w14:textFill>
                  <w14:solidFill>
                    <w14:schemeClr w14:val="tx1">
                      <w14:lumMod w14:val="95000"/>
                      <w14:lumOff w14:val="5000"/>
                    </w14:schemeClr>
                  </w14:solidFill>
                </w14:textFill>
              </w:rPr>
              <w:t>,1</w:t>
            </w:r>
            <w:r>
              <w:rPr>
                <w:rFonts w:cs="宋体"/>
                <w:b/>
                <w:bCs/>
                <w:color w:val="0D0D0D" w:themeColor="text1" w:themeTint="F2"/>
                <w:kern w:val="0"/>
                <w:sz w:val="28"/>
                <w:szCs w:val="28"/>
                <w14:textFill>
                  <w14:solidFill>
                    <w14:schemeClr w14:val="tx1">
                      <w14:lumMod w14:val="95000"/>
                      <w14:lumOff w14:val="5000"/>
                    </w14:schemeClr>
                  </w14:solidFill>
                </w14:textFill>
              </w:rPr>
              <w:t>75</w:t>
            </w:r>
          </w:p>
        </w:tc>
        <w:tc>
          <w:tcPr>
            <w:tcW w:w="3261"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left"/>
              <w:rPr>
                <w:rFonts w:cs="宋体"/>
                <w:b/>
                <w:bCs/>
                <w:color w:val="0D0D0D" w:themeColor="text1" w:themeTint="F2"/>
                <w:kern w:val="0"/>
                <w:sz w:val="28"/>
                <w:szCs w:val="28"/>
                <w14:textFill>
                  <w14:solidFill>
                    <w14:schemeClr w14:val="tx1">
                      <w14:lumMod w14:val="95000"/>
                      <w14:lumOff w14:val="5000"/>
                    </w14:schemeClr>
                  </w14:solidFill>
                </w14:textFill>
              </w:rPr>
            </w:pPr>
            <w:r>
              <w:rPr>
                <w:rFonts w:hint="eastAsia" w:cs="宋体"/>
                <w:b/>
                <w:bCs/>
                <w:color w:val="0D0D0D" w:themeColor="text1" w:themeTint="F2"/>
                <w:kern w:val="0"/>
                <w:sz w:val="28"/>
                <w:szCs w:val="28"/>
                <w14:textFill>
                  <w14:solidFill>
                    <w14:schemeClr w14:val="tx1">
                      <w14:lumMod w14:val="95000"/>
                      <w14:lumOff w14:val="5000"/>
                    </w14:schemeClr>
                  </w14:solidFill>
                </w14:textFill>
              </w:rPr>
              <w:t>转移性支出合计</w:t>
            </w:r>
          </w:p>
        </w:tc>
        <w:tc>
          <w:tcPr>
            <w:tcW w:w="1134"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right"/>
              <w:rPr>
                <w:rFonts w:cs="宋体"/>
                <w:b/>
                <w:bCs/>
                <w:color w:val="0D0D0D" w:themeColor="text1" w:themeTint="F2"/>
                <w:kern w:val="0"/>
                <w:sz w:val="28"/>
                <w:szCs w:val="28"/>
                <w14:textFill>
                  <w14:solidFill>
                    <w14:schemeClr w14:val="tx1">
                      <w14:lumMod w14:val="95000"/>
                      <w14:lumOff w14:val="5000"/>
                    </w14:schemeClr>
                  </w14:solidFill>
                </w14:textFill>
              </w:rPr>
            </w:pPr>
            <w:r>
              <w:rPr>
                <w:rFonts w:hint="eastAsia" w:cs="宋体"/>
                <w:b/>
                <w:bCs/>
                <w:color w:val="0D0D0D" w:themeColor="text1" w:themeTint="F2"/>
                <w:kern w:val="0"/>
                <w:sz w:val="28"/>
                <w:szCs w:val="28"/>
                <w14:textFill>
                  <w14:solidFill>
                    <w14:schemeClr w14:val="tx1">
                      <w14:lumMod w14:val="95000"/>
                      <w14:lumOff w14:val="5000"/>
                    </w14:schemeClr>
                  </w14:solidFill>
                </w14:textFill>
              </w:rPr>
              <w:t>30,452</w:t>
            </w:r>
          </w:p>
        </w:tc>
      </w:tr>
      <w:tr>
        <w:tblPrEx>
          <w:tblCellMar>
            <w:top w:w="0" w:type="dxa"/>
            <w:left w:w="108" w:type="dxa"/>
            <w:bottom w:w="0" w:type="dxa"/>
            <w:right w:w="108" w:type="dxa"/>
          </w:tblCellMar>
        </w:tblPrEx>
        <w:trPr>
          <w:trHeight w:val="324" w:hRule="atLeast"/>
        </w:trPr>
        <w:tc>
          <w:tcPr>
            <w:tcW w:w="368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一、上级补助收入</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13</w:t>
            </w:r>
            <w:r>
              <w:rPr>
                <w:rFonts w:cs="宋体"/>
                <w:color w:val="0D0D0D" w:themeColor="text1" w:themeTint="F2"/>
                <w:kern w:val="0"/>
                <w:sz w:val="28"/>
                <w:szCs w:val="28"/>
                <w14:textFill>
                  <w14:solidFill>
                    <w14:schemeClr w14:val="tx1">
                      <w14:lumMod w14:val="95000"/>
                      <w14:lumOff w14:val="5000"/>
                    </w14:schemeClr>
                  </w14:solidFill>
                </w14:textFill>
              </w:rPr>
              <w:t>5</w:t>
            </w:r>
            <w:r>
              <w:rPr>
                <w:rFonts w:hint="eastAsia" w:cs="宋体"/>
                <w:color w:val="0D0D0D" w:themeColor="text1" w:themeTint="F2"/>
                <w:kern w:val="0"/>
                <w:sz w:val="28"/>
                <w:szCs w:val="28"/>
                <w14:textFill>
                  <w14:solidFill>
                    <w14:schemeClr w14:val="tx1">
                      <w14:lumMod w14:val="95000"/>
                      <w14:lumOff w14:val="5000"/>
                    </w14:schemeClr>
                  </w14:solidFill>
                </w14:textFill>
              </w:rPr>
              <w:t>,</w:t>
            </w:r>
            <w:r>
              <w:rPr>
                <w:rFonts w:cs="宋体"/>
                <w:color w:val="0D0D0D" w:themeColor="text1" w:themeTint="F2"/>
                <w:kern w:val="0"/>
                <w:sz w:val="28"/>
                <w:szCs w:val="28"/>
                <w14:textFill>
                  <w14:solidFill>
                    <w14:schemeClr w14:val="tx1">
                      <w14:lumMod w14:val="95000"/>
                      <w14:lumOff w14:val="5000"/>
                    </w14:schemeClr>
                  </w14:solidFill>
                </w14:textFill>
              </w:rPr>
              <w:t>697</w:t>
            </w:r>
          </w:p>
        </w:tc>
        <w:tc>
          <w:tcPr>
            <w:tcW w:w="326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一、上解上级支出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10,452</w:t>
            </w:r>
          </w:p>
        </w:tc>
      </w:tr>
      <w:tr>
        <w:tblPrEx>
          <w:tblCellMar>
            <w:top w:w="0" w:type="dxa"/>
            <w:left w:w="108" w:type="dxa"/>
            <w:bottom w:w="0" w:type="dxa"/>
            <w:right w:w="108" w:type="dxa"/>
          </w:tblCellMar>
        </w:tblPrEx>
        <w:trPr>
          <w:trHeight w:val="324" w:hRule="atLeast"/>
        </w:trPr>
        <w:tc>
          <w:tcPr>
            <w:tcW w:w="368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二、动用预算稳定调节基金</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51,</w:t>
            </w:r>
            <w:r>
              <w:rPr>
                <w:rFonts w:cs="宋体"/>
                <w:color w:val="0D0D0D" w:themeColor="text1" w:themeTint="F2"/>
                <w:kern w:val="0"/>
                <w:sz w:val="28"/>
                <w:szCs w:val="28"/>
                <w14:textFill>
                  <w14:solidFill>
                    <w14:schemeClr w14:val="tx1">
                      <w14:lumMod w14:val="95000"/>
                      <w14:lumOff w14:val="5000"/>
                    </w14:schemeClr>
                  </w14:solidFill>
                </w14:textFill>
              </w:rPr>
              <w:t>740</w:t>
            </w:r>
          </w:p>
        </w:tc>
        <w:tc>
          <w:tcPr>
            <w:tcW w:w="326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二、债务还本支出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20,000</w:t>
            </w:r>
          </w:p>
        </w:tc>
      </w:tr>
      <w:tr>
        <w:tblPrEx>
          <w:tblCellMar>
            <w:top w:w="0" w:type="dxa"/>
            <w:left w:w="108" w:type="dxa"/>
            <w:bottom w:w="0" w:type="dxa"/>
            <w:right w:w="108" w:type="dxa"/>
          </w:tblCellMar>
        </w:tblPrEx>
        <w:trPr>
          <w:trHeight w:val="324" w:hRule="atLeast"/>
        </w:trPr>
        <w:tc>
          <w:tcPr>
            <w:tcW w:w="368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三、调入资金</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295,228</w:t>
            </w:r>
          </w:p>
        </w:tc>
        <w:tc>
          <w:tcPr>
            <w:tcW w:w="326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等线" w:cs="宋体"/>
                <w:color w:val="0D0D0D" w:themeColor="text1" w:themeTint="F2"/>
                <w:kern w:val="0"/>
                <w:sz w:val="28"/>
                <w:szCs w:val="28"/>
                <w14:textFill>
                  <w14:solidFill>
                    <w14:schemeClr w14:val="tx1">
                      <w14:lumMod w14:val="95000"/>
                      <w14:lumOff w14:val="5000"/>
                    </w14:schemeClr>
                  </w14:solidFill>
                </w14:textFill>
              </w:rPr>
            </w:pPr>
            <w:r>
              <w:rPr>
                <w:rFonts w:hint="eastAsia" w:hAnsi="等线" w:eastAsia="等线" w:cs="宋体"/>
                <w:color w:val="0D0D0D" w:themeColor="text1" w:themeTint="F2"/>
                <w:kern w:val="0"/>
                <w:sz w:val="28"/>
                <w:szCs w:val="28"/>
                <w14:textFill>
                  <w14:solidFill>
                    <w14:schemeClr w14:val="tx1">
                      <w14:lumMod w14:val="95000"/>
                      <w14:lumOff w14:val="5000"/>
                    </w14:schemeClr>
                  </w14:solidFill>
                </w14:textFill>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等线" w:cs="宋体"/>
                <w:color w:val="0D0D0D" w:themeColor="text1" w:themeTint="F2"/>
                <w:kern w:val="0"/>
                <w:sz w:val="28"/>
                <w:szCs w:val="28"/>
                <w14:textFill>
                  <w14:solidFill>
                    <w14:schemeClr w14:val="tx1">
                      <w14:lumMod w14:val="95000"/>
                      <w14:lumOff w14:val="5000"/>
                    </w14:schemeClr>
                  </w14:solidFill>
                </w14:textFill>
              </w:rPr>
            </w:pPr>
            <w:r>
              <w:rPr>
                <w:rFonts w:hint="eastAsia" w:hAnsi="等线" w:eastAsia="等线" w:cs="宋体"/>
                <w:color w:val="0D0D0D" w:themeColor="text1" w:themeTint="F2"/>
                <w:kern w:val="0"/>
                <w:sz w:val="28"/>
                <w:szCs w:val="28"/>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368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四、债务转贷收入</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20,000</w:t>
            </w:r>
          </w:p>
        </w:tc>
        <w:tc>
          <w:tcPr>
            <w:tcW w:w="326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等线" w:cs="宋体"/>
                <w:color w:val="0D0D0D" w:themeColor="text1" w:themeTint="F2"/>
                <w:kern w:val="0"/>
                <w:sz w:val="28"/>
                <w:szCs w:val="28"/>
                <w14:textFill>
                  <w14:solidFill>
                    <w14:schemeClr w14:val="tx1">
                      <w14:lumMod w14:val="95000"/>
                      <w14:lumOff w14:val="5000"/>
                    </w14:schemeClr>
                  </w14:solidFill>
                </w14:textFill>
              </w:rPr>
            </w:pPr>
            <w:r>
              <w:rPr>
                <w:rFonts w:hint="eastAsia" w:hAnsi="等线" w:eastAsia="等线" w:cs="宋体"/>
                <w:color w:val="0D0D0D" w:themeColor="text1" w:themeTint="F2"/>
                <w:kern w:val="0"/>
                <w:sz w:val="28"/>
                <w:szCs w:val="28"/>
                <w14:textFill>
                  <w14:solidFill>
                    <w14:schemeClr w14:val="tx1">
                      <w14:lumMod w14:val="95000"/>
                      <w14:lumOff w14:val="5000"/>
                    </w14:schemeClr>
                  </w14:solidFill>
                </w14:textFill>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等线" w:cs="宋体"/>
                <w:color w:val="0D0D0D" w:themeColor="text1" w:themeTint="F2"/>
                <w:kern w:val="0"/>
                <w:sz w:val="28"/>
                <w:szCs w:val="28"/>
                <w14:textFill>
                  <w14:solidFill>
                    <w14:schemeClr w14:val="tx1">
                      <w14:lumMod w14:val="95000"/>
                      <w14:lumOff w14:val="5000"/>
                    </w14:schemeClr>
                  </w14:solidFill>
                </w14:textFill>
              </w:rPr>
            </w:pPr>
            <w:r>
              <w:rPr>
                <w:rFonts w:hint="eastAsia" w:hAnsi="等线" w:eastAsia="等线" w:cs="宋体"/>
                <w:color w:val="0D0D0D" w:themeColor="text1" w:themeTint="F2"/>
                <w:kern w:val="0"/>
                <w:sz w:val="28"/>
                <w:szCs w:val="28"/>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368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五、上年结转</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39,</w:t>
            </w:r>
            <w:r>
              <w:rPr>
                <w:rFonts w:cs="宋体"/>
                <w:color w:val="0D0D0D" w:themeColor="text1" w:themeTint="F2"/>
                <w:kern w:val="0"/>
                <w:sz w:val="28"/>
                <w:szCs w:val="28"/>
                <w14:textFill>
                  <w14:solidFill>
                    <w14:schemeClr w14:val="tx1">
                      <w14:lumMod w14:val="95000"/>
                      <w14:lumOff w14:val="5000"/>
                    </w14:schemeClr>
                  </w14:solidFill>
                </w14:textFill>
              </w:rPr>
              <w:t>510</w:t>
            </w:r>
          </w:p>
        </w:tc>
        <w:tc>
          <w:tcPr>
            <w:tcW w:w="326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　</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　</w:t>
            </w:r>
          </w:p>
        </w:tc>
      </w:tr>
    </w:tbl>
    <w:p>
      <w:pPr>
        <w:ind w:firstLine="627" w:firstLineChars="196"/>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一般公共预算收入</w:t>
      </w:r>
      <w:r>
        <w:rPr>
          <w:color w:val="0D0D0D" w:themeColor="text1" w:themeTint="F2"/>
          <w14:textFill>
            <w14:solidFill>
              <w14:schemeClr w14:val="tx1">
                <w14:lumMod w14:val="95000"/>
                <w14:lumOff w14:val="5000"/>
              </w14:schemeClr>
            </w14:solidFill>
          </w14:textFill>
        </w:rPr>
        <w:t>32.4</w:t>
      </w:r>
      <w:r>
        <w:rPr>
          <w:rFonts w:hint="eastAsia"/>
          <w:color w:val="0D0D0D" w:themeColor="text1" w:themeTint="F2"/>
          <w14:textFill>
            <w14:solidFill>
              <w14:schemeClr w14:val="tx1">
                <w14:lumMod w14:val="95000"/>
                <w14:lumOff w14:val="5000"/>
              </w14:schemeClr>
            </w14:solidFill>
          </w14:textFill>
        </w:rPr>
        <w:t>亿元，同比增长</w:t>
      </w:r>
      <w:r>
        <w:rPr>
          <w:color w:val="0D0D0D" w:themeColor="text1" w:themeTint="F2"/>
          <w14:textFill>
            <w14:solidFill>
              <w14:schemeClr w14:val="tx1">
                <w14:lumMod w14:val="95000"/>
                <w14:lumOff w14:val="5000"/>
              </w14:schemeClr>
            </w14:solidFill>
          </w14:textFill>
        </w:rPr>
        <w:t>10</w:t>
      </w:r>
      <w:r>
        <w:rPr>
          <w:rFonts w:hint="eastAsia"/>
          <w:color w:val="0D0D0D" w:themeColor="text1" w:themeTint="F2"/>
          <w14:textFill>
            <w14:solidFill>
              <w14:schemeClr w14:val="tx1">
                <w14:lumMod w14:val="95000"/>
                <w14:lumOff w14:val="5000"/>
              </w14:schemeClr>
            </w14:solidFill>
          </w14:textFill>
        </w:rPr>
        <w:t>%。其中：税收收入</w:t>
      </w:r>
      <w:r>
        <w:rPr>
          <w:color w:val="0D0D0D" w:themeColor="text1" w:themeTint="F2"/>
          <w14:textFill>
            <w14:solidFill>
              <w14:schemeClr w14:val="tx1">
                <w14:lumMod w14:val="95000"/>
                <w14:lumOff w14:val="5000"/>
              </w14:schemeClr>
            </w14:solidFill>
          </w14:textFill>
        </w:rPr>
        <w:t>27.1</w:t>
      </w:r>
      <w:r>
        <w:rPr>
          <w:rFonts w:hint="eastAsia"/>
          <w:color w:val="0D0D0D" w:themeColor="text1" w:themeTint="F2"/>
          <w14:textFill>
            <w14:solidFill>
              <w14:schemeClr w14:val="tx1">
                <w14:lumMod w14:val="95000"/>
                <w14:lumOff w14:val="5000"/>
              </w14:schemeClr>
            </w14:solidFill>
          </w14:textFill>
        </w:rPr>
        <w:t>亿元，同比增长</w:t>
      </w:r>
      <w:r>
        <w:rPr>
          <w:color w:val="0D0D0D" w:themeColor="text1" w:themeTint="F2"/>
          <w14:textFill>
            <w14:solidFill>
              <w14:schemeClr w14:val="tx1">
                <w14:lumMod w14:val="95000"/>
                <w14:lumOff w14:val="5000"/>
              </w14:schemeClr>
            </w14:solidFill>
          </w14:textFill>
        </w:rPr>
        <w:t>19.9</w:t>
      </w:r>
      <w:r>
        <w:rPr>
          <w:rFonts w:hint="eastAsia"/>
          <w:color w:val="0D0D0D" w:themeColor="text1" w:themeTint="F2"/>
          <w14:textFill>
            <w14:solidFill>
              <w14:schemeClr w14:val="tx1">
                <w14:lumMod w14:val="95000"/>
                <w14:lumOff w14:val="5000"/>
              </w14:schemeClr>
            </w14:solidFill>
          </w14:textFill>
        </w:rPr>
        <w:t>%；非税收入</w:t>
      </w:r>
      <w:r>
        <w:rPr>
          <w:color w:val="0D0D0D" w:themeColor="text1" w:themeTint="F2"/>
          <w14:textFill>
            <w14:solidFill>
              <w14:schemeClr w14:val="tx1">
                <w14:lumMod w14:val="95000"/>
                <w14:lumOff w14:val="5000"/>
              </w14:schemeClr>
            </w14:solidFill>
          </w14:textFill>
        </w:rPr>
        <w:t>5.3</w:t>
      </w:r>
      <w:r>
        <w:rPr>
          <w:rFonts w:hint="eastAsia"/>
          <w:color w:val="0D0D0D" w:themeColor="text1" w:themeTint="F2"/>
          <w14:textFill>
            <w14:solidFill>
              <w14:schemeClr w14:val="tx1">
                <w14:lumMod w14:val="95000"/>
                <w14:lumOff w14:val="5000"/>
              </w14:schemeClr>
            </w14:solidFill>
          </w14:textFill>
        </w:rPr>
        <w:t>亿元，同比下降</w:t>
      </w:r>
      <w:r>
        <w:rPr>
          <w:color w:val="0D0D0D" w:themeColor="text1" w:themeTint="F2"/>
          <w14:textFill>
            <w14:solidFill>
              <w14:schemeClr w14:val="tx1">
                <w14:lumMod w14:val="95000"/>
                <w14:lumOff w14:val="5000"/>
              </w14:schemeClr>
            </w14:solidFill>
          </w14:textFill>
        </w:rPr>
        <w:t>22</w:t>
      </w:r>
      <w:r>
        <w:rPr>
          <w:rFonts w:hint="eastAsia"/>
          <w:color w:val="0D0D0D" w:themeColor="text1" w:themeTint="F2"/>
          <w14:textFill>
            <w14:solidFill>
              <w14:schemeClr w14:val="tx1">
                <w14:lumMod w14:val="95000"/>
                <w14:lumOff w14:val="5000"/>
              </w14:schemeClr>
            </w14:solidFill>
          </w14:textFill>
        </w:rPr>
        <w:t>%。一般公共预算收入加上级补助</w:t>
      </w:r>
      <w:r>
        <w:rPr>
          <w:color w:val="0D0D0D" w:themeColor="text1" w:themeTint="F2"/>
          <w14:textFill>
            <w14:solidFill>
              <w14:schemeClr w14:val="tx1">
                <w14:lumMod w14:val="95000"/>
                <w14:lumOff w14:val="5000"/>
              </w14:schemeClr>
            </w14:solidFill>
          </w14:textFill>
        </w:rPr>
        <w:t>13.6</w:t>
      </w:r>
      <w:r>
        <w:rPr>
          <w:rFonts w:hint="eastAsia"/>
          <w:color w:val="0D0D0D" w:themeColor="text1" w:themeTint="F2"/>
          <w14:textFill>
            <w14:solidFill>
              <w14:schemeClr w14:val="tx1">
                <w14:lumMod w14:val="95000"/>
                <w14:lumOff w14:val="5000"/>
              </w14:schemeClr>
            </w14:solidFill>
          </w14:textFill>
        </w:rPr>
        <w:t>亿元、动用预算稳定调节基金5</w:t>
      </w:r>
      <w:r>
        <w:rPr>
          <w:color w:val="0D0D0D" w:themeColor="text1" w:themeTint="F2"/>
          <w14:textFill>
            <w14:solidFill>
              <w14:schemeClr w14:val="tx1">
                <w14:lumMod w14:val="95000"/>
                <w14:lumOff w14:val="5000"/>
              </w14:schemeClr>
            </w14:solidFill>
          </w14:textFill>
        </w:rPr>
        <w:t>.1</w:t>
      </w:r>
      <w:r>
        <w:rPr>
          <w:rFonts w:hint="eastAsia"/>
          <w:color w:val="0D0D0D" w:themeColor="text1" w:themeTint="F2"/>
          <w14:textFill>
            <w14:solidFill>
              <w14:schemeClr w14:val="tx1">
                <w14:lumMod w14:val="95000"/>
                <w14:lumOff w14:val="5000"/>
              </w14:schemeClr>
            </w14:solidFill>
          </w14:textFill>
        </w:rPr>
        <w:t>亿元、上年结转</w:t>
      </w:r>
      <w:r>
        <w:rPr>
          <w:color w:val="0D0D0D" w:themeColor="text1" w:themeTint="F2"/>
          <w14:textFill>
            <w14:solidFill>
              <w14:schemeClr w14:val="tx1">
                <w14:lumMod w14:val="95000"/>
                <w14:lumOff w14:val="5000"/>
              </w14:schemeClr>
            </w14:solidFill>
          </w14:textFill>
        </w:rPr>
        <w:t>4</w:t>
      </w:r>
      <w:r>
        <w:rPr>
          <w:rFonts w:hint="eastAsia"/>
          <w:color w:val="0D0D0D" w:themeColor="text1" w:themeTint="F2"/>
          <w14:textFill>
            <w14:solidFill>
              <w14:schemeClr w14:val="tx1">
                <w14:lumMod w14:val="95000"/>
                <w14:lumOff w14:val="5000"/>
              </w14:schemeClr>
            </w14:solidFill>
          </w14:textFill>
        </w:rPr>
        <w:t>亿元、调入资金</w:t>
      </w:r>
      <w:r>
        <w:rPr>
          <w:color w:val="0D0D0D" w:themeColor="text1" w:themeTint="F2"/>
          <w14:textFill>
            <w14:solidFill>
              <w14:schemeClr w14:val="tx1">
                <w14:lumMod w14:val="95000"/>
                <w14:lumOff w14:val="5000"/>
              </w14:schemeClr>
            </w14:solidFill>
          </w14:textFill>
        </w:rPr>
        <w:t>29.5</w:t>
      </w:r>
      <w:r>
        <w:rPr>
          <w:rFonts w:hint="eastAsia"/>
          <w:color w:val="0D0D0D" w:themeColor="text1" w:themeTint="F2"/>
          <w14:textFill>
            <w14:solidFill>
              <w14:schemeClr w14:val="tx1">
                <w14:lumMod w14:val="95000"/>
                <w14:lumOff w14:val="5000"/>
              </w14:schemeClr>
            </w14:solidFill>
          </w14:textFill>
        </w:rPr>
        <w:t>亿元、债务转贷收入</w:t>
      </w:r>
      <w:r>
        <w:rPr>
          <w:color w:val="0D0D0D" w:themeColor="text1" w:themeTint="F2"/>
          <w14:textFill>
            <w14:solidFill>
              <w14:schemeClr w14:val="tx1">
                <w14:lumMod w14:val="95000"/>
                <w14:lumOff w14:val="5000"/>
              </w14:schemeClr>
            </w14:solidFill>
          </w14:textFill>
        </w:rPr>
        <w:t>2</w:t>
      </w:r>
      <w:r>
        <w:rPr>
          <w:rFonts w:hint="eastAsia"/>
          <w:color w:val="0D0D0D" w:themeColor="text1" w:themeTint="F2"/>
          <w14:textFill>
            <w14:solidFill>
              <w14:schemeClr w14:val="tx1">
                <w14:lumMod w14:val="95000"/>
                <w14:lumOff w14:val="5000"/>
              </w14:schemeClr>
            </w14:solidFill>
          </w14:textFill>
        </w:rPr>
        <w:t>亿元，收入预算总计</w:t>
      </w:r>
      <w:r>
        <w:rPr>
          <w:color w:val="0D0D0D" w:themeColor="text1" w:themeTint="F2"/>
          <w14:textFill>
            <w14:solidFill>
              <w14:schemeClr w14:val="tx1">
                <w14:lumMod w14:val="95000"/>
                <w14:lumOff w14:val="5000"/>
              </w14:schemeClr>
            </w14:solidFill>
          </w14:textFill>
        </w:rPr>
        <w:t>86.6</w:t>
      </w:r>
      <w:r>
        <w:rPr>
          <w:rFonts w:hint="eastAsia"/>
          <w:color w:val="0D0D0D" w:themeColor="text1" w:themeTint="F2"/>
          <w14:textFill>
            <w14:solidFill>
              <w14:schemeClr w14:val="tx1">
                <w14:lumMod w14:val="95000"/>
                <w14:lumOff w14:val="5000"/>
              </w14:schemeClr>
            </w14:solidFill>
          </w14:textFill>
        </w:rPr>
        <w:t>亿元。</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一般公共预算本级支出拟安排</w:t>
      </w:r>
      <w:r>
        <w:rPr>
          <w:color w:val="0D0D0D" w:themeColor="text1" w:themeTint="F2"/>
          <w14:textFill>
            <w14:solidFill>
              <w14:schemeClr w14:val="tx1">
                <w14:lumMod w14:val="95000"/>
                <w14:lumOff w14:val="5000"/>
              </w14:schemeClr>
            </w14:solidFill>
          </w14:textFill>
        </w:rPr>
        <w:t>83.6</w:t>
      </w:r>
      <w:r>
        <w:rPr>
          <w:rFonts w:hint="eastAsia"/>
          <w:color w:val="0D0D0D" w:themeColor="text1" w:themeTint="F2"/>
          <w14:textFill>
            <w14:solidFill>
              <w14:schemeClr w14:val="tx1">
                <w14:lumMod w14:val="95000"/>
                <w14:lumOff w14:val="5000"/>
              </w14:schemeClr>
            </w14:solidFill>
          </w14:textFill>
        </w:rPr>
        <w:t>亿元、加专项上解上级支出</w:t>
      </w:r>
      <w:r>
        <w:rPr>
          <w:color w:val="0D0D0D" w:themeColor="text1" w:themeTint="F2"/>
          <w14:textFill>
            <w14:solidFill>
              <w14:schemeClr w14:val="tx1">
                <w14:lumMod w14:val="95000"/>
                <w14:lumOff w14:val="5000"/>
              </w14:schemeClr>
            </w14:solidFill>
          </w14:textFill>
        </w:rPr>
        <w:t>1</w:t>
      </w:r>
      <w:r>
        <w:rPr>
          <w:rFonts w:hint="eastAsia"/>
          <w:color w:val="0D0D0D" w:themeColor="text1" w:themeTint="F2"/>
          <w14:textFill>
            <w14:solidFill>
              <w14:schemeClr w14:val="tx1">
                <w14:lumMod w14:val="95000"/>
                <w14:lumOff w14:val="5000"/>
              </w14:schemeClr>
            </w14:solidFill>
          </w14:textFill>
        </w:rPr>
        <w:t>亿元、债务还本支出</w:t>
      </w:r>
      <w:r>
        <w:rPr>
          <w:color w:val="0D0D0D" w:themeColor="text1" w:themeTint="F2"/>
          <w14:textFill>
            <w14:solidFill>
              <w14:schemeClr w14:val="tx1">
                <w14:lumMod w14:val="95000"/>
                <w14:lumOff w14:val="5000"/>
              </w14:schemeClr>
            </w14:solidFill>
          </w14:textFill>
        </w:rPr>
        <w:t>2</w:t>
      </w:r>
      <w:r>
        <w:rPr>
          <w:rFonts w:hint="eastAsia"/>
          <w:color w:val="0D0D0D" w:themeColor="text1" w:themeTint="F2"/>
          <w14:textFill>
            <w14:solidFill>
              <w14:schemeClr w14:val="tx1">
                <w14:lumMod w14:val="95000"/>
                <w14:lumOff w14:val="5000"/>
              </w14:schemeClr>
            </w14:solidFill>
          </w14:textFill>
        </w:rPr>
        <w:t>亿元，支出预算总计</w:t>
      </w:r>
      <w:r>
        <w:rPr>
          <w:color w:val="0D0D0D" w:themeColor="text1" w:themeTint="F2"/>
          <w14:textFill>
            <w14:solidFill>
              <w14:schemeClr w14:val="tx1">
                <w14:lumMod w14:val="95000"/>
                <w14:lumOff w14:val="5000"/>
              </w14:schemeClr>
            </w14:solidFill>
          </w14:textFill>
        </w:rPr>
        <w:t>86.6</w:t>
      </w:r>
      <w:r>
        <w:rPr>
          <w:rFonts w:hint="eastAsia"/>
          <w:color w:val="0D0D0D" w:themeColor="text1" w:themeTint="F2"/>
          <w14:textFill>
            <w14:solidFill>
              <w14:schemeClr w14:val="tx1">
                <w14:lumMod w14:val="95000"/>
                <w14:lumOff w14:val="5000"/>
              </w14:schemeClr>
            </w14:solidFill>
          </w14:textFill>
        </w:rPr>
        <w:t>亿元。</w:t>
      </w:r>
    </w:p>
    <w:p>
      <w:pPr>
        <w:ind w:firstLine="643"/>
        <w:rPr>
          <w:color w:val="0D0D0D" w:themeColor="text1" w:themeTint="F2"/>
          <w14:textFill>
            <w14:solidFill>
              <w14:schemeClr w14:val="tx1">
                <w14:lumMod w14:val="95000"/>
                <w14:lumOff w14:val="5000"/>
              </w14:schemeClr>
            </w14:solidFill>
          </w14:textFill>
        </w:rPr>
      </w:pPr>
      <w:r>
        <w:rPr>
          <w:rFonts w:hint="eastAsia"/>
          <w:b/>
          <w:bCs/>
          <w:color w:val="0D0D0D" w:themeColor="text1" w:themeTint="F2"/>
          <w14:textFill>
            <w14:solidFill>
              <w14:schemeClr w14:val="tx1">
                <w14:lumMod w14:val="95000"/>
                <w14:lumOff w14:val="5000"/>
              </w14:schemeClr>
            </w14:solidFill>
          </w14:textFill>
        </w:rPr>
        <w:t>2</w:t>
      </w:r>
      <w:r>
        <w:rPr>
          <w:b/>
          <w:bCs/>
          <w:color w:val="0D0D0D" w:themeColor="text1" w:themeTint="F2"/>
          <w14:textFill>
            <w14:solidFill>
              <w14:schemeClr w14:val="tx1">
                <w14:lumMod w14:val="95000"/>
                <w14:lumOff w14:val="5000"/>
              </w14:schemeClr>
            </w14:solidFill>
          </w14:textFill>
        </w:rPr>
        <w:t>.</w:t>
      </w:r>
      <w:r>
        <w:rPr>
          <w:rFonts w:hint="eastAsia"/>
          <w:b/>
          <w:bCs/>
          <w:color w:val="0D0D0D" w:themeColor="text1" w:themeTint="F2"/>
          <w14:textFill>
            <w14:solidFill>
              <w14:schemeClr w14:val="tx1">
                <w14:lumMod w14:val="95000"/>
                <w14:lumOff w14:val="5000"/>
              </w14:schemeClr>
            </w14:solidFill>
          </w14:textFill>
        </w:rPr>
        <w:t>政府性基金预算</w:t>
      </w:r>
    </w:p>
    <w:tbl>
      <w:tblPr>
        <w:tblStyle w:val="7"/>
        <w:tblW w:w="8789" w:type="dxa"/>
        <w:jc w:val="center"/>
        <w:tblLayout w:type="autofit"/>
        <w:tblCellMar>
          <w:top w:w="0" w:type="dxa"/>
          <w:left w:w="108" w:type="dxa"/>
          <w:bottom w:w="0" w:type="dxa"/>
          <w:right w:w="108" w:type="dxa"/>
        </w:tblCellMar>
      </w:tblPr>
      <w:tblGrid>
        <w:gridCol w:w="2835"/>
        <w:gridCol w:w="1418"/>
        <w:gridCol w:w="2551"/>
        <w:gridCol w:w="1985"/>
      </w:tblGrid>
      <w:tr>
        <w:tblPrEx>
          <w:tblCellMar>
            <w:top w:w="0" w:type="dxa"/>
            <w:left w:w="108" w:type="dxa"/>
            <w:bottom w:w="0" w:type="dxa"/>
            <w:right w:w="108" w:type="dxa"/>
          </w:tblCellMar>
        </w:tblPrEx>
        <w:trPr>
          <w:trHeight w:val="585" w:hRule="atLeast"/>
          <w:tblHeader/>
          <w:jc w:val="center"/>
        </w:trPr>
        <w:tc>
          <w:tcPr>
            <w:tcW w:w="8789" w:type="dxa"/>
            <w:gridSpan w:val="4"/>
            <w:tcBorders>
              <w:top w:val="nil"/>
              <w:left w:val="nil"/>
              <w:bottom w:val="nil"/>
              <w:right w:val="nil"/>
            </w:tcBorders>
            <w:shd w:val="clear" w:color="auto" w:fill="auto"/>
            <w:noWrap/>
            <w:vAlign w:val="center"/>
          </w:tcPr>
          <w:p>
            <w:pPr>
              <w:widowControl/>
              <w:spacing w:line="240" w:lineRule="auto"/>
              <w:ind w:firstLine="0" w:firstLineChars="0"/>
              <w:jc w:val="center"/>
              <w:rPr>
                <w:rFonts w:eastAsia="方正小标宋_GBK" w:cs="宋体"/>
                <w:color w:val="0D0D0D" w:themeColor="text1" w:themeTint="F2"/>
                <w:kern w:val="0"/>
                <w:sz w:val="30"/>
                <w:szCs w:val="30"/>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202</w:t>
            </w:r>
            <w:r>
              <w:rPr>
                <w:rFonts w:eastAsia="方正黑体_GBK" w:cs="宋体"/>
                <w:color w:val="0D0D0D" w:themeColor="text1" w:themeTint="F2"/>
                <w:kern w:val="0"/>
                <w:sz w:val="28"/>
                <w:szCs w:val="28"/>
                <w14:textFill>
                  <w14:solidFill>
                    <w14:schemeClr w14:val="tx1">
                      <w14:lumMod w14:val="95000"/>
                      <w14:lumOff w14:val="5000"/>
                    </w14:schemeClr>
                  </w14:solidFill>
                </w14:textFill>
              </w:rPr>
              <w:t>3</w:t>
            </w: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年重庆高新区政府性基金预算收支预算表</w:t>
            </w:r>
          </w:p>
        </w:tc>
      </w:tr>
      <w:tr>
        <w:tblPrEx>
          <w:tblCellMar>
            <w:top w:w="0" w:type="dxa"/>
            <w:left w:w="108" w:type="dxa"/>
            <w:bottom w:w="0" w:type="dxa"/>
            <w:right w:w="108" w:type="dxa"/>
          </w:tblCellMar>
        </w:tblPrEx>
        <w:trPr>
          <w:trHeight w:val="402" w:hRule="atLeast"/>
          <w:tblHeader/>
          <w:jc w:val="center"/>
        </w:trPr>
        <w:tc>
          <w:tcPr>
            <w:tcW w:w="6804" w:type="dxa"/>
            <w:gridSpan w:val="3"/>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center"/>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hAnsi="宋体" w:eastAsia="宋体" w:cs="宋体"/>
                <w:color w:val="0D0D0D" w:themeColor="text1" w:themeTint="F2"/>
                <w:kern w:val="0"/>
                <w:sz w:val="22"/>
                <w14:textFill>
                  <w14:solidFill>
                    <w14:schemeClr w14:val="tx1">
                      <w14:lumMod w14:val="95000"/>
                      <w14:lumOff w14:val="5000"/>
                    </w14:schemeClr>
                  </w14:solidFill>
                </w14:textFill>
              </w:rPr>
              <w:t>　</w:t>
            </w:r>
          </w:p>
        </w:tc>
        <w:tc>
          <w:tcPr>
            <w:tcW w:w="1985"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hAnsi="宋体" w:eastAsia="宋体" w:cs="宋体"/>
                <w:color w:val="0D0D0D" w:themeColor="text1" w:themeTint="F2"/>
                <w:kern w:val="0"/>
                <w:sz w:val="20"/>
                <w:szCs w:val="20"/>
                <w14:textFill>
                  <w14:solidFill>
                    <w14:schemeClr w14:val="tx1">
                      <w14:lumMod w14:val="95000"/>
                      <w14:lumOff w14:val="5000"/>
                    </w14:schemeClr>
                  </w14:solidFill>
                </w14:textFill>
              </w:rPr>
              <w:t>单位：万元</w:t>
            </w:r>
          </w:p>
        </w:tc>
      </w:tr>
      <w:tr>
        <w:tblPrEx>
          <w:tblCellMar>
            <w:top w:w="0" w:type="dxa"/>
            <w:left w:w="108" w:type="dxa"/>
            <w:bottom w:w="0" w:type="dxa"/>
            <w:right w:w="108" w:type="dxa"/>
          </w:tblCellMar>
        </w:tblPrEx>
        <w:trPr>
          <w:trHeight w:val="480" w:hRule="atLeast"/>
          <w:tblHeader/>
          <w:jc w:val="center"/>
        </w:trPr>
        <w:tc>
          <w:tcPr>
            <w:tcW w:w="283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收        入</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预算数</w:t>
            </w:r>
          </w:p>
        </w:tc>
        <w:tc>
          <w:tcPr>
            <w:tcW w:w="255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支        出</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预算数</w:t>
            </w:r>
          </w:p>
        </w:tc>
      </w:tr>
      <w:tr>
        <w:tblPrEx>
          <w:tblCellMar>
            <w:top w:w="0" w:type="dxa"/>
            <w:left w:w="108" w:type="dxa"/>
            <w:bottom w:w="0" w:type="dxa"/>
            <w:right w:w="108" w:type="dxa"/>
          </w:tblCellMar>
        </w:tblPrEx>
        <w:trPr>
          <w:trHeight w:val="480" w:hRule="atLeast"/>
          <w:jc w:val="center"/>
        </w:trPr>
        <w:tc>
          <w:tcPr>
            <w:tcW w:w="283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总  计</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b/>
                <w:bCs/>
                <w:color w:val="0D0D0D" w:themeColor="text1" w:themeTint="F2"/>
                <w:kern w:val="0"/>
                <w:sz w:val="24"/>
                <w:szCs w:val="24"/>
                <w14:textFill>
                  <w14:solidFill>
                    <w14:schemeClr w14:val="tx1">
                      <w14:lumMod w14:val="95000"/>
                      <w14:lumOff w14:val="5000"/>
                    </w14:schemeClr>
                  </w14:solidFill>
                </w14:textFill>
              </w:rPr>
              <w:t>1</w:t>
            </w:r>
            <w:r>
              <w:rPr>
                <w:rFonts w:eastAsia="宋体" w:cs="Times New Roman"/>
                <w:b/>
                <w:bCs/>
                <w:color w:val="0D0D0D" w:themeColor="text1" w:themeTint="F2"/>
                <w:kern w:val="0"/>
                <w:sz w:val="24"/>
                <w:szCs w:val="24"/>
                <w14:textFill>
                  <w14:solidFill>
                    <w14:schemeClr w14:val="tx1">
                      <w14:lumMod w14:val="95000"/>
                      <w14:lumOff w14:val="5000"/>
                    </w14:schemeClr>
                  </w14:solidFill>
                </w14:textFill>
              </w:rPr>
              <w:t>,010,270</w:t>
            </w:r>
          </w:p>
        </w:tc>
        <w:tc>
          <w:tcPr>
            <w:tcW w:w="255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Times New Roman"/>
                <w:color w:val="0D0D0D" w:themeColor="text1" w:themeTint="F2"/>
                <w:kern w:val="0"/>
                <w:sz w:val="28"/>
                <w:szCs w:val="28"/>
                <w14:textFill>
                  <w14:solidFill>
                    <w14:schemeClr w14:val="tx1">
                      <w14:lumMod w14:val="95000"/>
                      <w14:lumOff w14:val="5000"/>
                    </w14:schemeClr>
                  </w14:solidFill>
                </w14:textFill>
              </w:rPr>
              <w:t>总计</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b/>
                <w:bCs/>
                <w:color w:val="0D0D0D" w:themeColor="text1" w:themeTint="F2"/>
                <w:kern w:val="0"/>
                <w:sz w:val="24"/>
                <w:szCs w:val="24"/>
                <w14:textFill>
                  <w14:solidFill>
                    <w14:schemeClr w14:val="tx1">
                      <w14:lumMod w14:val="95000"/>
                      <w14:lumOff w14:val="5000"/>
                    </w14:schemeClr>
                  </w14:solidFill>
                </w14:textFill>
              </w:rPr>
              <w:t>1</w:t>
            </w:r>
            <w:r>
              <w:rPr>
                <w:rFonts w:eastAsia="宋体" w:cs="Times New Roman"/>
                <w:b/>
                <w:bCs/>
                <w:color w:val="0D0D0D" w:themeColor="text1" w:themeTint="F2"/>
                <w:kern w:val="0"/>
                <w:sz w:val="24"/>
                <w:szCs w:val="24"/>
                <w14:textFill>
                  <w14:solidFill>
                    <w14:schemeClr w14:val="tx1">
                      <w14:lumMod w14:val="95000"/>
                      <w14:lumOff w14:val="5000"/>
                    </w14:schemeClr>
                  </w14:solidFill>
                </w14:textFill>
              </w:rPr>
              <w:t>,010,270</w:t>
            </w:r>
          </w:p>
        </w:tc>
      </w:tr>
      <w:tr>
        <w:tblPrEx>
          <w:tblCellMar>
            <w:top w:w="0" w:type="dxa"/>
            <w:left w:w="108" w:type="dxa"/>
            <w:bottom w:w="0" w:type="dxa"/>
            <w:right w:w="108" w:type="dxa"/>
          </w:tblCellMar>
        </w:tblPrEx>
        <w:trPr>
          <w:trHeight w:val="480" w:hRule="atLeast"/>
          <w:jc w:val="center"/>
        </w:trPr>
        <w:tc>
          <w:tcPr>
            <w:tcW w:w="283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黑体" w:cs="宋体"/>
                <w:color w:val="0D0D0D" w:themeColor="text1" w:themeTint="F2"/>
                <w:kern w:val="0"/>
                <w:sz w:val="28"/>
                <w:szCs w:val="28"/>
                <w14:textFill>
                  <w14:solidFill>
                    <w14:schemeClr w14:val="tx1">
                      <w14:lumMod w14:val="95000"/>
                      <w14:lumOff w14:val="5000"/>
                    </w14:schemeClr>
                  </w14:solidFill>
                </w14:textFill>
              </w:rPr>
            </w:pPr>
            <w:r>
              <w:rPr>
                <w:rFonts w:hint="eastAsia" w:eastAsia="黑体" w:cs="宋体"/>
                <w:color w:val="0D0D0D" w:themeColor="text1" w:themeTint="F2"/>
                <w:kern w:val="0"/>
                <w:sz w:val="28"/>
                <w:szCs w:val="28"/>
                <w14:textFill>
                  <w14:solidFill>
                    <w14:schemeClr w14:val="tx1">
                      <w14:lumMod w14:val="95000"/>
                      <w14:lumOff w14:val="5000"/>
                    </w14:schemeClr>
                  </w14:solidFill>
                </w14:textFill>
              </w:rPr>
              <w:t>本级收入合计</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p>
        </w:tc>
        <w:tc>
          <w:tcPr>
            <w:tcW w:w="255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rFonts w:hint="eastAsia" w:eastAsia="黑体" w:cs="Times New Roman"/>
                <w:color w:val="0D0D0D" w:themeColor="text1" w:themeTint="F2"/>
                <w:kern w:val="0"/>
                <w:sz w:val="28"/>
                <w:szCs w:val="28"/>
                <w14:textFill>
                  <w14:solidFill>
                    <w14:schemeClr w14:val="tx1">
                      <w14:lumMod w14:val="95000"/>
                      <w14:lumOff w14:val="5000"/>
                    </w14:schemeClr>
                  </w14:solidFill>
                </w14:textFill>
              </w:rPr>
              <w:t>本级支出合计</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6</w:t>
            </w:r>
            <w:r>
              <w:rPr>
                <w:rFonts w:eastAsia="宋体" w:cs="Times New Roman"/>
                <w:color w:val="0D0D0D" w:themeColor="text1" w:themeTint="F2"/>
                <w:kern w:val="0"/>
                <w:sz w:val="24"/>
                <w:szCs w:val="24"/>
                <w14:textFill>
                  <w14:solidFill>
                    <w14:schemeClr w14:val="tx1">
                      <w14:lumMod w14:val="95000"/>
                      <w14:lumOff w14:val="5000"/>
                    </w14:schemeClr>
                  </w14:solidFill>
                </w14:textFill>
              </w:rPr>
              <w:t>73,592</w:t>
            </w:r>
          </w:p>
        </w:tc>
      </w:tr>
      <w:tr>
        <w:tblPrEx>
          <w:tblCellMar>
            <w:top w:w="0" w:type="dxa"/>
            <w:left w:w="108" w:type="dxa"/>
            <w:bottom w:w="0" w:type="dxa"/>
            <w:right w:w="108" w:type="dxa"/>
          </w:tblCellMar>
        </w:tblPrEx>
        <w:trPr>
          <w:trHeight w:val="402" w:hRule="atLeast"/>
          <w:jc w:val="center"/>
        </w:trPr>
        <w:tc>
          <w:tcPr>
            <w:tcW w:w="283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p>
        </w:tc>
        <w:tc>
          <w:tcPr>
            <w:tcW w:w="255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一、社会保障和就业支出</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4</w:t>
            </w:r>
          </w:p>
        </w:tc>
      </w:tr>
      <w:tr>
        <w:tblPrEx>
          <w:tblCellMar>
            <w:top w:w="0" w:type="dxa"/>
            <w:left w:w="108" w:type="dxa"/>
            <w:bottom w:w="0" w:type="dxa"/>
            <w:right w:w="108" w:type="dxa"/>
          </w:tblCellMar>
        </w:tblPrEx>
        <w:trPr>
          <w:trHeight w:val="402" w:hRule="atLeast"/>
          <w:jc w:val="center"/>
        </w:trPr>
        <w:tc>
          <w:tcPr>
            <w:tcW w:w="283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p>
        </w:tc>
        <w:tc>
          <w:tcPr>
            <w:tcW w:w="255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二、城乡社区支出</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5</w:t>
            </w:r>
            <w:r>
              <w:rPr>
                <w:rFonts w:eastAsia="宋体" w:cs="Times New Roman"/>
                <w:color w:val="0D0D0D" w:themeColor="text1" w:themeTint="F2"/>
                <w:kern w:val="0"/>
                <w:sz w:val="24"/>
                <w:szCs w:val="24"/>
                <w14:textFill>
                  <w14:solidFill>
                    <w14:schemeClr w14:val="tx1">
                      <w14:lumMod w14:val="95000"/>
                      <w14:lumOff w14:val="5000"/>
                    </w14:schemeClr>
                  </w14:solidFill>
                </w14:textFill>
              </w:rPr>
              <w:t>56,410</w:t>
            </w:r>
          </w:p>
        </w:tc>
      </w:tr>
      <w:tr>
        <w:tblPrEx>
          <w:tblCellMar>
            <w:top w:w="0" w:type="dxa"/>
            <w:left w:w="108" w:type="dxa"/>
            <w:bottom w:w="0" w:type="dxa"/>
            <w:right w:w="108" w:type="dxa"/>
          </w:tblCellMar>
        </w:tblPrEx>
        <w:trPr>
          <w:trHeight w:val="402" w:hRule="atLeast"/>
          <w:jc w:val="center"/>
        </w:trPr>
        <w:tc>
          <w:tcPr>
            <w:tcW w:w="283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p>
        </w:tc>
        <w:tc>
          <w:tcPr>
            <w:tcW w:w="255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三、农林水支出</w:t>
            </w:r>
          </w:p>
        </w:tc>
        <w:tc>
          <w:tcPr>
            <w:tcW w:w="198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1</w:t>
            </w:r>
            <w:r>
              <w:rPr>
                <w:rFonts w:eastAsia="宋体" w:cs="Times New Roman"/>
                <w:color w:val="0D0D0D" w:themeColor="text1" w:themeTint="F2"/>
                <w:kern w:val="0"/>
                <w:sz w:val="24"/>
                <w:szCs w:val="24"/>
                <w14:textFill>
                  <w14:solidFill>
                    <w14:schemeClr w14:val="tx1">
                      <w14:lumMod w14:val="95000"/>
                      <w14:lumOff w14:val="5000"/>
                    </w14:schemeClr>
                  </w14:solidFill>
                </w14:textFill>
              </w:rPr>
              <w:t>71</w:t>
            </w:r>
          </w:p>
        </w:tc>
      </w:tr>
      <w:tr>
        <w:tblPrEx>
          <w:tblCellMar>
            <w:top w:w="0" w:type="dxa"/>
            <w:left w:w="108" w:type="dxa"/>
            <w:bottom w:w="0" w:type="dxa"/>
            <w:right w:w="108" w:type="dxa"/>
          </w:tblCellMar>
        </w:tblPrEx>
        <w:trPr>
          <w:trHeight w:val="402" w:hRule="atLeast"/>
          <w:jc w:val="center"/>
        </w:trPr>
        <w:tc>
          <w:tcPr>
            <w:tcW w:w="283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p>
        </w:tc>
        <w:tc>
          <w:tcPr>
            <w:tcW w:w="255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四、其他支出</w:t>
            </w:r>
          </w:p>
        </w:tc>
        <w:tc>
          <w:tcPr>
            <w:tcW w:w="198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2,007</w:t>
            </w:r>
          </w:p>
        </w:tc>
      </w:tr>
      <w:tr>
        <w:tblPrEx>
          <w:tblCellMar>
            <w:top w:w="0" w:type="dxa"/>
            <w:left w:w="108" w:type="dxa"/>
            <w:bottom w:w="0" w:type="dxa"/>
            <w:right w:w="108" w:type="dxa"/>
          </w:tblCellMar>
        </w:tblPrEx>
        <w:trPr>
          <w:trHeight w:val="402" w:hRule="atLeast"/>
          <w:jc w:val="center"/>
        </w:trPr>
        <w:tc>
          <w:tcPr>
            <w:tcW w:w="283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p>
        </w:tc>
        <w:tc>
          <w:tcPr>
            <w:tcW w:w="255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五、债务付息支出</w:t>
            </w:r>
          </w:p>
        </w:tc>
        <w:tc>
          <w:tcPr>
            <w:tcW w:w="198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1</w:t>
            </w:r>
            <w:r>
              <w:rPr>
                <w:rFonts w:eastAsia="宋体" w:cs="Times New Roman"/>
                <w:color w:val="0D0D0D" w:themeColor="text1" w:themeTint="F2"/>
                <w:kern w:val="0"/>
                <w:sz w:val="24"/>
                <w:szCs w:val="24"/>
                <w14:textFill>
                  <w14:solidFill>
                    <w14:schemeClr w14:val="tx1">
                      <w14:lumMod w14:val="95000"/>
                      <w14:lumOff w14:val="5000"/>
                    </w14:schemeClr>
                  </w14:solidFill>
                </w14:textFill>
              </w:rPr>
              <w:t>15,000</w:t>
            </w:r>
          </w:p>
        </w:tc>
      </w:tr>
      <w:tr>
        <w:tblPrEx>
          <w:tblCellMar>
            <w:top w:w="0" w:type="dxa"/>
            <w:left w:w="108" w:type="dxa"/>
            <w:bottom w:w="0" w:type="dxa"/>
            <w:right w:w="108" w:type="dxa"/>
          </w:tblCellMar>
        </w:tblPrEx>
        <w:trPr>
          <w:trHeight w:val="402" w:hRule="atLeast"/>
          <w:jc w:val="center"/>
        </w:trPr>
        <w:tc>
          <w:tcPr>
            <w:tcW w:w="283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黑体" w:cs="宋体"/>
                <w:color w:val="0D0D0D" w:themeColor="text1" w:themeTint="F2"/>
                <w:kern w:val="0"/>
                <w:sz w:val="28"/>
                <w:szCs w:val="28"/>
                <w14:textFill>
                  <w14:solidFill>
                    <w14:schemeClr w14:val="tx1">
                      <w14:lumMod w14:val="95000"/>
                      <w14:lumOff w14:val="5000"/>
                    </w14:schemeClr>
                  </w14:solidFill>
                </w14:textFill>
              </w:rPr>
            </w:pPr>
            <w:r>
              <w:rPr>
                <w:rFonts w:hint="eastAsia" w:eastAsia="黑体" w:cs="宋体"/>
                <w:color w:val="0D0D0D" w:themeColor="text1" w:themeTint="F2"/>
                <w:kern w:val="0"/>
                <w:sz w:val="28"/>
                <w:szCs w:val="28"/>
                <w14:textFill>
                  <w14:solidFill>
                    <w14:schemeClr w14:val="tx1">
                      <w14:lumMod w14:val="95000"/>
                      <w14:lumOff w14:val="5000"/>
                    </w14:schemeClr>
                  </w14:solidFill>
                </w14:textFill>
              </w:rPr>
              <w:t>转移性收入合计</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b/>
                <w:bCs/>
                <w:color w:val="0D0D0D" w:themeColor="text1" w:themeTint="F2"/>
                <w:kern w:val="0"/>
                <w:sz w:val="24"/>
                <w:szCs w:val="24"/>
                <w14:textFill>
                  <w14:solidFill>
                    <w14:schemeClr w14:val="tx1">
                      <w14:lumMod w14:val="95000"/>
                      <w14:lumOff w14:val="5000"/>
                    </w14:schemeClr>
                  </w14:solidFill>
                </w14:textFill>
              </w:rPr>
              <w:t>1</w:t>
            </w:r>
            <w:r>
              <w:rPr>
                <w:rFonts w:eastAsia="宋体" w:cs="Times New Roman"/>
                <w:b/>
                <w:bCs/>
                <w:color w:val="0D0D0D" w:themeColor="text1" w:themeTint="F2"/>
                <w:kern w:val="0"/>
                <w:sz w:val="24"/>
                <w:szCs w:val="24"/>
                <w14:textFill>
                  <w14:solidFill>
                    <w14:schemeClr w14:val="tx1">
                      <w14:lumMod w14:val="95000"/>
                      <w14:lumOff w14:val="5000"/>
                    </w14:schemeClr>
                  </w14:solidFill>
                </w14:textFill>
              </w:rPr>
              <w:t>,010,270</w:t>
            </w:r>
          </w:p>
        </w:tc>
        <w:tc>
          <w:tcPr>
            <w:tcW w:w="255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黑体" w:cs="宋体"/>
                <w:color w:val="0D0D0D" w:themeColor="text1" w:themeTint="F2"/>
                <w:kern w:val="0"/>
                <w:sz w:val="28"/>
                <w:szCs w:val="28"/>
                <w14:textFill>
                  <w14:solidFill>
                    <w14:schemeClr w14:val="tx1">
                      <w14:lumMod w14:val="95000"/>
                      <w14:lumOff w14:val="5000"/>
                    </w14:schemeClr>
                  </w14:solidFill>
                </w14:textFill>
              </w:rPr>
            </w:pPr>
            <w:r>
              <w:rPr>
                <w:rFonts w:hint="eastAsia" w:eastAsia="黑体" w:cs="宋体"/>
                <w:color w:val="0D0D0D" w:themeColor="text1" w:themeTint="F2"/>
                <w:kern w:val="0"/>
                <w:sz w:val="28"/>
                <w:szCs w:val="28"/>
                <w14:textFill>
                  <w14:solidFill>
                    <w14:schemeClr w14:val="tx1">
                      <w14:lumMod w14:val="95000"/>
                      <w14:lumOff w14:val="5000"/>
                    </w14:schemeClr>
                  </w14:solidFill>
                </w14:textFill>
              </w:rPr>
              <w:t>转移性支出合计</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b/>
                <w:bCs/>
                <w:color w:val="0D0D0D" w:themeColor="text1" w:themeTint="F2"/>
                <w:kern w:val="0"/>
                <w:sz w:val="24"/>
                <w:szCs w:val="24"/>
                <w14:textFill>
                  <w14:solidFill>
                    <w14:schemeClr w14:val="tx1">
                      <w14:lumMod w14:val="95000"/>
                      <w14:lumOff w14:val="5000"/>
                    </w14:schemeClr>
                  </w14:solidFill>
                </w14:textFill>
              </w:rPr>
              <w:t>3</w:t>
            </w:r>
            <w:r>
              <w:rPr>
                <w:rFonts w:eastAsia="宋体" w:cs="Times New Roman"/>
                <w:b/>
                <w:bCs/>
                <w:color w:val="0D0D0D" w:themeColor="text1" w:themeTint="F2"/>
                <w:kern w:val="0"/>
                <w:sz w:val="24"/>
                <w:szCs w:val="24"/>
                <w14:textFill>
                  <w14:solidFill>
                    <w14:schemeClr w14:val="tx1">
                      <w14:lumMod w14:val="95000"/>
                      <w14:lumOff w14:val="5000"/>
                    </w14:schemeClr>
                  </w14:solidFill>
                </w14:textFill>
              </w:rPr>
              <w:t>36,678</w:t>
            </w:r>
          </w:p>
        </w:tc>
      </w:tr>
      <w:tr>
        <w:tblPrEx>
          <w:tblCellMar>
            <w:top w:w="0" w:type="dxa"/>
            <w:left w:w="108" w:type="dxa"/>
            <w:bottom w:w="0" w:type="dxa"/>
            <w:right w:w="108" w:type="dxa"/>
          </w:tblCellMar>
        </w:tblPrEx>
        <w:trPr>
          <w:trHeight w:val="402" w:hRule="atLeast"/>
          <w:jc w:val="center"/>
        </w:trPr>
        <w:tc>
          <w:tcPr>
            <w:tcW w:w="283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一、上级补助收入</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8</w:t>
            </w:r>
            <w:r>
              <w:rPr>
                <w:rFonts w:eastAsia="宋体" w:cs="Times New Roman"/>
                <w:color w:val="0D0D0D" w:themeColor="text1" w:themeTint="F2"/>
                <w:kern w:val="0"/>
                <w:sz w:val="24"/>
                <w:szCs w:val="24"/>
                <w14:textFill>
                  <w14:solidFill>
                    <w14:schemeClr w14:val="tx1">
                      <w14:lumMod w14:val="95000"/>
                      <w14:lumOff w14:val="5000"/>
                    </w14:schemeClr>
                  </w14:solidFill>
                </w14:textFill>
              </w:rPr>
              <w:t>00,596</w:t>
            </w:r>
          </w:p>
        </w:tc>
        <w:tc>
          <w:tcPr>
            <w:tcW w:w="255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一、上解上级支出</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2" w:hRule="atLeast"/>
          <w:jc w:val="center"/>
        </w:trPr>
        <w:tc>
          <w:tcPr>
            <w:tcW w:w="283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二、地方政府债务收入</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5</w:t>
            </w:r>
            <w:r>
              <w:rPr>
                <w:rFonts w:eastAsia="宋体" w:cs="Times New Roman"/>
                <w:color w:val="0D0D0D" w:themeColor="text1" w:themeTint="F2"/>
                <w:kern w:val="0"/>
                <w:sz w:val="24"/>
                <w:szCs w:val="24"/>
                <w14:textFill>
                  <w14:solidFill>
                    <w14:schemeClr w14:val="tx1">
                      <w14:lumMod w14:val="95000"/>
                      <w14:lumOff w14:val="5000"/>
                    </w14:schemeClr>
                  </w14:solidFill>
                </w14:textFill>
              </w:rPr>
              <w:t>0,000</w:t>
            </w:r>
          </w:p>
        </w:tc>
        <w:tc>
          <w:tcPr>
            <w:tcW w:w="255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二、调出资金</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2</w:t>
            </w:r>
            <w:r>
              <w:rPr>
                <w:rFonts w:eastAsia="宋体" w:cs="Times New Roman"/>
                <w:color w:val="0D0D0D" w:themeColor="text1" w:themeTint="F2"/>
                <w:kern w:val="0"/>
                <w:sz w:val="24"/>
                <w:szCs w:val="24"/>
                <w14:textFill>
                  <w14:solidFill>
                    <w14:schemeClr w14:val="tx1">
                      <w14:lumMod w14:val="95000"/>
                      <w14:lumOff w14:val="5000"/>
                    </w14:schemeClr>
                  </w14:solidFill>
                </w14:textFill>
              </w:rPr>
              <w:t>86,678</w:t>
            </w:r>
          </w:p>
        </w:tc>
      </w:tr>
      <w:tr>
        <w:tblPrEx>
          <w:tblCellMar>
            <w:top w:w="0" w:type="dxa"/>
            <w:left w:w="108" w:type="dxa"/>
            <w:bottom w:w="0" w:type="dxa"/>
            <w:right w:w="108" w:type="dxa"/>
          </w:tblCellMar>
        </w:tblPrEx>
        <w:trPr>
          <w:trHeight w:val="402" w:hRule="atLeast"/>
          <w:jc w:val="center"/>
        </w:trPr>
        <w:tc>
          <w:tcPr>
            <w:tcW w:w="283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三、上年结转</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1</w:t>
            </w:r>
            <w:r>
              <w:rPr>
                <w:rFonts w:eastAsia="宋体" w:cs="Times New Roman"/>
                <w:color w:val="0D0D0D" w:themeColor="text1" w:themeTint="F2"/>
                <w:kern w:val="0"/>
                <w:sz w:val="24"/>
                <w:szCs w:val="24"/>
                <w14:textFill>
                  <w14:solidFill>
                    <w14:schemeClr w14:val="tx1">
                      <w14:lumMod w14:val="95000"/>
                      <w14:lumOff w14:val="5000"/>
                    </w14:schemeClr>
                  </w14:solidFill>
                </w14:textFill>
              </w:rPr>
              <w:t>59,674</w:t>
            </w:r>
          </w:p>
        </w:tc>
        <w:tc>
          <w:tcPr>
            <w:tcW w:w="255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三、债务还本支出</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5</w:t>
            </w:r>
            <w:r>
              <w:rPr>
                <w:rFonts w:eastAsia="宋体" w:cs="Times New Roman"/>
                <w:color w:val="0D0D0D" w:themeColor="text1" w:themeTint="F2"/>
                <w:kern w:val="0"/>
                <w:sz w:val="24"/>
                <w:szCs w:val="24"/>
                <w14:textFill>
                  <w14:solidFill>
                    <w14:schemeClr w14:val="tx1">
                      <w14:lumMod w14:val="95000"/>
                      <w14:lumOff w14:val="5000"/>
                    </w14:schemeClr>
                  </w14:solidFill>
                </w14:textFill>
              </w:rPr>
              <w:t>0,000</w:t>
            </w:r>
          </w:p>
        </w:tc>
      </w:tr>
    </w:tbl>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政府性基金预算上级补助收入</w:t>
      </w:r>
      <w:r>
        <w:rPr>
          <w:color w:val="0D0D0D" w:themeColor="text1" w:themeTint="F2"/>
          <w14:textFill>
            <w14:solidFill>
              <w14:schemeClr w14:val="tx1">
                <w14:lumMod w14:val="95000"/>
                <w14:lumOff w14:val="5000"/>
              </w14:schemeClr>
            </w14:solidFill>
          </w14:textFill>
        </w:rPr>
        <w:t>80</w:t>
      </w:r>
      <w:r>
        <w:rPr>
          <w:rFonts w:hint="eastAsia"/>
          <w:color w:val="0D0D0D" w:themeColor="text1" w:themeTint="F2"/>
          <w14:textFill>
            <w14:solidFill>
              <w14:schemeClr w14:val="tx1">
                <w14:lumMod w14:val="95000"/>
                <w14:lumOff w14:val="5000"/>
              </w14:schemeClr>
            </w14:solidFill>
          </w14:textFill>
        </w:rPr>
        <w:t>亿元，加上年结转</w:t>
      </w:r>
      <w:r>
        <w:rPr>
          <w:color w:val="0D0D0D" w:themeColor="text1" w:themeTint="F2"/>
          <w14:textFill>
            <w14:solidFill>
              <w14:schemeClr w14:val="tx1">
                <w14:lumMod w14:val="95000"/>
                <w14:lumOff w14:val="5000"/>
              </w14:schemeClr>
            </w14:solidFill>
          </w14:textFill>
        </w:rPr>
        <w:t>16</w:t>
      </w:r>
      <w:r>
        <w:rPr>
          <w:rFonts w:hint="eastAsia"/>
          <w:color w:val="0D0D0D" w:themeColor="text1" w:themeTint="F2"/>
          <w14:textFill>
            <w14:solidFill>
              <w14:schemeClr w14:val="tx1">
                <w14:lumMod w14:val="95000"/>
                <w14:lumOff w14:val="5000"/>
              </w14:schemeClr>
            </w14:solidFill>
          </w14:textFill>
        </w:rPr>
        <w:t>亿元、债务转贷收入</w:t>
      </w:r>
      <w:r>
        <w:rPr>
          <w:color w:val="0D0D0D" w:themeColor="text1" w:themeTint="F2"/>
          <w14:textFill>
            <w14:solidFill>
              <w14:schemeClr w14:val="tx1">
                <w14:lumMod w14:val="95000"/>
                <w14:lumOff w14:val="5000"/>
              </w14:schemeClr>
            </w14:solidFill>
          </w14:textFill>
        </w:rPr>
        <w:t>5</w:t>
      </w:r>
      <w:r>
        <w:rPr>
          <w:rFonts w:hint="eastAsia"/>
          <w:color w:val="0D0D0D" w:themeColor="text1" w:themeTint="F2"/>
          <w14:textFill>
            <w14:solidFill>
              <w14:schemeClr w14:val="tx1">
                <w14:lumMod w14:val="95000"/>
                <w14:lumOff w14:val="5000"/>
              </w14:schemeClr>
            </w14:solidFill>
          </w14:textFill>
        </w:rPr>
        <w:t>亿元，收入预算总计</w:t>
      </w:r>
      <w:r>
        <w:rPr>
          <w:color w:val="0D0D0D" w:themeColor="text1" w:themeTint="F2"/>
          <w14:textFill>
            <w14:solidFill>
              <w14:schemeClr w14:val="tx1">
                <w14:lumMod w14:val="95000"/>
                <w14:lumOff w14:val="5000"/>
              </w14:schemeClr>
            </w14:solidFill>
          </w14:textFill>
        </w:rPr>
        <w:t>101</w:t>
      </w:r>
      <w:r>
        <w:rPr>
          <w:rFonts w:hint="eastAsia"/>
          <w:color w:val="0D0D0D" w:themeColor="text1" w:themeTint="F2"/>
          <w14:textFill>
            <w14:solidFill>
              <w14:schemeClr w14:val="tx1">
                <w14:lumMod w14:val="95000"/>
                <w14:lumOff w14:val="5000"/>
              </w14:schemeClr>
            </w14:solidFill>
          </w14:textFill>
        </w:rPr>
        <w:t>亿元。</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政府性基金预算本级支出拟安排</w:t>
      </w:r>
      <w:r>
        <w:rPr>
          <w:color w:val="0D0D0D" w:themeColor="text1" w:themeTint="F2"/>
          <w14:textFill>
            <w14:solidFill>
              <w14:schemeClr w14:val="tx1">
                <w14:lumMod w14:val="95000"/>
                <w14:lumOff w14:val="5000"/>
              </w14:schemeClr>
            </w14:solidFill>
          </w14:textFill>
        </w:rPr>
        <w:t>67.4</w:t>
      </w:r>
      <w:r>
        <w:rPr>
          <w:rFonts w:hint="eastAsia"/>
          <w:color w:val="0D0D0D" w:themeColor="text1" w:themeTint="F2"/>
          <w14:textFill>
            <w14:solidFill>
              <w14:schemeClr w14:val="tx1">
                <w14:lumMod w14:val="95000"/>
                <w14:lumOff w14:val="5000"/>
              </w14:schemeClr>
            </w14:solidFill>
          </w14:textFill>
        </w:rPr>
        <w:t>亿元，其中社会保障和就业支出4万元、城乡社区支出</w:t>
      </w:r>
      <w:r>
        <w:rPr>
          <w:color w:val="0D0D0D" w:themeColor="text1" w:themeTint="F2"/>
          <w14:textFill>
            <w14:solidFill>
              <w14:schemeClr w14:val="tx1">
                <w14:lumMod w14:val="95000"/>
                <w14:lumOff w14:val="5000"/>
              </w14:schemeClr>
            </w14:solidFill>
          </w14:textFill>
        </w:rPr>
        <w:t>55.6</w:t>
      </w:r>
      <w:r>
        <w:rPr>
          <w:rFonts w:hint="eastAsia"/>
          <w:color w:val="0D0D0D" w:themeColor="text1" w:themeTint="F2"/>
          <w14:textFill>
            <w14:solidFill>
              <w14:schemeClr w14:val="tx1">
                <w14:lumMod w14:val="95000"/>
                <w14:lumOff w14:val="5000"/>
              </w14:schemeClr>
            </w14:solidFill>
          </w14:textFill>
        </w:rPr>
        <w:t>亿元、农林水支出</w:t>
      </w:r>
      <w:r>
        <w:rPr>
          <w:color w:val="0D0D0D" w:themeColor="text1" w:themeTint="F2"/>
          <w14:textFill>
            <w14:solidFill>
              <w14:schemeClr w14:val="tx1">
                <w14:lumMod w14:val="95000"/>
                <w14:lumOff w14:val="5000"/>
              </w14:schemeClr>
            </w14:solidFill>
          </w14:textFill>
        </w:rPr>
        <w:t>171</w:t>
      </w:r>
      <w:r>
        <w:rPr>
          <w:rFonts w:hint="eastAsia"/>
          <w:color w:val="0D0D0D" w:themeColor="text1" w:themeTint="F2"/>
          <w14:textFill>
            <w14:solidFill>
              <w14:schemeClr w14:val="tx1">
                <w14:lumMod w14:val="95000"/>
                <w14:lumOff w14:val="5000"/>
              </w14:schemeClr>
            </w14:solidFill>
          </w14:textFill>
        </w:rPr>
        <w:t>万元、其他支出</w:t>
      </w:r>
      <w:r>
        <w:rPr>
          <w:color w:val="0D0D0D" w:themeColor="text1" w:themeTint="F2"/>
          <w14:textFill>
            <w14:solidFill>
              <w14:schemeClr w14:val="tx1">
                <w14:lumMod w14:val="95000"/>
                <w14:lumOff w14:val="5000"/>
              </w14:schemeClr>
            </w14:solidFill>
          </w14:textFill>
        </w:rPr>
        <w:t>0.2</w:t>
      </w:r>
      <w:r>
        <w:rPr>
          <w:rFonts w:hint="eastAsia"/>
          <w:color w:val="0D0D0D" w:themeColor="text1" w:themeTint="F2"/>
          <w14:textFill>
            <w14:solidFill>
              <w14:schemeClr w14:val="tx1">
                <w14:lumMod w14:val="95000"/>
                <w14:lumOff w14:val="5000"/>
              </w14:schemeClr>
            </w14:solidFill>
          </w14:textFill>
        </w:rPr>
        <w:t>亿元、债务付息</w:t>
      </w:r>
      <w:r>
        <w:rPr>
          <w:color w:val="0D0D0D" w:themeColor="text1" w:themeTint="F2"/>
          <w14:textFill>
            <w14:solidFill>
              <w14:schemeClr w14:val="tx1">
                <w14:lumMod w14:val="95000"/>
                <w14:lumOff w14:val="5000"/>
              </w14:schemeClr>
            </w14:solidFill>
          </w14:textFill>
        </w:rPr>
        <w:t>11.5</w:t>
      </w:r>
      <w:r>
        <w:rPr>
          <w:rFonts w:hint="eastAsia"/>
          <w:color w:val="0D0D0D" w:themeColor="text1" w:themeTint="F2"/>
          <w14:textFill>
            <w14:solidFill>
              <w14:schemeClr w14:val="tx1">
                <w14:lumMod w14:val="95000"/>
                <w14:lumOff w14:val="5000"/>
              </w14:schemeClr>
            </w14:solidFill>
          </w14:textFill>
        </w:rPr>
        <w:t>亿元。本级支出加调出</w:t>
      </w:r>
      <w:r>
        <w:rPr>
          <w:color w:val="0D0D0D" w:themeColor="text1" w:themeTint="F2"/>
          <w14:textFill>
            <w14:solidFill>
              <w14:schemeClr w14:val="tx1">
                <w14:lumMod w14:val="95000"/>
                <w14:lumOff w14:val="5000"/>
              </w14:schemeClr>
            </w14:solidFill>
          </w14:textFill>
        </w:rPr>
        <w:t>28.6</w:t>
      </w:r>
      <w:r>
        <w:rPr>
          <w:rFonts w:hint="eastAsia"/>
          <w:color w:val="0D0D0D" w:themeColor="text1" w:themeTint="F2"/>
          <w14:textFill>
            <w14:solidFill>
              <w14:schemeClr w14:val="tx1">
                <w14:lumMod w14:val="95000"/>
                <w14:lumOff w14:val="5000"/>
              </w14:schemeClr>
            </w14:solidFill>
          </w14:textFill>
        </w:rPr>
        <w:t>亿元用于弥补一般公共预算缺口、债务还本支出</w:t>
      </w:r>
      <w:r>
        <w:rPr>
          <w:color w:val="0D0D0D" w:themeColor="text1" w:themeTint="F2"/>
          <w14:textFill>
            <w14:solidFill>
              <w14:schemeClr w14:val="tx1">
                <w14:lumMod w14:val="95000"/>
                <w14:lumOff w14:val="5000"/>
              </w14:schemeClr>
            </w14:solidFill>
          </w14:textFill>
        </w:rPr>
        <w:t>5</w:t>
      </w:r>
      <w:r>
        <w:rPr>
          <w:rFonts w:hint="eastAsia"/>
          <w:color w:val="0D0D0D" w:themeColor="text1" w:themeTint="F2"/>
          <w14:textFill>
            <w14:solidFill>
              <w14:schemeClr w14:val="tx1">
                <w14:lumMod w14:val="95000"/>
                <w14:lumOff w14:val="5000"/>
              </w14:schemeClr>
            </w14:solidFill>
          </w14:textFill>
        </w:rPr>
        <w:t>亿元，政府性基金支出预算合计</w:t>
      </w:r>
      <w:r>
        <w:rPr>
          <w:color w:val="0D0D0D" w:themeColor="text1" w:themeTint="F2"/>
          <w14:textFill>
            <w14:solidFill>
              <w14:schemeClr w14:val="tx1">
                <w14:lumMod w14:val="95000"/>
                <w14:lumOff w14:val="5000"/>
              </w14:schemeClr>
            </w14:solidFill>
          </w14:textFill>
        </w:rPr>
        <w:t>101</w:t>
      </w:r>
      <w:r>
        <w:rPr>
          <w:rFonts w:hint="eastAsia"/>
          <w:color w:val="0D0D0D" w:themeColor="text1" w:themeTint="F2"/>
          <w14:textFill>
            <w14:solidFill>
              <w14:schemeClr w14:val="tx1">
                <w14:lumMod w14:val="95000"/>
                <w14:lumOff w14:val="5000"/>
              </w14:schemeClr>
            </w14:solidFill>
          </w14:textFill>
        </w:rPr>
        <w:t>亿元。</w:t>
      </w:r>
    </w:p>
    <w:p>
      <w:pPr>
        <w:ind w:firstLine="643"/>
        <w:rPr>
          <w:b/>
          <w:bCs/>
          <w:color w:val="0D0D0D" w:themeColor="text1" w:themeTint="F2"/>
          <w14:textFill>
            <w14:solidFill>
              <w14:schemeClr w14:val="tx1">
                <w14:lumMod w14:val="95000"/>
                <w14:lumOff w14:val="5000"/>
              </w14:schemeClr>
            </w14:solidFill>
          </w14:textFill>
        </w:rPr>
      </w:pPr>
      <w:r>
        <w:rPr>
          <w:rFonts w:hint="eastAsia"/>
          <w:b/>
          <w:bCs/>
          <w:color w:val="0D0D0D" w:themeColor="text1" w:themeTint="F2"/>
          <w14:textFill>
            <w14:solidFill>
              <w14:schemeClr w14:val="tx1">
                <w14:lumMod w14:val="95000"/>
                <w14:lumOff w14:val="5000"/>
              </w14:schemeClr>
            </w14:solidFill>
          </w14:textFill>
        </w:rPr>
        <w:t>3</w:t>
      </w:r>
      <w:r>
        <w:rPr>
          <w:b/>
          <w:bCs/>
          <w:color w:val="0D0D0D" w:themeColor="text1" w:themeTint="F2"/>
          <w14:textFill>
            <w14:solidFill>
              <w14:schemeClr w14:val="tx1">
                <w14:lumMod w14:val="95000"/>
                <w14:lumOff w14:val="5000"/>
              </w14:schemeClr>
            </w14:solidFill>
          </w14:textFill>
        </w:rPr>
        <w:t>.</w:t>
      </w:r>
      <w:r>
        <w:rPr>
          <w:rFonts w:hint="eastAsia"/>
          <w:b/>
          <w:bCs/>
          <w:color w:val="0D0D0D" w:themeColor="text1" w:themeTint="F2"/>
          <w14:textFill>
            <w14:solidFill>
              <w14:schemeClr w14:val="tx1">
                <w14:lumMod w14:val="95000"/>
                <w14:lumOff w14:val="5000"/>
              </w14:schemeClr>
            </w14:solidFill>
          </w14:textFill>
        </w:rPr>
        <w:t>国有资本经营预算</w:t>
      </w:r>
    </w:p>
    <w:tbl>
      <w:tblPr>
        <w:tblStyle w:val="7"/>
        <w:tblpPr w:leftFromText="180" w:rightFromText="180" w:vertAnchor="text" w:tblpXSpec="center" w:tblpY="1"/>
        <w:tblOverlap w:val="never"/>
        <w:tblW w:w="8789" w:type="dxa"/>
        <w:tblInd w:w="0" w:type="dxa"/>
        <w:tblLayout w:type="autofit"/>
        <w:tblCellMar>
          <w:top w:w="0" w:type="dxa"/>
          <w:left w:w="108" w:type="dxa"/>
          <w:bottom w:w="0" w:type="dxa"/>
          <w:right w:w="108" w:type="dxa"/>
        </w:tblCellMar>
      </w:tblPr>
      <w:tblGrid>
        <w:gridCol w:w="1698"/>
        <w:gridCol w:w="1279"/>
        <w:gridCol w:w="4252"/>
        <w:gridCol w:w="1560"/>
      </w:tblGrid>
      <w:tr>
        <w:tblPrEx>
          <w:tblCellMar>
            <w:top w:w="0" w:type="dxa"/>
            <w:left w:w="108" w:type="dxa"/>
            <w:bottom w:w="0" w:type="dxa"/>
            <w:right w:w="108" w:type="dxa"/>
          </w:tblCellMar>
        </w:tblPrEx>
        <w:trPr>
          <w:trHeight w:val="915" w:hRule="atLeast"/>
          <w:tblHeader/>
        </w:trPr>
        <w:tc>
          <w:tcPr>
            <w:tcW w:w="8789" w:type="dxa"/>
            <w:gridSpan w:val="4"/>
            <w:tcBorders>
              <w:top w:val="nil"/>
              <w:left w:val="nil"/>
              <w:bottom w:val="nil"/>
              <w:right w:val="nil"/>
            </w:tcBorders>
            <w:shd w:val="clear" w:color="auto" w:fill="auto"/>
            <w:noWrap/>
            <w:vAlign w:val="center"/>
          </w:tcPr>
          <w:p>
            <w:pPr>
              <w:widowControl/>
              <w:spacing w:line="240" w:lineRule="auto"/>
              <w:ind w:firstLine="0" w:firstLineChars="0"/>
              <w:jc w:val="center"/>
              <w:rPr>
                <w:rFonts w:eastAsia="方正黑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202</w:t>
            </w:r>
            <w:r>
              <w:rPr>
                <w:rFonts w:eastAsia="方正黑体_GBK" w:cs="宋体"/>
                <w:color w:val="0D0D0D" w:themeColor="text1" w:themeTint="F2"/>
                <w:kern w:val="0"/>
                <w:sz w:val="28"/>
                <w:szCs w:val="28"/>
                <w14:textFill>
                  <w14:solidFill>
                    <w14:schemeClr w14:val="tx1">
                      <w14:lumMod w14:val="95000"/>
                      <w14:lumOff w14:val="5000"/>
                    </w14:schemeClr>
                  </w14:solidFill>
                </w14:textFill>
              </w:rPr>
              <w:t>3</w:t>
            </w: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 xml:space="preserve">年重庆高新区国有资本经营预算收支预算表 </w:t>
            </w:r>
          </w:p>
        </w:tc>
      </w:tr>
      <w:tr>
        <w:tblPrEx>
          <w:tblCellMar>
            <w:top w:w="0" w:type="dxa"/>
            <w:left w:w="108" w:type="dxa"/>
            <w:bottom w:w="0" w:type="dxa"/>
            <w:right w:w="108" w:type="dxa"/>
          </w:tblCellMar>
        </w:tblPrEx>
        <w:trPr>
          <w:trHeight w:val="615" w:hRule="atLeast"/>
          <w:tblHeader/>
        </w:trPr>
        <w:tc>
          <w:tcPr>
            <w:tcW w:w="1698"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方正小标宋_GBK" w:cs="宋体"/>
                <w:color w:val="0D0D0D" w:themeColor="text1" w:themeTint="F2"/>
                <w:kern w:val="0"/>
                <w:sz w:val="36"/>
                <w:szCs w:val="36"/>
                <w14:textFill>
                  <w14:solidFill>
                    <w14:schemeClr w14:val="tx1">
                      <w14:lumMod w14:val="95000"/>
                      <w14:lumOff w14:val="5000"/>
                    </w14:schemeClr>
                  </w14:solidFill>
                </w14:textFill>
              </w:rPr>
            </w:pPr>
          </w:p>
        </w:tc>
        <w:tc>
          <w:tcPr>
            <w:tcW w:w="1279"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4252" w:type="dxa"/>
            <w:tcBorders>
              <w:top w:val="nil"/>
              <w:left w:val="nil"/>
              <w:bottom w:val="nil"/>
              <w:right w:val="nil"/>
            </w:tcBorders>
            <w:shd w:val="clear" w:color="auto" w:fill="auto"/>
            <w:noWrap/>
            <w:vAlign w:val="bottom"/>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560" w:type="dxa"/>
            <w:tcBorders>
              <w:top w:val="nil"/>
              <w:left w:val="nil"/>
              <w:bottom w:val="nil"/>
              <w:right w:val="nil"/>
            </w:tcBorders>
            <w:shd w:val="clear" w:color="auto" w:fill="auto"/>
            <w:noWrap/>
            <w:vAlign w:val="bottom"/>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单位：万元</w:t>
            </w:r>
          </w:p>
        </w:tc>
      </w:tr>
      <w:tr>
        <w:tblPrEx>
          <w:tblCellMar>
            <w:top w:w="0" w:type="dxa"/>
            <w:left w:w="108" w:type="dxa"/>
            <w:bottom w:w="0" w:type="dxa"/>
            <w:right w:w="108" w:type="dxa"/>
          </w:tblCellMar>
        </w:tblPrEx>
        <w:trPr>
          <w:trHeight w:val="480" w:hRule="atLeast"/>
          <w:tblHeader/>
        </w:trPr>
        <w:tc>
          <w:tcPr>
            <w:tcW w:w="1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收   入</w:t>
            </w:r>
          </w:p>
        </w:tc>
        <w:tc>
          <w:tcPr>
            <w:tcW w:w="1279"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预算数</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支   出</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预算数</w:t>
            </w:r>
          </w:p>
        </w:tc>
      </w:tr>
      <w:tr>
        <w:tblPrEx>
          <w:tblCellMar>
            <w:top w:w="0" w:type="dxa"/>
            <w:left w:w="108" w:type="dxa"/>
            <w:bottom w:w="0" w:type="dxa"/>
            <w:right w:w="108" w:type="dxa"/>
          </w:tblCellMar>
        </w:tblPrEx>
        <w:trPr>
          <w:trHeight w:val="402" w:hRule="atLeast"/>
        </w:trPr>
        <w:tc>
          <w:tcPr>
            <w:tcW w:w="1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总  计</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b/>
                <w:bCs/>
                <w:color w:val="0D0D0D" w:themeColor="text1" w:themeTint="F2"/>
                <w:kern w:val="0"/>
                <w:sz w:val="24"/>
                <w:szCs w:val="24"/>
                <w14:textFill>
                  <w14:solidFill>
                    <w14:schemeClr w14:val="tx1">
                      <w14:lumMod w14:val="95000"/>
                      <w14:lumOff w14:val="5000"/>
                    </w14:schemeClr>
                  </w14:solidFill>
                </w14:textFill>
              </w:rPr>
              <w:t>1</w:t>
            </w:r>
            <w:r>
              <w:rPr>
                <w:rFonts w:eastAsia="宋体" w:cs="Times New Roman"/>
                <w:b/>
                <w:bCs/>
                <w:color w:val="0D0D0D" w:themeColor="text1" w:themeTint="F2"/>
                <w:kern w:val="0"/>
                <w:sz w:val="24"/>
                <w:szCs w:val="24"/>
                <w14:textFill>
                  <w14:solidFill>
                    <w14:schemeClr w14:val="tx1">
                      <w14:lumMod w14:val="95000"/>
                      <w14:lumOff w14:val="5000"/>
                    </w14:schemeClr>
                  </w14:solidFill>
                </w14:textFill>
              </w:rPr>
              <w:t>2,028</w:t>
            </w:r>
          </w:p>
        </w:tc>
        <w:tc>
          <w:tcPr>
            <w:tcW w:w="425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总  计</w:t>
            </w:r>
          </w:p>
        </w:tc>
        <w:tc>
          <w:tcPr>
            <w:tcW w:w="156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b/>
                <w:bCs/>
                <w:color w:val="0D0D0D" w:themeColor="text1" w:themeTint="F2"/>
                <w:kern w:val="0"/>
                <w:sz w:val="24"/>
                <w:szCs w:val="24"/>
                <w14:textFill>
                  <w14:solidFill>
                    <w14:schemeClr w14:val="tx1">
                      <w14:lumMod w14:val="95000"/>
                      <w14:lumOff w14:val="5000"/>
                    </w14:schemeClr>
                  </w14:solidFill>
                </w14:textFill>
              </w:rPr>
              <w:t>1</w:t>
            </w:r>
            <w:r>
              <w:rPr>
                <w:rFonts w:eastAsia="宋体" w:cs="Times New Roman"/>
                <w:b/>
                <w:bCs/>
                <w:color w:val="0D0D0D" w:themeColor="text1" w:themeTint="F2"/>
                <w:kern w:val="0"/>
                <w:sz w:val="24"/>
                <w:szCs w:val="24"/>
                <w14:textFill>
                  <w14:solidFill>
                    <w14:schemeClr w14:val="tx1">
                      <w14:lumMod w14:val="95000"/>
                      <w14:lumOff w14:val="5000"/>
                    </w14:schemeClr>
                  </w14:solidFill>
                </w14:textFill>
              </w:rPr>
              <w:t>2,028</w:t>
            </w:r>
          </w:p>
        </w:tc>
      </w:tr>
      <w:tr>
        <w:tblPrEx>
          <w:tblCellMar>
            <w:top w:w="0" w:type="dxa"/>
            <w:left w:w="108" w:type="dxa"/>
            <w:bottom w:w="0" w:type="dxa"/>
            <w:right w:w="108" w:type="dxa"/>
          </w:tblCellMar>
        </w:tblPrEx>
        <w:trPr>
          <w:trHeight w:val="402" w:hRule="atLeast"/>
        </w:trPr>
        <w:tc>
          <w:tcPr>
            <w:tcW w:w="1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黑体" w:cs="宋体"/>
                <w:color w:val="0D0D0D" w:themeColor="text1" w:themeTint="F2"/>
                <w:kern w:val="0"/>
                <w:sz w:val="28"/>
                <w:szCs w:val="28"/>
                <w14:textFill>
                  <w14:solidFill>
                    <w14:schemeClr w14:val="tx1">
                      <w14:lumMod w14:val="95000"/>
                      <w14:lumOff w14:val="5000"/>
                    </w14:schemeClr>
                  </w14:solidFill>
                </w14:textFill>
              </w:rPr>
            </w:pPr>
            <w:r>
              <w:rPr>
                <w:rFonts w:hint="eastAsia" w:eastAsia="黑体" w:cs="宋体"/>
                <w:color w:val="0D0D0D" w:themeColor="text1" w:themeTint="F2"/>
                <w:kern w:val="0"/>
                <w:sz w:val="28"/>
                <w:szCs w:val="28"/>
                <w14:textFill>
                  <w14:solidFill>
                    <w14:schemeClr w14:val="tx1">
                      <w14:lumMod w14:val="95000"/>
                      <w14:lumOff w14:val="5000"/>
                    </w14:schemeClr>
                  </w14:solidFill>
                </w14:textFill>
              </w:rPr>
              <w:t>本级收入合计</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b/>
                <w:bCs/>
                <w:color w:val="0D0D0D" w:themeColor="text1" w:themeTint="F2"/>
                <w:kern w:val="0"/>
                <w:sz w:val="24"/>
                <w:szCs w:val="24"/>
                <w14:textFill>
                  <w14:solidFill>
                    <w14:schemeClr w14:val="tx1">
                      <w14:lumMod w14:val="95000"/>
                      <w14:lumOff w14:val="5000"/>
                    </w14:schemeClr>
                  </w14:solidFill>
                </w14:textFill>
              </w:rPr>
              <w:t>1</w:t>
            </w:r>
            <w:r>
              <w:rPr>
                <w:rFonts w:eastAsia="宋体" w:cs="Times New Roman"/>
                <w:b/>
                <w:bCs/>
                <w:color w:val="0D0D0D" w:themeColor="text1" w:themeTint="F2"/>
                <w:kern w:val="0"/>
                <w:sz w:val="24"/>
                <w:szCs w:val="24"/>
                <w14:textFill>
                  <w14:solidFill>
                    <w14:schemeClr w14:val="tx1">
                      <w14:lumMod w14:val="95000"/>
                      <w14:lumOff w14:val="5000"/>
                    </w14:schemeClr>
                  </w14:solidFill>
                </w14:textFill>
              </w:rPr>
              <w:t>2,000</w:t>
            </w:r>
          </w:p>
        </w:tc>
        <w:tc>
          <w:tcPr>
            <w:tcW w:w="425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黑体" w:cs="宋体"/>
                <w:color w:val="0D0D0D" w:themeColor="text1" w:themeTint="F2"/>
                <w:kern w:val="0"/>
                <w:sz w:val="28"/>
                <w:szCs w:val="28"/>
                <w14:textFill>
                  <w14:solidFill>
                    <w14:schemeClr w14:val="tx1">
                      <w14:lumMod w14:val="95000"/>
                      <w14:lumOff w14:val="5000"/>
                    </w14:schemeClr>
                  </w14:solidFill>
                </w14:textFill>
              </w:rPr>
            </w:pPr>
            <w:r>
              <w:rPr>
                <w:rFonts w:hint="eastAsia" w:eastAsia="黑体" w:cs="宋体"/>
                <w:color w:val="0D0D0D" w:themeColor="text1" w:themeTint="F2"/>
                <w:kern w:val="0"/>
                <w:sz w:val="28"/>
                <w:szCs w:val="28"/>
                <w14:textFill>
                  <w14:solidFill>
                    <w14:schemeClr w14:val="tx1">
                      <w14:lumMod w14:val="95000"/>
                      <w14:lumOff w14:val="5000"/>
                    </w14:schemeClr>
                  </w14:solidFill>
                </w14:textFill>
              </w:rPr>
              <w:t>本级支出合计</w:t>
            </w:r>
          </w:p>
        </w:tc>
        <w:tc>
          <w:tcPr>
            <w:tcW w:w="156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b/>
                <w:bCs/>
                <w:color w:val="0D0D0D" w:themeColor="text1" w:themeTint="F2"/>
                <w:kern w:val="0"/>
                <w:sz w:val="24"/>
                <w:szCs w:val="24"/>
                <w14:textFill>
                  <w14:solidFill>
                    <w14:schemeClr w14:val="tx1">
                      <w14:lumMod w14:val="95000"/>
                      <w14:lumOff w14:val="5000"/>
                    </w14:schemeClr>
                  </w14:solidFill>
                </w14:textFill>
              </w:rPr>
              <w:t>3</w:t>
            </w:r>
            <w:r>
              <w:rPr>
                <w:rFonts w:eastAsia="宋体" w:cs="Times New Roman"/>
                <w:b/>
                <w:bCs/>
                <w:color w:val="0D0D0D" w:themeColor="text1" w:themeTint="F2"/>
                <w:kern w:val="0"/>
                <w:sz w:val="24"/>
                <w:szCs w:val="24"/>
                <w14:textFill>
                  <w14:solidFill>
                    <w14:schemeClr w14:val="tx1">
                      <w14:lumMod w14:val="95000"/>
                      <w14:lumOff w14:val="5000"/>
                    </w14:schemeClr>
                  </w14:solidFill>
                </w14:textFill>
              </w:rPr>
              <w:t>,478</w:t>
            </w:r>
          </w:p>
        </w:tc>
      </w:tr>
      <w:tr>
        <w:tblPrEx>
          <w:tblCellMar>
            <w:top w:w="0" w:type="dxa"/>
            <w:left w:w="108" w:type="dxa"/>
            <w:bottom w:w="0" w:type="dxa"/>
            <w:right w:w="108" w:type="dxa"/>
          </w:tblCellMar>
        </w:tblPrEx>
        <w:trPr>
          <w:trHeight w:val="402" w:hRule="atLeast"/>
        </w:trPr>
        <w:tc>
          <w:tcPr>
            <w:tcW w:w="1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一、利润收入</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1</w:t>
            </w:r>
            <w:r>
              <w:rPr>
                <w:rFonts w:eastAsia="宋体" w:cs="Times New Roman"/>
                <w:color w:val="0D0D0D" w:themeColor="text1" w:themeTint="F2"/>
                <w:kern w:val="0"/>
                <w:sz w:val="24"/>
                <w:szCs w:val="24"/>
                <w14:textFill>
                  <w14:solidFill>
                    <w14:schemeClr w14:val="tx1">
                      <w14:lumMod w14:val="95000"/>
                      <w14:lumOff w14:val="5000"/>
                    </w14:schemeClr>
                  </w14:solidFill>
                </w14:textFill>
              </w:rPr>
              <w:t>2,000</w:t>
            </w:r>
          </w:p>
        </w:tc>
        <w:tc>
          <w:tcPr>
            <w:tcW w:w="425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一、解决历史遗留问题及改革成本支出</w:t>
            </w:r>
          </w:p>
        </w:tc>
        <w:tc>
          <w:tcPr>
            <w:tcW w:w="156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2</w:t>
            </w:r>
            <w:r>
              <w:rPr>
                <w:rFonts w:eastAsia="宋体" w:cs="Times New Roman"/>
                <w:color w:val="0D0D0D" w:themeColor="text1" w:themeTint="F2"/>
                <w:kern w:val="0"/>
                <w:sz w:val="24"/>
                <w:szCs w:val="24"/>
                <w14:textFill>
                  <w14:solidFill>
                    <w14:schemeClr w14:val="tx1">
                      <w14:lumMod w14:val="95000"/>
                      <w14:lumOff w14:val="5000"/>
                    </w14:schemeClr>
                  </w14:solidFill>
                </w14:textFill>
              </w:rPr>
              <w:t>8</w:t>
            </w:r>
          </w:p>
        </w:tc>
      </w:tr>
      <w:tr>
        <w:tblPrEx>
          <w:tblCellMar>
            <w:top w:w="0" w:type="dxa"/>
            <w:left w:w="108" w:type="dxa"/>
            <w:bottom w:w="0" w:type="dxa"/>
            <w:right w:w="108" w:type="dxa"/>
          </w:tblCellMar>
        </w:tblPrEx>
        <w:trPr>
          <w:trHeight w:val="402" w:hRule="atLeast"/>
        </w:trPr>
        <w:tc>
          <w:tcPr>
            <w:tcW w:w="1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　</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p>
        </w:tc>
        <w:tc>
          <w:tcPr>
            <w:tcW w:w="425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 xml:space="preserve">      国有企业退休人员社会化管理补助支出</w:t>
            </w:r>
          </w:p>
        </w:tc>
        <w:tc>
          <w:tcPr>
            <w:tcW w:w="156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2</w:t>
            </w:r>
            <w:r>
              <w:rPr>
                <w:rFonts w:eastAsia="宋体" w:cs="Times New Roman"/>
                <w:color w:val="0D0D0D" w:themeColor="text1" w:themeTint="F2"/>
                <w:kern w:val="0"/>
                <w:sz w:val="24"/>
                <w:szCs w:val="24"/>
                <w14:textFill>
                  <w14:solidFill>
                    <w14:schemeClr w14:val="tx1">
                      <w14:lumMod w14:val="95000"/>
                      <w14:lumOff w14:val="5000"/>
                    </w14:schemeClr>
                  </w14:solidFill>
                </w14:textFill>
              </w:rPr>
              <w:t>8</w:t>
            </w:r>
          </w:p>
        </w:tc>
      </w:tr>
      <w:tr>
        <w:tblPrEx>
          <w:tblCellMar>
            <w:top w:w="0" w:type="dxa"/>
            <w:left w:w="108" w:type="dxa"/>
            <w:bottom w:w="0" w:type="dxa"/>
            <w:right w:w="108" w:type="dxa"/>
          </w:tblCellMar>
        </w:tblPrEx>
        <w:trPr>
          <w:trHeight w:val="402" w:hRule="atLeast"/>
        </w:trPr>
        <w:tc>
          <w:tcPr>
            <w:tcW w:w="1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　</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p>
        </w:tc>
        <w:tc>
          <w:tcPr>
            <w:tcW w:w="425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　</w:t>
            </w:r>
          </w:p>
        </w:tc>
        <w:tc>
          <w:tcPr>
            <w:tcW w:w="156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2" w:hRule="atLeast"/>
        </w:trPr>
        <w:tc>
          <w:tcPr>
            <w:tcW w:w="1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　</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p>
        </w:tc>
        <w:tc>
          <w:tcPr>
            <w:tcW w:w="425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二、国有企业资本金注入</w:t>
            </w:r>
          </w:p>
        </w:tc>
        <w:tc>
          <w:tcPr>
            <w:tcW w:w="156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3</w:t>
            </w:r>
            <w:r>
              <w:rPr>
                <w:rFonts w:eastAsia="宋体" w:cs="Times New Roman"/>
                <w:color w:val="0D0D0D" w:themeColor="text1" w:themeTint="F2"/>
                <w:kern w:val="0"/>
                <w:sz w:val="24"/>
                <w:szCs w:val="24"/>
                <w14:textFill>
                  <w14:solidFill>
                    <w14:schemeClr w14:val="tx1">
                      <w14:lumMod w14:val="95000"/>
                      <w14:lumOff w14:val="5000"/>
                    </w14:schemeClr>
                  </w14:solidFill>
                </w14:textFill>
              </w:rPr>
              <w:t>,450</w:t>
            </w:r>
          </w:p>
        </w:tc>
      </w:tr>
      <w:tr>
        <w:tblPrEx>
          <w:tblCellMar>
            <w:top w:w="0" w:type="dxa"/>
            <w:left w:w="108" w:type="dxa"/>
            <w:bottom w:w="0" w:type="dxa"/>
            <w:right w:w="108" w:type="dxa"/>
          </w:tblCellMar>
        </w:tblPrEx>
        <w:trPr>
          <w:trHeight w:val="402" w:hRule="atLeast"/>
        </w:trPr>
        <w:tc>
          <w:tcPr>
            <w:tcW w:w="1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　</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p>
        </w:tc>
        <w:tc>
          <w:tcPr>
            <w:tcW w:w="425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 xml:space="preserve">      其他国有企业资本金注入</w:t>
            </w:r>
          </w:p>
        </w:tc>
        <w:tc>
          <w:tcPr>
            <w:tcW w:w="156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3</w:t>
            </w:r>
            <w:r>
              <w:rPr>
                <w:rFonts w:eastAsia="宋体" w:cs="Times New Roman"/>
                <w:color w:val="0D0D0D" w:themeColor="text1" w:themeTint="F2"/>
                <w:kern w:val="0"/>
                <w:sz w:val="24"/>
                <w:szCs w:val="24"/>
                <w14:textFill>
                  <w14:solidFill>
                    <w14:schemeClr w14:val="tx1">
                      <w14:lumMod w14:val="95000"/>
                      <w14:lumOff w14:val="5000"/>
                    </w14:schemeClr>
                  </w14:solidFill>
                </w14:textFill>
              </w:rPr>
              <w:t>,450</w:t>
            </w:r>
          </w:p>
        </w:tc>
      </w:tr>
      <w:tr>
        <w:tblPrEx>
          <w:tblCellMar>
            <w:top w:w="0" w:type="dxa"/>
            <w:left w:w="108" w:type="dxa"/>
            <w:bottom w:w="0" w:type="dxa"/>
            <w:right w:w="108" w:type="dxa"/>
          </w:tblCellMar>
        </w:tblPrEx>
        <w:trPr>
          <w:trHeight w:val="402" w:hRule="atLeast"/>
        </w:trPr>
        <w:tc>
          <w:tcPr>
            <w:tcW w:w="1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黑体" w:cs="宋体"/>
                <w:color w:val="0D0D0D" w:themeColor="text1" w:themeTint="F2"/>
                <w:kern w:val="0"/>
                <w:sz w:val="28"/>
                <w:szCs w:val="28"/>
                <w14:textFill>
                  <w14:solidFill>
                    <w14:schemeClr w14:val="tx1">
                      <w14:lumMod w14:val="95000"/>
                      <w14:lumOff w14:val="5000"/>
                    </w14:schemeClr>
                  </w14:solidFill>
                </w14:textFill>
              </w:rPr>
            </w:pPr>
            <w:r>
              <w:rPr>
                <w:rFonts w:hint="eastAsia" w:eastAsia="黑体" w:cs="宋体"/>
                <w:color w:val="0D0D0D" w:themeColor="text1" w:themeTint="F2"/>
                <w:kern w:val="0"/>
                <w:sz w:val="28"/>
                <w:szCs w:val="28"/>
                <w14:textFill>
                  <w14:solidFill>
                    <w14:schemeClr w14:val="tx1">
                      <w14:lumMod w14:val="95000"/>
                      <w14:lumOff w14:val="5000"/>
                    </w14:schemeClr>
                  </w14:solidFill>
                </w14:textFill>
              </w:rPr>
              <w:t>转移性收入合计</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b/>
                <w:bCs/>
                <w:color w:val="0D0D0D" w:themeColor="text1" w:themeTint="F2"/>
                <w:kern w:val="0"/>
                <w:sz w:val="24"/>
                <w:szCs w:val="24"/>
                <w14:textFill>
                  <w14:solidFill>
                    <w14:schemeClr w14:val="tx1">
                      <w14:lumMod w14:val="95000"/>
                      <w14:lumOff w14:val="5000"/>
                    </w14:schemeClr>
                  </w14:solidFill>
                </w14:textFill>
              </w:rPr>
              <w:t>2</w:t>
            </w:r>
            <w:r>
              <w:rPr>
                <w:rFonts w:eastAsia="宋体" w:cs="Times New Roman"/>
                <w:b/>
                <w:bCs/>
                <w:color w:val="0D0D0D" w:themeColor="text1" w:themeTint="F2"/>
                <w:kern w:val="0"/>
                <w:sz w:val="24"/>
                <w:szCs w:val="24"/>
                <w14:textFill>
                  <w14:solidFill>
                    <w14:schemeClr w14:val="tx1">
                      <w14:lumMod w14:val="95000"/>
                      <w14:lumOff w14:val="5000"/>
                    </w14:schemeClr>
                  </w14:solidFill>
                </w14:textFill>
              </w:rPr>
              <w:t>8</w:t>
            </w:r>
          </w:p>
        </w:tc>
        <w:tc>
          <w:tcPr>
            <w:tcW w:w="425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黑体" w:cs="宋体"/>
                <w:color w:val="0D0D0D" w:themeColor="text1" w:themeTint="F2"/>
                <w:kern w:val="0"/>
                <w:sz w:val="28"/>
                <w:szCs w:val="28"/>
                <w14:textFill>
                  <w14:solidFill>
                    <w14:schemeClr w14:val="tx1">
                      <w14:lumMod w14:val="95000"/>
                      <w14:lumOff w14:val="5000"/>
                    </w14:schemeClr>
                  </w14:solidFill>
                </w14:textFill>
              </w:rPr>
            </w:pPr>
            <w:r>
              <w:rPr>
                <w:rFonts w:hint="eastAsia" w:eastAsia="黑体" w:cs="宋体"/>
                <w:color w:val="0D0D0D" w:themeColor="text1" w:themeTint="F2"/>
                <w:kern w:val="0"/>
                <w:sz w:val="28"/>
                <w:szCs w:val="28"/>
                <w14:textFill>
                  <w14:solidFill>
                    <w14:schemeClr w14:val="tx1">
                      <w14:lumMod w14:val="95000"/>
                      <w14:lumOff w14:val="5000"/>
                    </w14:schemeClr>
                  </w14:solidFill>
                </w14:textFill>
              </w:rPr>
              <w:t>转移性支出合计</w:t>
            </w:r>
          </w:p>
        </w:tc>
        <w:tc>
          <w:tcPr>
            <w:tcW w:w="156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b/>
                <w:bCs/>
                <w:color w:val="0D0D0D" w:themeColor="text1" w:themeTint="F2"/>
                <w:kern w:val="0"/>
                <w:sz w:val="24"/>
                <w:szCs w:val="24"/>
                <w14:textFill>
                  <w14:solidFill>
                    <w14:schemeClr w14:val="tx1">
                      <w14:lumMod w14:val="95000"/>
                      <w14:lumOff w14:val="5000"/>
                    </w14:schemeClr>
                  </w14:solidFill>
                </w14:textFill>
              </w:rPr>
              <w:t>8</w:t>
            </w:r>
            <w:r>
              <w:rPr>
                <w:rFonts w:eastAsia="宋体" w:cs="Times New Roman"/>
                <w:b/>
                <w:bCs/>
                <w:color w:val="0D0D0D" w:themeColor="text1" w:themeTint="F2"/>
                <w:kern w:val="0"/>
                <w:sz w:val="24"/>
                <w:szCs w:val="24"/>
                <w14:textFill>
                  <w14:solidFill>
                    <w14:schemeClr w14:val="tx1">
                      <w14:lumMod w14:val="95000"/>
                      <w14:lumOff w14:val="5000"/>
                    </w14:schemeClr>
                  </w14:solidFill>
                </w14:textFill>
              </w:rPr>
              <w:t>,550</w:t>
            </w:r>
          </w:p>
        </w:tc>
      </w:tr>
      <w:tr>
        <w:tblPrEx>
          <w:tblCellMar>
            <w:top w:w="0" w:type="dxa"/>
            <w:left w:w="108" w:type="dxa"/>
            <w:bottom w:w="0" w:type="dxa"/>
            <w:right w:w="108" w:type="dxa"/>
          </w:tblCellMar>
        </w:tblPrEx>
        <w:trPr>
          <w:trHeight w:val="402" w:hRule="atLeast"/>
        </w:trPr>
        <w:tc>
          <w:tcPr>
            <w:tcW w:w="1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一、上级补助收入</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p>
        </w:tc>
        <w:tc>
          <w:tcPr>
            <w:tcW w:w="425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一、调出资金</w:t>
            </w:r>
          </w:p>
        </w:tc>
        <w:tc>
          <w:tcPr>
            <w:tcW w:w="156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8</w:t>
            </w:r>
            <w:r>
              <w:rPr>
                <w:rFonts w:eastAsia="宋体" w:cs="Times New Roman"/>
                <w:color w:val="0D0D0D" w:themeColor="text1" w:themeTint="F2"/>
                <w:kern w:val="0"/>
                <w:sz w:val="24"/>
                <w:szCs w:val="24"/>
                <w14:textFill>
                  <w14:solidFill>
                    <w14:schemeClr w14:val="tx1">
                      <w14:lumMod w14:val="95000"/>
                      <w14:lumOff w14:val="5000"/>
                    </w14:schemeClr>
                  </w14:solidFill>
                </w14:textFill>
              </w:rPr>
              <w:t>,550</w:t>
            </w:r>
          </w:p>
        </w:tc>
      </w:tr>
      <w:tr>
        <w:tblPrEx>
          <w:tblCellMar>
            <w:top w:w="0" w:type="dxa"/>
            <w:left w:w="108" w:type="dxa"/>
            <w:bottom w:w="0" w:type="dxa"/>
            <w:right w:w="108" w:type="dxa"/>
          </w:tblCellMar>
        </w:tblPrEx>
        <w:trPr>
          <w:trHeight w:val="402" w:hRule="atLeast"/>
        </w:trPr>
        <w:tc>
          <w:tcPr>
            <w:tcW w:w="169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二、上年结转</w:t>
            </w:r>
          </w:p>
        </w:tc>
        <w:tc>
          <w:tcPr>
            <w:tcW w:w="127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2</w:t>
            </w:r>
            <w:r>
              <w:rPr>
                <w:rFonts w:eastAsia="宋体" w:cs="Times New Roman"/>
                <w:color w:val="0D0D0D" w:themeColor="text1" w:themeTint="F2"/>
                <w:kern w:val="0"/>
                <w:sz w:val="24"/>
                <w:szCs w:val="24"/>
                <w14:textFill>
                  <w14:solidFill>
                    <w14:schemeClr w14:val="tx1">
                      <w14:lumMod w14:val="95000"/>
                      <w14:lumOff w14:val="5000"/>
                    </w14:schemeClr>
                  </w14:solidFill>
                </w14:textFill>
              </w:rPr>
              <w:t>8</w:t>
            </w:r>
          </w:p>
        </w:tc>
        <w:tc>
          <w:tcPr>
            <w:tcW w:w="425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　</w:t>
            </w:r>
          </w:p>
        </w:tc>
        <w:tc>
          <w:tcPr>
            <w:tcW w:w="156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p>
        </w:tc>
      </w:tr>
    </w:tbl>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国有资本经营预算收入预算</w:t>
      </w:r>
      <w:r>
        <w:rPr>
          <w:color w:val="0D0D0D" w:themeColor="text1" w:themeTint="F2"/>
          <w14:textFill>
            <w14:solidFill>
              <w14:schemeClr w14:val="tx1">
                <w14:lumMod w14:val="95000"/>
                <w14:lumOff w14:val="5000"/>
              </w14:schemeClr>
            </w14:solidFill>
          </w14:textFill>
        </w:rPr>
        <w:t>1.2</w:t>
      </w:r>
      <w:r>
        <w:rPr>
          <w:rFonts w:hint="eastAsia"/>
          <w:color w:val="0D0D0D" w:themeColor="text1" w:themeTint="F2"/>
          <w14:textFill>
            <w14:solidFill>
              <w14:schemeClr w14:val="tx1">
                <w14:lumMod w14:val="95000"/>
                <w14:lumOff w14:val="5000"/>
              </w14:schemeClr>
            </w14:solidFill>
          </w14:textFill>
        </w:rPr>
        <w:t>亿元，为国有企业上缴经营利润。本级收入加上年结转</w:t>
      </w:r>
      <w:r>
        <w:rPr>
          <w:color w:val="0D0D0D" w:themeColor="text1" w:themeTint="F2"/>
          <w14:textFill>
            <w14:solidFill>
              <w14:schemeClr w14:val="tx1">
                <w14:lumMod w14:val="95000"/>
                <w14:lumOff w14:val="5000"/>
              </w14:schemeClr>
            </w14:solidFill>
          </w14:textFill>
        </w:rPr>
        <w:t>28</w:t>
      </w:r>
      <w:r>
        <w:rPr>
          <w:rFonts w:hint="eastAsia"/>
          <w:color w:val="0D0D0D" w:themeColor="text1" w:themeTint="F2"/>
          <w14:textFill>
            <w14:solidFill>
              <w14:schemeClr w14:val="tx1">
                <w14:lumMod w14:val="95000"/>
                <w14:lumOff w14:val="5000"/>
              </w14:schemeClr>
            </w14:solidFill>
          </w14:textFill>
        </w:rPr>
        <w:t>万元，国有资本经营预算收入总计</w:t>
      </w:r>
      <w:r>
        <w:rPr>
          <w:color w:val="0D0D0D" w:themeColor="text1" w:themeTint="F2"/>
          <w14:textFill>
            <w14:solidFill>
              <w14:schemeClr w14:val="tx1">
                <w14:lumMod w14:val="95000"/>
                <w14:lumOff w14:val="5000"/>
              </w14:schemeClr>
            </w14:solidFill>
          </w14:textFill>
        </w:rPr>
        <w:t>1.2</w:t>
      </w:r>
      <w:r>
        <w:rPr>
          <w:rFonts w:hint="eastAsia"/>
          <w:color w:val="0D0D0D" w:themeColor="text1" w:themeTint="F2"/>
          <w14:textFill>
            <w14:solidFill>
              <w14:schemeClr w14:val="tx1">
                <w14:lumMod w14:val="95000"/>
                <w14:lumOff w14:val="5000"/>
              </w14:schemeClr>
            </w14:solidFill>
          </w14:textFill>
        </w:rPr>
        <w:t>亿元。</w:t>
      </w:r>
    </w:p>
    <w:p>
      <w:pPr>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国有资本经营预算本级支出拟安排</w:t>
      </w:r>
      <w:r>
        <w:rPr>
          <w:color w:val="0D0D0D" w:themeColor="text1" w:themeTint="F2"/>
          <w14:textFill>
            <w14:solidFill>
              <w14:schemeClr w14:val="tx1">
                <w14:lumMod w14:val="95000"/>
                <w14:lumOff w14:val="5000"/>
              </w14:schemeClr>
            </w14:solidFill>
          </w14:textFill>
        </w:rPr>
        <w:t>0.3</w:t>
      </w:r>
      <w:r>
        <w:rPr>
          <w:rFonts w:hint="eastAsia"/>
          <w:color w:val="0D0D0D" w:themeColor="text1" w:themeTint="F2"/>
          <w14:textFill>
            <w14:solidFill>
              <w14:schemeClr w14:val="tx1">
                <w14:lumMod w14:val="95000"/>
                <w14:lumOff w14:val="5000"/>
              </w14:schemeClr>
            </w14:solidFill>
          </w14:textFill>
        </w:rPr>
        <w:t>亿元，其中</w:t>
      </w:r>
      <w:r>
        <w:rPr>
          <w:color w:val="0D0D0D" w:themeColor="text1" w:themeTint="F2"/>
          <w14:textFill>
            <w14:solidFill>
              <w14:schemeClr w14:val="tx1">
                <w14:lumMod w14:val="95000"/>
                <w14:lumOff w14:val="5000"/>
              </w14:schemeClr>
            </w14:solidFill>
          </w14:textFill>
        </w:rPr>
        <w:t>3450</w:t>
      </w:r>
      <w:r>
        <w:rPr>
          <w:rFonts w:hint="eastAsia"/>
          <w:color w:val="0D0D0D" w:themeColor="text1" w:themeTint="F2"/>
          <w14:textFill>
            <w14:solidFill>
              <w14:schemeClr w14:val="tx1">
                <w14:lumMod w14:val="95000"/>
                <w14:lumOff w14:val="5000"/>
              </w14:schemeClr>
            </w14:solidFill>
          </w14:textFill>
        </w:rPr>
        <w:t>万元用于国有公司资本金注入，</w:t>
      </w:r>
      <w:r>
        <w:rPr>
          <w:color w:val="0D0D0D" w:themeColor="text1" w:themeTint="F2"/>
          <w14:textFill>
            <w14:solidFill>
              <w14:schemeClr w14:val="tx1">
                <w14:lumMod w14:val="95000"/>
                <w14:lumOff w14:val="5000"/>
              </w14:schemeClr>
            </w14:solidFill>
          </w14:textFill>
        </w:rPr>
        <w:t>28</w:t>
      </w:r>
      <w:r>
        <w:rPr>
          <w:rFonts w:hint="eastAsia"/>
          <w:color w:val="0D0D0D" w:themeColor="text1" w:themeTint="F2"/>
          <w14:textFill>
            <w14:solidFill>
              <w14:schemeClr w14:val="tx1">
                <w14:lumMod w14:val="95000"/>
                <w14:lumOff w14:val="5000"/>
              </w14:schemeClr>
            </w14:solidFill>
          </w14:textFill>
        </w:rPr>
        <w:t>万元用于国有企业退休人员社会管理补助。本级支出加调出</w:t>
      </w:r>
      <w:r>
        <w:rPr>
          <w:color w:val="0D0D0D" w:themeColor="text1" w:themeTint="F2"/>
          <w14:textFill>
            <w14:solidFill>
              <w14:schemeClr w14:val="tx1">
                <w14:lumMod w14:val="95000"/>
                <w14:lumOff w14:val="5000"/>
              </w14:schemeClr>
            </w14:solidFill>
          </w14:textFill>
        </w:rPr>
        <w:t>0.9</w:t>
      </w:r>
      <w:r>
        <w:rPr>
          <w:rFonts w:hint="eastAsia"/>
          <w:color w:val="0D0D0D" w:themeColor="text1" w:themeTint="F2"/>
          <w14:textFill>
            <w14:solidFill>
              <w14:schemeClr w14:val="tx1">
                <w14:lumMod w14:val="95000"/>
                <w14:lumOff w14:val="5000"/>
              </w14:schemeClr>
            </w14:solidFill>
          </w14:textFill>
        </w:rPr>
        <w:t>亿元用于弥补一般公共预算缺口，国有资本经营预算支出总计</w:t>
      </w:r>
      <w:r>
        <w:rPr>
          <w:color w:val="0D0D0D" w:themeColor="text1" w:themeTint="F2"/>
          <w14:textFill>
            <w14:solidFill>
              <w14:schemeClr w14:val="tx1">
                <w14:lumMod w14:val="95000"/>
                <w14:lumOff w14:val="5000"/>
              </w14:schemeClr>
            </w14:solidFill>
          </w14:textFill>
        </w:rPr>
        <w:t>1.2</w:t>
      </w:r>
      <w:r>
        <w:rPr>
          <w:rFonts w:hint="eastAsia"/>
          <w:color w:val="0D0D0D" w:themeColor="text1" w:themeTint="F2"/>
          <w14:textFill>
            <w14:solidFill>
              <w14:schemeClr w14:val="tx1">
                <w14:lumMod w14:val="95000"/>
                <w14:lumOff w14:val="5000"/>
              </w14:schemeClr>
            </w14:solidFill>
          </w14:textFill>
        </w:rPr>
        <w:t>亿元。</w:t>
      </w:r>
    </w:p>
    <w:p>
      <w:pPr>
        <w:pStyle w:val="2"/>
        <w:ind w:firstLine="6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四、2</w:t>
      </w:r>
      <w:r>
        <w:rPr>
          <w:color w:val="0D0D0D" w:themeColor="text1" w:themeTint="F2"/>
          <w14:textFill>
            <w14:solidFill>
              <w14:schemeClr w14:val="tx1">
                <w14:lumMod w14:val="95000"/>
                <w14:lumOff w14:val="5000"/>
              </w14:schemeClr>
            </w14:solidFill>
          </w14:textFill>
        </w:rPr>
        <w:t>023</w:t>
      </w:r>
      <w:r>
        <w:rPr>
          <w:rFonts w:hint="eastAsia"/>
          <w:color w:val="0D0D0D" w:themeColor="text1" w:themeTint="F2"/>
          <w14:textFill>
            <w14:solidFill>
              <w14:schemeClr w14:val="tx1">
                <w14:lumMod w14:val="95000"/>
                <w14:lumOff w14:val="5000"/>
              </w14:schemeClr>
            </w14:solidFill>
          </w14:textFill>
        </w:rPr>
        <w:t>年财政重点工作</w:t>
      </w:r>
    </w:p>
    <w:p>
      <w:pPr>
        <w:ind w:firstLine="640"/>
        <w:rPr>
          <w:color w:val="0D0D0D" w:themeColor="text1" w:themeTint="F2"/>
          <w14:textFill>
            <w14:solidFill>
              <w14:schemeClr w14:val="tx1">
                <w14:lumMod w14:val="95000"/>
                <w14:lumOff w14:val="5000"/>
              </w14:schemeClr>
            </w14:solidFill>
          </w14:textFill>
        </w:rPr>
      </w:pPr>
      <w:r>
        <w:rPr>
          <w:rFonts w:hint="eastAsia" w:eastAsia="方正楷体_GBK"/>
          <w:color w:val="0D0D0D" w:themeColor="text1" w:themeTint="F2"/>
          <w14:textFill>
            <w14:solidFill>
              <w14:schemeClr w14:val="tx1">
                <w14:lumMod w14:val="95000"/>
                <w14:lumOff w14:val="5000"/>
              </w14:schemeClr>
            </w14:solidFill>
          </w14:textFill>
        </w:rPr>
        <w:t>（一）进一步培植财源，不断夯实财政增收基础。</w:t>
      </w:r>
      <w:r>
        <w:rPr>
          <w:rFonts w:hint="eastAsia"/>
          <w:color w:val="0D0D0D" w:themeColor="text1" w:themeTint="F2"/>
          <w14:textFill>
            <w14:solidFill>
              <w14:schemeClr w14:val="tx1">
                <w14:lumMod w14:val="95000"/>
                <w14:lumOff w14:val="5000"/>
              </w14:schemeClr>
            </w14:solidFill>
          </w14:textFill>
        </w:rPr>
        <w:t>一是聚焦科技自立自强和现代产业体系建设，支持引进具有核心竞争力的科技成果转化项目，运用财税、金融手段促进现代产业体系建设，打好组合拳、发挥协同力。二是实实在在减轻实体经济负担，不折不扣落实国家现有减税降费政策，扎实做好各项“减、免、缓、退”等惠企政策实施，强化对中小微企业、个体工商户和制造业的扶持。三是继续做优营商环境，加大引“智”招商力度，通过“减”流程、“加”服务，推动营商环境提质升级，助力企业“加速跑”，改善社会心理预期，提振发展信心、激发市场主体活力。</w:t>
      </w:r>
    </w:p>
    <w:p>
      <w:pPr>
        <w:ind w:firstLine="640"/>
        <w:rPr>
          <w:rFonts w:eastAsia="方正楷体_GBK"/>
          <w:color w:val="0D0D0D" w:themeColor="text1" w:themeTint="F2"/>
          <w14:textFill>
            <w14:solidFill>
              <w14:schemeClr w14:val="tx1">
                <w14:lumMod w14:val="95000"/>
                <w14:lumOff w14:val="5000"/>
              </w14:schemeClr>
            </w14:solidFill>
          </w14:textFill>
        </w:rPr>
      </w:pPr>
      <w:r>
        <w:rPr>
          <w:rFonts w:hint="eastAsia" w:eastAsia="方正楷体_GBK"/>
          <w:color w:val="0D0D0D" w:themeColor="text1" w:themeTint="F2"/>
          <w14:textFill>
            <w14:solidFill>
              <w14:schemeClr w14:val="tx1">
                <w14:lumMod w14:val="95000"/>
                <w14:lumOff w14:val="5000"/>
              </w14:schemeClr>
            </w14:solidFill>
          </w14:textFill>
        </w:rPr>
        <w:t>（二）进一步优化资源，不断增强财政保障能力。</w:t>
      </w:r>
      <w:r>
        <w:rPr>
          <w:rFonts w:hint="eastAsia"/>
          <w:color w:val="0D0D0D" w:themeColor="text1" w:themeTint="F2"/>
          <w14:textFill>
            <w14:solidFill>
              <w14:schemeClr w14:val="tx1">
                <w14:lumMod w14:val="95000"/>
                <w14:lumOff w14:val="5000"/>
              </w14:schemeClr>
            </w14:solidFill>
          </w14:textFill>
        </w:rPr>
        <w:t>一是强化“全口径”预算约束，进一步完善政府预算体系，强化三本预算“全口径”管理，加强政府性基金预算、国有资本经营预算与一般公共预算统筹衔接，科学合理统筹事业单位收入。二是提高存量资金使用效益，完善转移支付结转结余收回、加强财政资金清理盘活以及从严从紧控制预算追加，最大程度发挥财政资金使用效益。</w:t>
      </w:r>
    </w:p>
    <w:p>
      <w:pPr>
        <w:ind w:firstLine="640"/>
        <w:rPr>
          <w:color w:val="0D0D0D" w:themeColor="text1" w:themeTint="F2"/>
          <w14:textFill>
            <w14:solidFill>
              <w14:schemeClr w14:val="tx1">
                <w14:lumMod w14:val="95000"/>
                <w14:lumOff w14:val="5000"/>
              </w14:schemeClr>
            </w14:solidFill>
          </w14:textFill>
        </w:rPr>
      </w:pPr>
      <w:r>
        <w:rPr>
          <w:rFonts w:hint="eastAsia" w:eastAsia="方正楷体_GBK"/>
          <w:color w:val="0D0D0D" w:themeColor="text1" w:themeTint="F2"/>
          <w14:textFill>
            <w14:solidFill>
              <w14:schemeClr w14:val="tx1">
                <w14:lumMod w14:val="95000"/>
                <w14:lumOff w14:val="5000"/>
              </w14:schemeClr>
            </w14:solidFill>
          </w14:textFill>
        </w:rPr>
        <w:t>（三）进一步深化改革，不断推动管理</w:t>
      </w:r>
      <w:r>
        <w:rPr>
          <w:rFonts w:hint="eastAsia" w:eastAsia="方正楷体_GBK"/>
          <w:color w:val="0D0D0D" w:themeColor="text1" w:themeTint="F2"/>
          <w:lang w:eastAsia="zh-CN"/>
          <w14:textFill>
            <w14:solidFill>
              <w14:schemeClr w14:val="tx1">
                <w14:lumMod w14:val="95000"/>
                <w14:lumOff w14:val="5000"/>
              </w14:schemeClr>
            </w14:solidFill>
          </w14:textFill>
        </w:rPr>
        <w:t>提质增效</w:t>
      </w:r>
      <w:r>
        <w:rPr>
          <w:rFonts w:hint="eastAsia" w:eastAsia="方正楷体_GBK"/>
          <w:color w:val="0D0D0D" w:themeColor="text1" w:themeTint="F2"/>
          <w14:textFill>
            <w14:solidFill>
              <w14:schemeClr w14:val="tx1">
                <w14:lumMod w14:val="95000"/>
                <w14:lumOff w14:val="5000"/>
              </w14:schemeClr>
            </w14:solidFill>
          </w14:textFill>
        </w:rPr>
        <w:t>。</w:t>
      </w:r>
      <w:r>
        <w:rPr>
          <w:rFonts w:hint="eastAsia"/>
          <w:color w:val="0D0D0D" w:themeColor="text1" w:themeTint="F2"/>
          <w14:textFill>
            <w14:solidFill>
              <w14:schemeClr w14:val="tx1">
                <w14:lumMod w14:val="95000"/>
                <w14:lumOff w14:val="5000"/>
              </w14:schemeClr>
            </w14:solidFill>
          </w14:textFill>
        </w:rPr>
        <w:t>一是推动预算标准体系建设，结合市级支出标准体系，充分评估高新区实际，探索建立以项目类型分类的通用标准，以支出功能分类的专用标准和部门、镇街内部标准框架体系。二是提升财政资金的效益，将绩效理念和方法融入预算编制、执行和监督全过程，推动预算绩效管理审核“前移”，落实重大政策和项目立项预算评估机制，从源头上提高预算编制的科学性。加强绩效评价结果应用，切实压减低效无效支出。三是持续深化国资国企改革，巩固改革成果。加强国企改革督查督办，在已基本完成国企改革任务的基础上，继续查漏补缺、夯基补短，将国企改革继续往纵深推进。将国企改革成果制度化、流程化，把改革成果落地落实，充分彰显改革成效，以改革促发展，持续推动国有企业市场化转型，增强国有企业市场竞争力。</w:t>
      </w:r>
    </w:p>
    <w:p>
      <w:pPr>
        <w:ind w:firstLine="640"/>
        <w:rPr>
          <w:color w:val="0D0D0D" w:themeColor="text1" w:themeTint="F2"/>
          <w14:textFill>
            <w14:solidFill>
              <w14:schemeClr w14:val="tx1">
                <w14:lumMod w14:val="95000"/>
                <w14:lumOff w14:val="5000"/>
              </w14:schemeClr>
            </w14:solidFill>
          </w14:textFill>
        </w:rPr>
      </w:pPr>
      <w:r>
        <w:rPr>
          <w:rFonts w:hint="eastAsia" w:eastAsia="方正楷体_GBK"/>
          <w:color w:val="0D0D0D" w:themeColor="text1" w:themeTint="F2"/>
          <w14:textFill>
            <w14:solidFill>
              <w14:schemeClr w14:val="tx1">
                <w14:lumMod w14:val="95000"/>
                <w14:lumOff w14:val="5000"/>
              </w14:schemeClr>
            </w14:solidFill>
          </w14:textFill>
        </w:rPr>
        <w:t>（四）进一步统筹安全，不断织密筑牢风险底线。</w:t>
      </w:r>
      <w:r>
        <w:rPr>
          <w:rFonts w:hint="eastAsia"/>
          <w:color w:val="0D0D0D" w:themeColor="text1" w:themeTint="F2"/>
          <w14:textFill>
            <w14:solidFill>
              <w14:schemeClr w14:val="tx1">
                <w14:lumMod w14:val="95000"/>
                <w14:lumOff w14:val="5000"/>
              </w14:schemeClr>
            </w14:solidFill>
          </w14:textFill>
        </w:rPr>
        <w:t>一是兜牢“三保”底线，强化“三保”风险管控，加强分析调度，动态掌握“三保”支出执行进度、“三保”可用财力等相关情况，严格落实“三保”在预算安排和财政支出中的优先原则。二是严肃财经纪律，完善内部控制机制，强化监督执纪问责；完善内部监督机制，全面梳理违纪风险点，明确风险岗位等级。建立健全制度机制，做到有章可循，形成长效机制。三是防范债务风险，合理控制政府性投资，坚持“尽力而为、量力而行”原则，处理好防风险与促发展的关系，促进财政可持续发展。</w:t>
      </w:r>
      <w:bookmarkEnd w:id="0"/>
      <w:r>
        <w:rPr>
          <w:color w:val="0D0D0D" w:themeColor="text1" w:themeTint="F2"/>
          <w14:textFill>
            <w14:solidFill>
              <w14:schemeClr w14:val="tx1">
                <w14:lumMod w14:val="95000"/>
                <w14:lumOff w14:val="5000"/>
              </w14:schemeClr>
            </w14:solidFill>
          </w14:textFill>
        </w:rPr>
        <w:br w:type="page"/>
      </w:r>
    </w:p>
    <w:p>
      <w:pPr>
        <w:widowControl/>
        <w:spacing w:line="240" w:lineRule="auto"/>
        <w:ind w:firstLine="0" w:firstLineChars="0"/>
        <w:jc w:val="left"/>
        <w:rPr>
          <w:rFonts w:eastAsia="方正黑体_GBK"/>
          <w:bCs/>
          <w:color w:val="0D0D0D" w:themeColor="text1" w:themeTint="F2"/>
          <w:kern w:val="44"/>
          <w:szCs w:val="44"/>
          <w14:textFill>
            <w14:solidFill>
              <w14:schemeClr w14:val="tx1">
                <w14:lumMod w14:val="95000"/>
                <w14:lumOff w14:val="5000"/>
              </w14:schemeClr>
            </w14:solidFill>
          </w14:textFill>
        </w:rPr>
      </w:pPr>
    </w:p>
    <w:p>
      <w:pPr>
        <w:widowControl/>
        <w:spacing w:line="240" w:lineRule="auto"/>
        <w:ind w:firstLine="0" w:firstLineChars="0"/>
        <w:jc w:val="left"/>
        <w:rPr>
          <w:rFonts w:eastAsia="方正黑体_GBK"/>
          <w:bCs/>
          <w:color w:val="0D0D0D" w:themeColor="text1" w:themeTint="F2"/>
          <w:kern w:val="44"/>
          <w:szCs w:val="44"/>
          <w14:textFill>
            <w14:solidFill>
              <w14:schemeClr w14:val="tx1">
                <w14:lumMod w14:val="95000"/>
                <w14:lumOff w14:val="5000"/>
              </w14:schemeClr>
            </w14:solidFill>
          </w14:textFill>
        </w:rPr>
      </w:pPr>
    </w:p>
    <w:p>
      <w:pPr>
        <w:widowControl/>
        <w:spacing w:line="240" w:lineRule="auto"/>
        <w:ind w:firstLine="0" w:firstLineChars="0"/>
        <w:jc w:val="left"/>
        <w:rPr>
          <w:rFonts w:eastAsia="方正黑体_GBK"/>
          <w:bCs/>
          <w:color w:val="0D0D0D" w:themeColor="text1" w:themeTint="F2"/>
          <w:kern w:val="44"/>
          <w:szCs w:val="44"/>
          <w14:textFill>
            <w14:solidFill>
              <w14:schemeClr w14:val="tx1">
                <w14:lumMod w14:val="95000"/>
                <w14:lumOff w14:val="5000"/>
              </w14:schemeClr>
            </w14:solidFill>
          </w14:textFill>
        </w:rPr>
      </w:pPr>
    </w:p>
    <w:p>
      <w:pPr>
        <w:widowControl/>
        <w:spacing w:line="240" w:lineRule="auto"/>
        <w:ind w:firstLine="0" w:firstLineChars="0"/>
        <w:jc w:val="left"/>
        <w:rPr>
          <w:rFonts w:eastAsia="方正黑体_GBK"/>
          <w:bCs/>
          <w:color w:val="0D0D0D" w:themeColor="text1" w:themeTint="F2"/>
          <w:kern w:val="44"/>
          <w:szCs w:val="44"/>
          <w14:textFill>
            <w14:solidFill>
              <w14:schemeClr w14:val="tx1">
                <w14:lumMod w14:val="95000"/>
                <w14:lumOff w14:val="5000"/>
              </w14:schemeClr>
            </w14:solidFill>
          </w14:textFill>
        </w:rPr>
      </w:pPr>
    </w:p>
    <w:p>
      <w:pPr>
        <w:widowControl/>
        <w:spacing w:line="240" w:lineRule="auto"/>
        <w:ind w:firstLine="0" w:firstLineChars="0"/>
        <w:jc w:val="left"/>
        <w:rPr>
          <w:rFonts w:eastAsia="方正黑体_GBK"/>
          <w:bCs/>
          <w:color w:val="0D0D0D" w:themeColor="text1" w:themeTint="F2"/>
          <w:kern w:val="44"/>
          <w:szCs w:val="44"/>
          <w14:textFill>
            <w14:solidFill>
              <w14:schemeClr w14:val="tx1">
                <w14:lumMod w14:val="95000"/>
                <w14:lumOff w14:val="5000"/>
              </w14:schemeClr>
            </w14:solidFill>
          </w14:textFill>
        </w:rPr>
      </w:pPr>
    </w:p>
    <w:p>
      <w:pPr>
        <w:widowControl/>
        <w:spacing w:line="240" w:lineRule="auto"/>
        <w:ind w:firstLine="0" w:firstLineChars="0"/>
        <w:jc w:val="center"/>
        <w:rPr>
          <w:rFonts w:eastAsia="方正小标宋_GBK"/>
          <w:bCs/>
          <w:color w:val="0D0D0D" w:themeColor="text1" w:themeTint="F2"/>
          <w:kern w:val="44"/>
          <w:sz w:val="44"/>
          <w:szCs w:val="44"/>
          <w14:textFill>
            <w14:solidFill>
              <w14:schemeClr w14:val="tx1">
                <w14:lumMod w14:val="95000"/>
                <w14:lumOff w14:val="5000"/>
              </w14:schemeClr>
            </w14:solidFill>
          </w14:textFill>
        </w:rPr>
      </w:pPr>
      <w:r>
        <w:rPr>
          <w:rFonts w:hint="eastAsia" w:eastAsia="方正小标宋_GBK"/>
          <w:bCs/>
          <w:color w:val="0D0D0D" w:themeColor="text1" w:themeTint="F2"/>
          <w:kern w:val="44"/>
          <w:sz w:val="44"/>
          <w:szCs w:val="44"/>
          <w14:textFill>
            <w14:solidFill>
              <w14:schemeClr w14:val="tx1">
                <w14:lumMod w14:val="95000"/>
                <w14:lumOff w14:val="5000"/>
              </w14:schemeClr>
            </w14:solidFill>
          </w14:textFill>
        </w:rPr>
        <w:t>西部科学城重庆高新区</w:t>
      </w:r>
    </w:p>
    <w:p>
      <w:pPr>
        <w:widowControl/>
        <w:spacing w:line="240" w:lineRule="auto"/>
        <w:ind w:firstLine="0" w:firstLineChars="0"/>
        <w:jc w:val="center"/>
        <w:rPr>
          <w:rFonts w:eastAsia="方正小标宋_GBK"/>
          <w:bCs/>
          <w:color w:val="0D0D0D" w:themeColor="text1" w:themeTint="F2"/>
          <w:kern w:val="44"/>
          <w:sz w:val="44"/>
          <w:szCs w:val="44"/>
          <w14:textFill>
            <w14:solidFill>
              <w14:schemeClr w14:val="tx1">
                <w14:lumMod w14:val="95000"/>
                <w14:lumOff w14:val="5000"/>
              </w14:schemeClr>
            </w14:solidFill>
          </w14:textFill>
        </w:rPr>
      </w:pPr>
      <w:r>
        <w:rPr>
          <w:rFonts w:hint="eastAsia" w:eastAsia="方正小标宋_GBK"/>
          <w:bCs/>
          <w:color w:val="0D0D0D" w:themeColor="text1" w:themeTint="F2"/>
          <w:kern w:val="44"/>
          <w:sz w:val="44"/>
          <w:szCs w:val="44"/>
          <w14:textFill>
            <w14:solidFill>
              <w14:schemeClr w14:val="tx1">
                <w14:lumMod w14:val="95000"/>
                <w14:lumOff w14:val="5000"/>
              </w14:schemeClr>
            </w14:solidFill>
          </w14:textFill>
        </w:rPr>
        <w:t>202</w:t>
      </w:r>
      <w:r>
        <w:rPr>
          <w:rFonts w:eastAsia="方正小标宋_GBK"/>
          <w:bCs/>
          <w:color w:val="0D0D0D" w:themeColor="text1" w:themeTint="F2"/>
          <w:kern w:val="44"/>
          <w:sz w:val="44"/>
          <w:szCs w:val="44"/>
          <w14:textFill>
            <w14:solidFill>
              <w14:schemeClr w14:val="tx1">
                <w14:lumMod w14:val="95000"/>
                <w14:lumOff w14:val="5000"/>
              </w14:schemeClr>
            </w14:solidFill>
          </w14:textFill>
        </w:rPr>
        <w:t>2</w:t>
      </w:r>
      <w:r>
        <w:rPr>
          <w:rFonts w:hint="eastAsia" w:eastAsia="方正小标宋_GBK"/>
          <w:bCs/>
          <w:color w:val="0D0D0D" w:themeColor="text1" w:themeTint="F2"/>
          <w:kern w:val="44"/>
          <w:sz w:val="44"/>
          <w:szCs w:val="44"/>
          <w14:textFill>
            <w14:solidFill>
              <w14:schemeClr w14:val="tx1">
                <w14:lumMod w14:val="95000"/>
                <w14:lumOff w14:val="5000"/>
              </w14:schemeClr>
            </w14:solidFill>
          </w14:textFill>
        </w:rPr>
        <w:t>年财政预算执行情况和202</w:t>
      </w:r>
      <w:r>
        <w:rPr>
          <w:rFonts w:eastAsia="方正小标宋_GBK"/>
          <w:bCs/>
          <w:color w:val="0D0D0D" w:themeColor="text1" w:themeTint="F2"/>
          <w:kern w:val="44"/>
          <w:sz w:val="44"/>
          <w:szCs w:val="44"/>
          <w14:textFill>
            <w14:solidFill>
              <w14:schemeClr w14:val="tx1">
                <w14:lumMod w14:val="95000"/>
                <w14:lumOff w14:val="5000"/>
              </w14:schemeClr>
            </w14:solidFill>
          </w14:textFill>
        </w:rPr>
        <w:t>3</w:t>
      </w:r>
      <w:r>
        <w:rPr>
          <w:rFonts w:hint="eastAsia" w:eastAsia="方正小标宋_GBK"/>
          <w:bCs/>
          <w:color w:val="0D0D0D" w:themeColor="text1" w:themeTint="F2"/>
          <w:kern w:val="44"/>
          <w:sz w:val="44"/>
          <w:szCs w:val="44"/>
          <w14:textFill>
            <w14:solidFill>
              <w14:schemeClr w14:val="tx1">
                <w14:lumMod w14:val="95000"/>
                <w14:lumOff w14:val="5000"/>
              </w14:schemeClr>
            </w14:solidFill>
          </w14:textFill>
        </w:rPr>
        <w:t>年预算报告</w:t>
      </w:r>
    </w:p>
    <w:p>
      <w:pPr>
        <w:widowControl/>
        <w:spacing w:line="240" w:lineRule="auto"/>
        <w:ind w:firstLine="0" w:firstLineChars="0"/>
        <w:jc w:val="center"/>
        <w:rPr>
          <w:rFonts w:eastAsia="方正小标宋_GBK"/>
          <w:bCs/>
          <w:color w:val="0D0D0D" w:themeColor="text1" w:themeTint="F2"/>
          <w:kern w:val="44"/>
          <w:sz w:val="44"/>
          <w:szCs w:val="44"/>
          <w14:textFill>
            <w14:solidFill>
              <w14:schemeClr w14:val="tx1">
                <w14:lumMod w14:val="95000"/>
                <w14:lumOff w14:val="5000"/>
              </w14:schemeClr>
            </w14:solidFill>
          </w14:textFill>
        </w:rPr>
      </w:pPr>
      <w:r>
        <w:rPr>
          <w:rFonts w:hint="eastAsia" w:eastAsia="方正小标宋_GBK"/>
          <w:bCs/>
          <w:color w:val="0D0D0D" w:themeColor="text1" w:themeTint="F2"/>
          <w:kern w:val="44"/>
          <w:sz w:val="44"/>
          <w:szCs w:val="44"/>
          <w14:textFill>
            <w14:solidFill>
              <w14:schemeClr w14:val="tx1">
                <w14:lumMod w14:val="95000"/>
                <w14:lumOff w14:val="5000"/>
              </w14:schemeClr>
            </w14:solidFill>
          </w14:textFill>
        </w:rPr>
        <w:t>附表</w:t>
      </w:r>
    </w:p>
    <w:p>
      <w:pPr>
        <w:widowControl/>
        <w:spacing w:line="240" w:lineRule="auto"/>
        <w:ind w:firstLine="0" w:firstLineChars="0"/>
        <w:jc w:val="center"/>
        <w:rPr>
          <w:rFonts w:eastAsia="方正小标宋_GBK"/>
          <w:bCs/>
          <w:color w:val="0D0D0D" w:themeColor="text1" w:themeTint="F2"/>
          <w:kern w:val="44"/>
          <w:sz w:val="44"/>
          <w:szCs w:val="44"/>
          <w14:textFill>
            <w14:solidFill>
              <w14:schemeClr w14:val="tx1">
                <w14:lumMod w14:val="95000"/>
                <w14:lumOff w14:val="5000"/>
              </w14:schemeClr>
            </w14:solidFill>
          </w14:textFill>
        </w:rPr>
      </w:pPr>
    </w:p>
    <w:p>
      <w:pPr>
        <w:widowControl/>
        <w:spacing w:line="240" w:lineRule="auto"/>
        <w:ind w:firstLine="0" w:firstLineChars="0"/>
        <w:jc w:val="center"/>
        <w:rPr>
          <w:rFonts w:eastAsia="方正小标宋_GBK"/>
          <w:bCs/>
          <w:color w:val="0D0D0D" w:themeColor="text1" w:themeTint="F2"/>
          <w:kern w:val="44"/>
          <w:sz w:val="44"/>
          <w:szCs w:val="44"/>
          <w14:textFill>
            <w14:solidFill>
              <w14:schemeClr w14:val="tx1">
                <w14:lumMod w14:val="95000"/>
                <w14:lumOff w14:val="5000"/>
              </w14:schemeClr>
            </w14:solidFill>
          </w14:textFill>
        </w:rPr>
      </w:pPr>
    </w:p>
    <w:p>
      <w:pPr>
        <w:widowControl/>
        <w:spacing w:line="240" w:lineRule="auto"/>
        <w:ind w:firstLine="0" w:firstLineChars="0"/>
        <w:jc w:val="center"/>
        <w:rPr>
          <w:rFonts w:hint="eastAsia" w:eastAsia="方正楷体_GBK"/>
          <w:bCs/>
          <w:color w:val="0D0D0D" w:themeColor="text1" w:themeTint="F2"/>
          <w:kern w:val="44"/>
          <w:szCs w:val="32"/>
          <w14:textFill>
            <w14:solidFill>
              <w14:schemeClr w14:val="tx1">
                <w14:lumMod w14:val="95000"/>
                <w14:lumOff w14:val="5000"/>
              </w14:schemeClr>
            </w14:solidFill>
          </w14:textFill>
        </w:rPr>
      </w:pPr>
    </w:p>
    <w:p>
      <w:pPr>
        <w:widowControl/>
        <w:spacing w:line="240" w:lineRule="auto"/>
        <w:ind w:firstLine="0" w:firstLineChars="0"/>
        <w:jc w:val="center"/>
        <w:rPr>
          <w:rFonts w:hint="eastAsia" w:eastAsia="方正楷体_GBK"/>
          <w:bCs/>
          <w:color w:val="0D0D0D" w:themeColor="text1" w:themeTint="F2"/>
          <w:kern w:val="44"/>
          <w:szCs w:val="32"/>
          <w14:textFill>
            <w14:solidFill>
              <w14:schemeClr w14:val="tx1">
                <w14:lumMod w14:val="95000"/>
                <w14:lumOff w14:val="5000"/>
              </w14:schemeClr>
            </w14:solidFill>
          </w14:textFill>
        </w:rPr>
      </w:pPr>
    </w:p>
    <w:p>
      <w:pPr>
        <w:widowControl/>
        <w:spacing w:line="240" w:lineRule="auto"/>
        <w:ind w:firstLine="0" w:firstLineChars="0"/>
        <w:jc w:val="center"/>
        <w:rPr>
          <w:rFonts w:hint="eastAsia" w:eastAsia="方正楷体_GBK"/>
          <w:bCs/>
          <w:color w:val="0D0D0D" w:themeColor="text1" w:themeTint="F2"/>
          <w:kern w:val="44"/>
          <w:szCs w:val="32"/>
          <w14:textFill>
            <w14:solidFill>
              <w14:schemeClr w14:val="tx1">
                <w14:lumMod w14:val="95000"/>
                <w14:lumOff w14:val="5000"/>
              </w14:schemeClr>
            </w14:solidFill>
          </w14:textFill>
        </w:rPr>
      </w:pPr>
    </w:p>
    <w:p>
      <w:pPr>
        <w:widowControl/>
        <w:spacing w:line="240" w:lineRule="auto"/>
        <w:ind w:firstLine="0" w:firstLineChars="0"/>
        <w:jc w:val="center"/>
        <w:rPr>
          <w:rFonts w:hint="eastAsia" w:eastAsia="方正楷体_GBK"/>
          <w:bCs/>
          <w:color w:val="0D0D0D" w:themeColor="text1" w:themeTint="F2"/>
          <w:kern w:val="44"/>
          <w:szCs w:val="32"/>
          <w14:textFill>
            <w14:solidFill>
              <w14:schemeClr w14:val="tx1">
                <w14:lumMod w14:val="95000"/>
                <w14:lumOff w14:val="5000"/>
              </w14:schemeClr>
            </w14:solidFill>
          </w14:textFill>
        </w:rPr>
      </w:pPr>
    </w:p>
    <w:p>
      <w:pPr>
        <w:widowControl/>
        <w:spacing w:line="240" w:lineRule="auto"/>
        <w:ind w:firstLine="0" w:firstLineChars="0"/>
        <w:jc w:val="center"/>
        <w:rPr>
          <w:rFonts w:hint="eastAsia" w:eastAsia="方正楷体_GBK"/>
          <w:bCs/>
          <w:color w:val="0D0D0D" w:themeColor="text1" w:themeTint="F2"/>
          <w:kern w:val="44"/>
          <w:szCs w:val="32"/>
          <w14:textFill>
            <w14:solidFill>
              <w14:schemeClr w14:val="tx1">
                <w14:lumMod w14:val="95000"/>
                <w14:lumOff w14:val="5000"/>
              </w14:schemeClr>
            </w14:solidFill>
          </w14:textFill>
        </w:rPr>
      </w:pPr>
    </w:p>
    <w:p>
      <w:pPr>
        <w:widowControl/>
        <w:spacing w:line="240" w:lineRule="auto"/>
        <w:ind w:firstLine="0" w:firstLineChars="0"/>
        <w:jc w:val="center"/>
        <w:rPr>
          <w:rFonts w:hint="eastAsia" w:eastAsia="方正楷体_GBK"/>
          <w:bCs/>
          <w:color w:val="0D0D0D" w:themeColor="text1" w:themeTint="F2"/>
          <w:kern w:val="44"/>
          <w:szCs w:val="32"/>
          <w14:textFill>
            <w14:solidFill>
              <w14:schemeClr w14:val="tx1">
                <w14:lumMod w14:val="95000"/>
                <w14:lumOff w14:val="5000"/>
              </w14:schemeClr>
            </w14:solidFill>
          </w14:textFill>
        </w:rPr>
      </w:pPr>
    </w:p>
    <w:p>
      <w:pPr>
        <w:widowControl/>
        <w:spacing w:line="240" w:lineRule="auto"/>
        <w:ind w:firstLine="0" w:firstLineChars="0"/>
        <w:jc w:val="center"/>
        <w:rPr>
          <w:rFonts w:hint="eastAsia" w:eastAsia="方正楷体_GBK"/>
          <w:bCs/>
          <w:color w:val="0D0D0D" w:themeColor="text1" w:themeTint="F2"/>
          <w:kern w:val="44"/>
          <w:szCs w:val="32"/>
          <w14:textFill>
            <w14:solidFill>
              <w14:schemeClr w14:val="tx1">
                <w14:lumMod w14:val="95000"/>
                <w14:lumOff w14:val="5000"/>
              </w14:schemeClr>
            </w14:solidFill>
          </w14:textFill>
        </w:rPr>
      </w:pPr>
    </w:p>
    <w:p>
      <w:pPr>
        <w:widowControl/>
        <w:spacing w:line="240" w:lineRule="auto"/>
        <w:ind w:firstLine="0" w:firstLineChars="0"/>
        <w:jc w:val="center"/>
        <w:rPr>
          <w:rFonts w:hint="eastAsia" w:eastAsia="方正楷体_GBK"/>
          <w:bCs/>
          <w:color w:val="0D0D0D" w:themeColor="text1" w:themeTint="F2"/>
          <w:kern w:val="44"/>
          <w:szCs w:val="32"/>
          <w14:textFill>
            <w14:solidFill>
              <w14:schemeClr w14:val="tx1">
                <w14:lumMod w14:val="95000"/>
                <w14:lumOff w14:val="5000"/>
              </w14:schemeClr>
            </w14:solidFill>
          </w14:textFill>
        </w:rPr>
      </w:pPr>
    </w:p>
    <w:p>
      <w:pPr>
        <w:widowControl/>
        <w:spacing w:line="240" w:lineRule="auto"/>
        <w:ind w:firstLine="0" w:firstLineChars="0"/>
        <w:jc w:val="center"/>
        <w:rPr>
          <w:rFonts w:hint="eastAsia" w:eastAsia="方正楷体_GBK"/>
          <w:bCs/>
          <w:color w:val="0D0D0D" w:themeColor="text1" w:themeTint="F2"/>
          <w:kern w:val="44"/>
          <w:szCs w:val="32"/>
          <w14:textFill>
            <w14:solidFill>
              <w14:schemeClr w14:val="tx1">
                <w14:lumMod w14:val="95000"/>
                <w14:lumOff w14:val="5000"/>
              </w14:schemeClr>
            </w14:solidFill>
          </w14:textFill>
        </w:rPr>
      </w:pPr>
    </w:p>
    <w:p>
      <w:pPr>
        <w:widowControl/>
        <w:spacing w:line="240" w:lineRule="auto"/>
        <w:ind w:firstLine="0" w:firstLineChars="0"/>
        <w:jc w:val="center"/>
        <w:rPr>
          <w:rFonts w:eastAsia="方正楷体_GBK"/>
          <w:bCs/>
          <w:color w:val="0D0D0D" w:themeColor="text1" w:themeTint="F2"/>
          <w:kern w:val="44"/>
          <w:szCs w:val="32"/>
          <w14:textFill>
            <w14:solidFill>
              <w14:schemeClr w14:val="tx1">
                <w14:lumMod w14:val="95000"/>
                <w14:lumOff w14:val="5000"/>
              </w14:schemeClr>
            </w14:solidFill>
          </w14:textFill>
        </w:rPr>
      </w:pPr>
    </w:p>
    <w:p>
      <w:pPr>
        <w:widowControl/>
        <w:spacing w:line="240" w:lineRule="auto"/>
        <w:ind w:firstLine="0" w:firstLineChars="0"/>
        <w:jc w:val="center"/>
        <w:rPr>
          <w:rFonts w:eastAsia="方正楷体_GBK"/>
          <w:bCs/>
          <w:color w:val="0D0D0D" w:themeColor="text1" w:themeTint="F2"/>
          <w:kern w:val="44"/>
          <w:sz w:val="44"/>
          <w:szCs w:val="44"/>
          <w14:textFill>
            <w14:solidFill>
              <w14:schemeClr w14:val="tx1">
                <w14:lumMod w14:val="95000"/>
                <w14:lumOff w14:val="5000"/>
              </w14:schemeClr>
            </w14:solidFill>
          </w14:textFill>
        </w:rPr>
      </w:pPr>
      <w:r>
        <w:rPr>
          <w:rFonts w:hint="eastAsia" w:eastAsia="方正楷体_GBK"/>
          <w:bCs/>
          <w:color w:val="0D0D0D" w:themeColor="text1" w:themeTint="F2"/>
          <w:kern w:val="44"/>
          <w:szCs w:val="32"/>
          <w14:textFill>
            <w14:solidFill>
              <w14:schemeClr w14:val="tx1">
                <w14:lumMod w14:val="95000"/>
                <w14:lumOff w14:val="5000"/>
              </w14:schemeClr>
            </w14:solidFill>
          </w14:textFill>
        </w:rPr>
        <w:t>202</w:t>
      </w:r>
      <w:r>
        <w:rPr>
          <w:rFonts w:eastAsia="方正楷体_GBK"/>
          <w:bCs/>
          <w:color w:val="0D0D0D" w:themeColor="text1" w:themeTint="F2"/>
          <w:kern w:val="44"/>
          <w:szCs w:val="32"/>
          <w14:textFill>
            <w14:solidFill>
              <w14:schemeClr w14:val="tx1">
                <w14:lumMod w14:val="95000"/>
                <w14:lumOff w14:val="5000"/>
              </w14:schemeClr>
            </w14:solidFill>
          </w14:textFill>
        </w:rPr>
        <w:t>3</w:t>
      </w:r>
      <w:r>
        <w:rPr>
          <w:rFonts w:hint="eastAsia" w:eastAsia="方正楷体_GBK"/>
          <w:bCs/>
          <w:color w:val="0D0D0D" w:themeColor="text1" w:themeTint="F2"/>
          <w:kern w:val="44"/>
          <w:szCs w:val="32"/>
          <w14:textFill>
            <w14:solidFill>
              <w14:schemeClr w14:val="tx1">
                <w14:lumMod w14:val="95000"/>
                <w14:lumOff w14:val="5000"/>
              </w14:schemeClr>
            </w14:solidFill>
          </w14:textFill>
        </w:rPr>
        <w:t>年</w:t>
      </w:r>
      <w:r>
        <w:rPr>
          <w:rFonts w:eastAsia="方正楷体_GBK"/>
          <w:bCs/>
          <w:color w:val="0D0D0D" w:themeColor="text1" w:themeTint="F2"/>
          <w:kern w:val="44"/>
          <w:szCs w:val="32"/>
          <w14:textFill>
            <w14:solidFill>
              <w14:schemeClr w14:val="tx1">
                <w14:lumMod w14:val="95000"/>
                <w14:lumOff w14:val="5000"/>
              </w14:schemeClr>
            </w14:solidFill>
          </w14:textFill>
        </w:rPr>
        <w:t>3</w:t>
      </w:r>
      <w:r>
        <w:rPr>
          <w:rFonts w:hint="eastAsia" w:eastAsia="方正楷体_GBK"/>
          <w:bCs/>
          <w:color w:val="0D0D0D" w:themeColor="text1" w:themeTint="F2"/>
          <w:kern w:val="44"/>
          <w:szCs w:val="32"/>
          <w14:textFill>
            <w14:solidFill>
              <w14:schemeClr w14:val="tx1">
                <w14:lumMod w14:val="95000"/>
                <w14:lumOff w14:val="5000"/>
              </w14:schemeClr>
            </w14:solidFill>
          </w14:textFill>
        </w:rPr>
        <w:t>月</w:t>
      </w:r>
    </w:p>
    <w:p>
      <w:pPr>
        <w:widowControl/>
        <w:spacing w:line="240" w:lineRule="auto"/>
        <w:ind w:firstLine="0" w:firstLineChars="0"/>
        <w:jc w:val="left"/>
        <w:rPr>
          <w:rFonts w:eastAsia="方正楷体_GBK"/>
          <w:bCs/>
          <w:color w:val="0D0D0D" w:themeColor="text1" w:themeTint="F2"/>
          <w:kern w:val="44"/>
          <w:sz w:val="44"/>
          <w:szCs w:val="44"/>
          <w14:textFill>
            <w14:solidFill>
              <w14:schemeClr w14:val="tx1">
                <w14:lumMod w14:val="95000"/>
                <w14:lumOff w14:val="5000"/>
              </w14:schemeClr>
            </w14:solidFill>
          </w14:textFill>
        </w:rPr>
      </w:pPr>
      <w:r>
        <w:rPr>
          <w:rFonts w:eastAsia="方正楷体_GBK"/>
          <w:bCs/>
          <w:color w:val="0D0D0D" w:themeColor="text1" w:themeTint="F2"/>
          <w:kern w:val="44"/>
          <w:sz w:val="44"/>
          <w:szCs w:val="44"/>
          <w14:textFill>
            <w14:solidFill>
              <w14:schemeClr w14:val="tx1">
                <w14:lumMod w14:val="95000"/>
                <w14:lumOff w14:val="5000"/>
              </w14:schemeClr>
            </w14:solidFill>
          </w14:textFill>
        </w:rPr>
        <w:br w:type="page"/>
      </w:r>
    </w:p>
    <w:tbl>
      <w:tblPr>
        <w:tblStyle w:val="7"/>
        <w:tblW w:w="9520" w:type="dxa"/>
        <w:tblInd w:w="0" w:type="dxa"/>
        <w:tblLayout w:type="autofit"/>
        <w:tblCellMar>
          <w:top w:w="0" w:type="dxa"/>
          <w:left w:w="108" w:type="dxa"/>
          <w:bottom w:w="0" w:type="dxa"/>
          <w:right w:w="108" w:type="dxa"/>
        </w:tblCellMar>
      </w:tblPr>
      <w:tblGrid>
        <w:gridCol w:w="9520"/>
      </w:tblGrid>
      <w:tr>
        <w:tblPrEx>
          <w:tblCellMar>
            <w:top w:w="0" w:type="dxa"/>
            <w:left w:w="108" w:type="dxa"/>
            <w:bottom w:w="0" w:type="dxa"/>
            <w:right w:w="108" w:type="dxa"/>
          </w:tblCellMar>
        </w:tblPrEx>
        <w:trPr>
          <w:trHeight w:val="117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center"/>
              <w:rPr>
                <w:rFonts w:eastAsia="等线" w:cs="Times New Roman"/>
                <w:color w:val="0D0D0D" w:themeColor="text1" w:themeTint="F2"/>
                <w:kern w:val="0"/>
                <w:sz w:val="36"/>
                <w:szCs w:val="36"/>
                <w14:textFill>
                  <w14:solidFill>
                    <w14:schemeClr w14:val="tx1">
                      <w14:lumMod w14:val="95000"/>
                      <w14:lumOff w14:val="5000"/>
                    </w14:schemeClr>
                  </w14:solidFill>
                </w14:textFill>
              </w:rPr>
            </w:pPr>
            <w:r>
              <w:rPr>
                <w:rFonts w:hint="eastAsia" w:eastAsia="华文中宋" w:cs="Times New Roman"/>
                <w:color w:val="0D0D0D" w:themeColor="text1" w:themeTint="F2"/>
                <w:kern w:val="0"/>
                <w:sz w:val="36"/>
                <w:szCs w:val="36"/>
                <w14:textFill>
                  <w14:solidFill>
                    <w14:schemeClr w14:val="tx1">
                      <w14:lumMod w14:val="95000"/>
                      <w14:lumOff w14:val="5000"/>
                    </w14:schemeClr>
                  </w14:solidFill>
                </w14:textFill>
              </w:rPr>
              <w:t>目录</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eastAsia="等线" w:cs="Times New Roman"/>
                <w:color w:val="0D0D0D" w:themeColor="text1" w:themeTint="F2"/>
                <w:kern w:val="0"/>
                <w:szCs w:val="32"/>
                <w14:textFill>
                  <w14:solidFill>
                    <w14:schemeClr w14:val="tx1">
                      <w14:lumMod w14:val="95000"/>
                      <w14:lumOff w14:val="5000"/>
                    </w14:schemeClr>
                  </w14:solidFill>
                </w14:textFill>
              </w:rPr>
            </w:pPr>
            <w:r>
              <w:rPr>
                <w:rFonts w:hint="eastAsia" w:eastAsia="方正黑体_GBK" w:cs="Times New Roman"/>
                <w:color w:val="0D0D0D" w:themeColor="text1" w:themeTint="F2"/>
                <w:kern w:val="0"/>
                <w:szCs w:val="32"/>
                <w14:textFill>
                  <w14:solidFill>
                    <w14:schemeClr w14:val="tx1">
                      <w14:lumMod w14:val="95000"/>
                      <w14:lumOff w14:val="5000"/>
                    </w14:schemeClr>
                  </w14:solidFill>
                </w14:textFill>
              </w:rPr>
              <w:t>一、</w:t>
            </w:r>
            <w:r>
              <w:rPr>
                <w:rFonts w:eastAsia="等线" w:cs="Times New Roman"/>
                <w:color w:val="0D0D0D" w:themeColor="text1" w:themeTint="F2"/>
                <w:kern w:val="0"/>
                <w:szCs w:val="32"/>
                <w14:textFill>
                  <w14:solidFill>
                    <w14:schemeClr w14:val="tx1">
                      <w14:lumMod w14:val="95000"/>
                      <w14:lumOff w14:val="5000"/>
                    </w14:schemeClr>
                  </w14:solidFill>
                </w14:textFill>
              </w:rPr>
              <w:t>2022</w:t>
            </w:r>
            <w:r>
              <w:rPr>
                <w:rFonts w:hint="eastAsia" w:eastAsia="方正黑体_GBK" w:cs="Times New Roman"/>
                <w:color w:val="0D0D0D" w:themeColor="text1" w:themeTint="F2"/>
                <w:kern w:val="0"/>
                <w:szCs w:val="32"/>
                <w14:textFill>
                  <w14:solidFill>
                    <w14:schemeClr w14:val="tx1">
                      <w14:lumMod w14:val="95000"/>
                      <w14:lumOff w14:val="5000"/>
                    </w14:schemeClr>
                  </w14:solidFill>
                </w14:textFill>
              </w:rPr>
              <w:t>年预算执行</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eastAsia="等线" w:cs="Times New Roman"/>
                <w:b/>
                <w:bCs/>
                <w:color w:val="0D0D0D" w:themeColor="text1" w:themeTint="F2"/>
                <w:kern w:val="0"/>
                <w:sz w:val="28"/>
                <w:szCs w:val="28"/>
                <w14:textFill>
                  <w14:solidFill>
                    <w14:schemeClr w14:val="tx1">
                      <w14:lumMod w14:val="95000"/>
                      <w14:lumOff w14:val="5000"/>
                    </w14:schemeClr>
                  </w14:solidFill>
                </w14:textFill>
              </w:rPr>
            </w:pPr>
            <w:r>
              <w:rPr>
                <w:rFonts w:eastAsia="等线" w:cs="Times New Roman"/>
                <w:b/>
                <w:bCs/>
                <w:color w:val="0D0D0D" w:themeColor="text1" w:themeTint="F2"/>
                <w:kern w:val="0"/>
                <w:sz w:val="28"/>
                <w:szCs w:val="28"/>
                <w14:textFill>
                  <w14:solidFill>
                    <w14:schemeClr w14:val="tx1">
                      <w14:lumMod w14:val="95000"/>
                      <w14:lumOff w14:val="5000"/>
                    </w14:schemeClr>
                  </w14:solidFill>
                </w14:textFill>
              </w:rPr>
              <w:t>1</w:t>
            </w:r>
            <w:r>
              <w:rPr>
                <w:rFonts w:hint="eastAsia" w:eastAsia="方正楷体_GBK" w:cs="Times New Roman"/>
                <w:b/>
                <w:bCs/>
                <w:color w:val="0D0D0D" w:themeColor="text1" w:themeTint="F2"/>
                <w:kern w:val="0"/>
                <w:sz w:val="28"/>
                <w:szCs w:val="28"/>
                <w14:textFill>
                  <w14:solidFill>
                    <w14:schemeClr w14:val="tx1">
                      <w14:lumMod w14:val="95000"/>
                      <w14:lumOff w14:val="5000"/>
                    </w14:schemeClr>
                  </w14:solidFill>
                </w14:textFill>
              </w:rPr>
              <w:t>、一般公共预算</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表1：2022年一般公共预算收支执行表</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表2：2022年一般公共预算支出执行表（支出功能分类科目）</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表3：2022年一般公共预算转移支付收支执行表</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eastAsia="等线" w:cs="Times New Roman"/>
                <w:b/>
                <w:bCs/>
                <w:color w:val="0D0D0D" w:themeColor="text1" w:themeTint="F2"/>
                <w:kern w:val="0"/>
                <w:sz w:val="28"/>
                <w:szCs w:val="28"/>
                <w14:textFill>
                  <w14:solidFill>
                    <w14:schemeClr w14:val="tx1">
                      <w14:lumMod w14:val="95000"/>
                      <w14:lumOff w14:val="5000"/>
                    </w14:schemeClr>
                  </w14:solidFill>
                </w14:textFill>
              </w:rPr>
            </w:pPr>
            <w:r>
              <w:rPr>
                <w:rFonts w:eastAsia="等线" w:cs="Times New Roman"/>
                <w:b/>
                <w:bCs/>
                <w:color w:val="0D0D0D" w:themeColor="text1" w:themeTint="F2"/>
                <w:kern w:val="0"/>
                <w:sz w:val="28"/>
                <w:szCs w:val="28"/>
                <w14:textFill>
                  <w14:solidFill>
                    <w14:schemeClr w14:val="tx1">
                      <w14:lumMod w14:val="95000"/>
                      <w14:lumOff w14:val="5000"/>
                    </w14:schemeClr>
                  </w14:solidFill>
                </w14:textFill>
              </w:rPr>
              <w:t>2</w:t>
            </w:r>
            <w:r>
              <w:rPr>
                <w:rFonts w:hint="eastAsia" w:eastAsia="方正楷体_GBK" w:cs="Times New Roman"/>
                <w:b/>
                <w:bCs/>
                <w:color w:val="0D0D0D" w:themeColor="text1" w:themeTint="F2"/>
                <w:kern w:val="0"/>
                <w:sz w:val="28"/>
                <w:szCs w:val="28"/>
                <w14:textFill>
                  <w14:solidFill>
                    <w14:schemeClr w14:val="tx1">
                      <w14:lumMod w14:val="95000"/>
                      <w14:lumOff w14:val="5000"/>
                    </w14:schemeClr>
                  </w14:solidFill>
                </w14:textFill>
              </w:rPr>
              <w:t>、政府性基金预算</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eastAsia="等线" w:cs="Times New Roman"/>
                <w:color w:val="0D0D0D" w:themeColor="text1" w:themeTint="F2"/>
                <w:kern w:val="0"/>
                <w:sz w:val="28"/>
                <w:szCs w:val="28"/>
                <w14:textFill>
                  <w14:solidFill>
                    <w14:schemeClr w14:val="tx1">
                      <w14:lumMod w14:val="95000"/>
                      <w14:lumOff w14:val="5000"/>
                    </w14:schemeClr>
                  </w14:solidFill>
                </w14:textFill>
              </w:rPr>
            </w:pPr>
            <w:r>
              <w:rPr>
                <w:rFonts w:hint="eastAsia" w:cs="Times New Roman"/>
                <w:color w:val="0D0D0D" w:themeColor="text1" w:themeTint="F2"/>
                <w:kern w:val="0"/>
                <w:sz w:val="28"/>
                <w:szCs w:val="28"/>
                <w14:textFill>
                  <w14:solidFill>
                    <w14:schemeClr w14:val="tx1">
                      <w14:lumMod w14:val="95000"/>
                      <w14:lumOff w14:val="5000"/>
                    </w14:schemeClr>
                  </w14:solidFill>
                </w14:textFill>
              </w:rPr>
              <w:t>表</w:t>
            </w:r>
            <w:r>
              <w:rPr>
                <w:rFonts w:eastAsia="等线" w:cs="Times New Roman"/>
                <w:color w:val="0D0D0D" w:themeColor="text1" w:themeTint="F2"/>
                <w:kern w:val="0"/>
                <w:sz w:val="28"/>
                <w:szCs w:val="28"/>
                <w14:textFill>
                  <w14:solidFill>
                    <w14:schemeClr w14:val="tx1">
                      <w14:lumMod w14:val="95000"/>
                      <w14:lumOff w14:val="5000"/>
                    </w14:schemeClr>
                  </w14:solidFill>
                </w14:textFill>
              </w:rPr>
              <w:t>4</w:t>
            </w:r>
            <w:r>
              <w:rPr>
                <w:rFonts w:hint="eastAsia" w:cs="Times New Roman"/>
                <w:color w:val="0D0D0D" w:themeColor="text1" w:themeTint="F2"/>
                <w:kern w:val="0"/>
                <w:sz w:val="28"/>
                <w:szCs w:val="28"/>
                <w14:textFill>
                  <w14:solidFill>
                    <w14:schemeClr w14:val="tx1">
                      <w14:lumMod w14:val="95000"/>
                      <w14:lumOff w14:val="5000"/>
                    </w14:schemeClr>
                  </w14:solidFill>
                </w14:textFill>
              </w:rPr>
              <w:t>：</w:t>
            </w:r>
            <w:r>
              <w:rPr>
                <w:rFonts w:eastAsia="等线" w:cs="Times New Roman"/>
                <w:color w:val="0D0D0D" w:themeColor="text1" w:themeTint="F2"/>
                <w:kern w:val="0"/>
                <w:sz w:val="28"/>
                <w:szCs w:val="28"/>
                <w14:textFill>
                  <w14:solidFill>
                    <w14:schemeClr w14:val="tx1">
                      <w14:lumMod w14:val="95000"/>
                      <w14:lumOff w14:val="5000"/>
                    </w14:schemeClr>
                  </w14:solidFill>
                </w14:textFill>
              </w:rPr>
              <w:t>2022</w:t>
            </w:r>
            <w:r>
              <w:rPr>
                <w:rFonts w:hint="eastAsia" w:cs="Times New Roman"/>
                <w:color w:val="0D0D0D" w:themeColor="text1" w:themeTint="F2"/>
                <w:kern w:val="0"/>
                <w:sz w:val="28"/>
                <w:szCs w:val="28"/>
                <w14:textFill>
                  <w14:solidFill>
                    <w14:schemeClr w14:val="tx1">
                      <w14:lumMod w14:val="95000"/>
                      <w14:lumOff w14:val="5000"/>
                    </w14:schemeClr>
                  </w14:solidFill>
                </w14:textFill>
              </w:rPr>
              <w:t>年政府性基金预算收支执行表</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eastAsia="等线" w:cs="Times New Roman"/>
                <w:color w:val="0D0D0D" w:themeColor="text1" w:themeTint="F2"/>
                <w:kern w:val="0"/>
                <w:sz w:val="28"/>
                <w:szCs w:val="28"/>
                <w14:textFill>
                  <w14:solidFill>
                    <w14:schemeClr w14:val="tx1">
                      <w14:lumMod w14:val="95000"/>
                      <w14:lumOff w14:val="5000"/>
                    </w14:schemeClr>
                  </w14:solidFill>
                </w14:textFill>
              </w:rPr>
            </w:pPr>
            <w:r>
              <w:rPr>
                <w:rFonts w:hint="eastAsia" w:cs="Times New Roman"/>
                <w:color w:val="0D0D0D" w:themeColor="text1" w:themeTint="F2"/>
                <w:kern w:val="0"/>
                <w:sz w:val="28"/>
                <w:szCs w:val="28"/>
                <w14:textFill>
                  <w14:solidFill>
                    <w14:schemeClr w14:val="tx1">
                      <w14:lumMod w14:val="95000"/>
                      <w14:lumOff w14:val="5000"/>
                    </w14:schemeClr>
                  </w14:solidFill>
                </w14:textFill>
              </w:rPr>
              <w:t>表</w:t>
            </w:r>
            <w:r>
              <w:rPr>
                <w:rFonts w:eastAsia="等线" w:cs="Times New Roman"/>
                <w:color w:val="0D0D0D" w:themeColor="text1" w:themeTint="F2"/>
                <w:kern w:val="0"/>
                <w:sz w:val="28"/>
                <w:szCs w:val="28"/>
                <w14:textFill>
                  <w14:solidFill>
                    <w14:schemeClr w14:val="tx1">
                      <w14:lumMod w14:val="95000"/>
                      <w14:lumOff w14:val="5000"/>
                    </w14:schemeClr>
                  </w14:solidFill>
                </w14:textFill>
              </w:rPr>
              <w:t>5</w:t>
            </w:r>
            <w:r>
              <w:rPr>
                <w:rFonts w:hint="eastAsia" w:cs="Times New Roman"/>
                <w:color w:val="0D0D0D" w:themeColor="text1" w:themeTint="F2"/>
                <w:kern w:val="0"/>
                <w:sz w:val="28"/>
                <w:szCs w:val="28"/>
                <w14:textFill>
                  <w14:solidFill>
                    <w14:schemeClr w14:val="tx1">
                      <w14:lumMod w14:val="95000"/>
                      <w14:lumOff w14:val="5000"/>
                    </w14:schemeClr>
                  </w14:solidFill>
                </w14:textFill>
              </w:rPr>
              <w:t>：</w:t>
            </w:r>
            <w:r>
              <w:rPr>
                <w:rFonts w:eastAsia="等线" w:cs="Times New Roman"/>
                <w:color w:val="0D0D0D" w:themeColor="text1" w:themeTint="F2"/>
                <w:kern w:val="0"/>
                <w:sz w:val="28"/>
                <w:szCs w:val="28"/>
                <w14:textFill>
                  <w14:solidFill>
                    <w14:schemeClr w14:val="tx1">
                      <w14:lumMod w14:val="95000"/>
                      <w14:lumOff w14:val="5000"/>
                    </w14:schemeClr>
                  </w14:solidFill>
                </w14:textFill>
              </w:rPr>
              <w:t>2022</w:t>
            </w:r>
            <w:r>
              <w:rPr>
                <w:rFonts w:hint="eastAsia" w:cs="Times New Roman"/>
                <w:color w:val="0D0D0D" w:themeColor="text1" w:themeTint="F2"/>
                <w:kern w:val="0"/>
                <w:sz w:val="28"/>
                <w:szCs w:val="28"/>
                <w14:textFill>
                  <w14:solidFill>
                    <w14:schemeClr w14:val="tx1">
                      <w14:lumMod w14:val="95000"/>
                      <w14:lumOff w14:val="5000"/>
                    </w14:schemeClr>
                  </w14:solidFill>
                </w14:textFill>
              </w:rPr>
              <w:t>年政府性基金预算支出执行表（支出功能分类科目）</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eastAsia="等线" w:cs="Times New Roman"/>
                <w:color w:val="0D0D0D" w:themeColor="text1" w:themeTint="F2"/>
                <w:kern w:val="0"/>
                <w:sz w:val="28"/>
                <w:szCs w:val="28"/>
                <w14:textFill>
                  <w14:solidFill>
                    <w14:schemeClr w14:val="tx1">
                      <w14:lumMod w14:val="95000"/>
                      <w14:lumOff w14:val="5000"/>
                    </w14:schemeClr>
                  </w14:solidFill>
                </w14:textFill>
              </w:rPr>
            </w:pPr>
            <w:r>
              <w:rPr>
                <w:rFonts w:hint="eastAsia" w:cs="Times New Roman"/>
                <w:color w:val="0D0D0D" w:themeColor="text1" w:themeTint="F2"/>
                <w:kern w:val="0"/>
                <w:sz w:val="28"/>
                <w:szCs w:val="28"/>
                <w14:textFill>
                  <w14:solidFill>
                    <w14:schemeClr w14:val="tx1">
                      <w14:lumMod w14:val="95000"/>
                      <w14:lumOff w14:val="5000"/>
                    </w14:schemeClr>
                  </w14:solidFill>
                </w14:textFill>
              </w:rPr>
              <w:t>表</w:t>
            </w:r>
            <w:r>
              <w:rPr>
                <w:rFonts w:eastAsia="等线" w:cs="Times New Roman"/>
                <w:color w:val="0D0D0D" w:themeColor="text1" w:themeTint="F2"/>
                <w:kern w:val="0"/>
                <w:sz w:val="28"/>
                <w:szCs w:val="28"/>
                <w14:textFill>
                  <w14:solidFill>
                    <w14:schemeClr w14:val="tx1">
                      <w14:lumMod w14:val="95000"/>
                      <w14:lumOff w14:val="5000"/>
                    </w14:schemeClr>
                  </w14:solidFill>
                </w14:textFill>
              </w:rPr>
              <w:t>6</w:t>
            </w:r>
            <w:r>
              <w:rPr>
                <w:rFonts w:hint="eastAsia" w:cs="Times New Roman"/>
                <w:color w:val="0D0D0D" w:themeColor="text1" w:themeTint="F2"/>
                <w:kern w:val="0"/>
                <w:sz w:val="28"/>
                <w:szCs w:val="28"/>
                <w14:textFill>
                  <w14:solidFill>
                    <w14:schemeClr w14:val="tx1">
                      <w14:lumMod w14:val="95000"/>
                      <w14:lumOff w14:val="5000"/>
                    </w14:schemeClr>
                  </w14:solidFill>
                </w14:textFill>
              </w:rPr>
              <w:t>：</w:t>
            </w:r>
            <w:r>
              <w:rPr>
                <w:rFonts w:eastAsia="等线" w:cs="Times New Roman"/>
                <w:color w:val="0D0D0D" w:themeColor="text1" w:themeTint="F2"/>
                <w:kern w:val="0"/>
                <w:sz w:val="28"/>
                <w:szCs w:val="28"/>
                <w14:textFill>
                  <w14:solidFill>
                    <w14:schemeClr w14:val="tx1">
                      <w14:lumMod w14:val="95000"/>
                      <w14:lumOff w14:val="5000"/>
                    </w14:schemeClr>
                  </w14:solidFill>
                </w14:textFill>
              </w:rPr>
              <w:t>2022</w:t>
            </w:r>
            <w:r>
              <w:rPr>
                <w:rFonts w:hint="eastAsia" w:cs="Times New Roman"/>
                <w:color w:val="0D0D0D" w:themeColor="text1" w:themeTint="F2"/>
                <w:kern w:val="0"/>
                <w:sz w:val="28"/>
                <w:szCs w:val="28"/>
                <w14:textFill>
                  <w14:solidFill>
                    <w14:schemeClr w14:val="tx1">
                      <w14:lumMod w14:val="95000"/>
                      <w14:lumOff w14:val="5000"/>
                    </w14:schemeClr>
                  </w14:solidFill>
                </w14:textFill>
              </w:rPr>
              <w:t>年政府性基金转移支付收支执行表</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eastAsia="等线" w:cs="Times New Roman"/>
                <w:b/>
                <w:bCs/>
                <w:color w:val="0D0D0D" w:themeColor="text1" w:themeTint="F2"/>
                <w:kern w:val="0"/>
                <w:sz w:val="28"/>
                <w:szCs w:val="28"/>
                <w14:textFill>
                  <w14:solidFill>
                    <w14:schemeClr w14:val="tx1">
                      <w14:lumMod w14:val="95000"/>
                      <w14:lumOff w14:val="5000"/>
                    </w14:schemeClr>
                  </w14:solidFill>
                </w14:textFill>
              </w:rPr>
            </w:pPr>
            <w:r>
              <w:rPr>
                <w:rFonts w:eastAsia="等线" w:cs="Times New Roman"/>
                <w:b/>
                <w:bCs/>
                <w:color w:val="0D0D0D" w:themeColor="text1" w:themeTint="F2"/>
                <w:kern w:val="0"/>
                <w:sz w:val="28"/>
                <w:szCs w:val="28"/>
                <w14:textFill>
                  <w14:solidFill>
                    <w14:schemeClr w14:val="tx1">
                      <w14:lumMod w14:val="95000"/>
                      <w14:lumOff w14:val="5000"/>
                    </w14:schemeClr>
                  </w14:solidFill>
                </w14:textFill>
              </w:rPr>
              <w:t>3</w:t>
            </w:r>
            <w:r>
              <w:rPr>
                <w:rFonts w:hint="eastAsia" w:eastAsia="方正楷体_GBK" w:cs="Times New Roman"/>
                <w:b/>
                <w:bCs/>
                <w:color w:val="0D0D0D" w:themeColor="text1" w:themeTint="F2"/>
                <w:kern w:val="0"/>
                <w:sz w:val="28"/>
                <w:szCs w:val="28"/>
                <w14:textFill>
                  <w14:solidFill>
                    <w14:schemeClr w14:val="tx1">
                      <w14:lumMod w14:val="95000"/>
                      <w14:lumOff w14:val="5000"/>
                    </w14:schemeClr>
                  </w14:solidFill>
                </w14:textFill>
              </w:rPr>
              <w:t>、国有资本经营预算</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eastAsia="等线" w:cs="Times New Roman"/>
                <w:color w:val="0D0D0D" w:themeColor="text1" w:themeTint="F2"/>
                <w:kern w:val="0"/>
                <w:sz w:val="28"/>
                <w:szCs w:val="28"/>
                <w14:textFill>
                  <w14:solidFill>
                    <w14:schemeClr w14:val="tx1">
                      <w14:lumMod w14:val="95000"/>
                      <w14:lumOff w14:val="5000"/>
                    </w14:schemeClr>
                  </w14:solidFill>
                </w14:textFill>
              </w:rPr>
            </w:pPr>
            <w:r>
              <w:rPr>
                <w:rFonts w:hint="eastAsia" w:cs="Times New Roman"/>
                <w:color w:val="0D0D0D" w:themeColor="text1" w:themeTint="F2"/>
                <w:kern w:val="0"/>
                <w:sz w:val="28"/>
                <w:szCs w:val="28"/>
                <w14:textFill>
                  <w14:solidFill>
                    <w14:schemeClr w14:val="tx1">
                      <w14:lumMod w14:val="95000"/>
                      <w14:lumOff w14:val="5000"/>
                    </w14:schemeClr>
                  </w14:solidFill>
                </w14:textFill>
              </w:rPr>
              <w:t>表</w:t>
            </w:r>
            <w:r>
              <w:rPr>
                <w:rFonts w:eastAsia="等线" w:cs="Times New Roman"/>
                <w:color w:val="0D0D0D" w:themeColor="text1" w:themeTint="F2"/>
                <w:kern w:val="0"/>
                <w:sz w:val="28"/>
                <w:szCs w:val="28"/>
                <w14:textFill>
                  <w14:solidFill>
                    <w14:schemeClr w14:val="tx1">
                      <w14:lumMod w14:val="95000"/>
                      <w14:lumOff w14:val="5000"/>
                    </w14:schemeClr>
                  </w14:solidFill>
                </w14:textFill>
              </w:rPr>
              <w:t>7</w:t>
            </w:r>
            <w:r>
              <w:rPr>
                <w:rFonts w:hint="eastAsia" w:cs="Times New Roman"/>
                <w:color w:val="0D0D0D" w:themeColor="text1" w:themeTint="F2"/>
                <w:kern w:val="0"/>
                <w:sz w:val="28"/>
                <w:szCs w:val="28"/>
                <w14:textFill>
                  <w14:solidFill>
                    <w14:schemeClr w14:val="tx1">
                      <w14:lumMod w14:val="95000"/>
                      <w14:lumOff w14:val="5000"/>
                    </w14:schemeClr>
                  </w14:solidFill>
                </w14:textFill>
              </w:rPr>
              <w:t>：</w:t>
            </w:r>
            <w:r>
              <w:rPr>
                <w:rFonts w:eastAsia="等线" w:cs="Times New Roman"/>
                <w:color w:val="0D0D0D" w:themeColor="text1" w:themeTint="F2"/>
                <w:kern w:val="0"/>
                <w:sz w:val="28"/>
                <w:szCs w:val="28"/>
                <w14:textFill>
                  <w14:solidFill>
                    <w14:schemeClr w14:val="tx1">
                      <w14:lumMod w14:val="95000"/>
                      <w14:lumOff w14:val="5000"/>
                    </w14:schemeClr>
                  </w14:solidFill>
                </w14:textFill>
              </w:rPr>
              <w:t>2022</w:t>
            </w:r>
            <w:r>
              <w:rPr>
                <w:rFonts w:hint="eastAsia" w:cs="Times New Roman"/>
                <w:color w:val="0D0D0D" w:themeColor="text1" w:themeTint="F2"/>
                <w:kern w:val="0"/>
                <w:sz w:val="28"/>
                <w:szCs w:val="28"/>
                <w14:textFill>
                  <w14:solidFill>
                    <w14:schemeClr w14:val="tx1">
                      <w14:lumMod w14:val="95000"/>
                      <w14:lumOff w14:val="5000"/>
                    </w14:schemeClr>
                  </w14:solidFill>
                </w14:textFill>
              </w:rPr>
              <w:t>年国有资本经营预算收支执行表</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eastAsia="等线" w:cs="Times New Roman"/>
                <w:color w:val="0D0D0D" w:themeColor="text1" w:themeTint="F2"/>
                <w:kern w:val="0"/>
                <w:szCs w:val="32"/>
                <w14:textFill>
                  <w14:solidFill>
                    <w14:schemeClr w14:val="tx1">
                      <w14:lumMod w14:val="95000"/>
                      <w14:lumOff w14:val="5000"/>
                    </w14:schemeClr>
                  </w14:solidFill>
                </w14:textFill>
              </w:rPr>
            </w:pPr>
            <w:r>
              <w:rPr>
                <w:rFonts w:hint="eastAsia" w:eastAsia="方正黑体_GBK" w:cs="Times New Roman"/>
                <w:color w:val="0D0D0D" w:themeColor="text1" w:themeTint="F2"/>
                <w:kern w:val="0"/>
                <w:szCs w:val="32"/>
                <w14:textFill>
                  <w14:solidFill>
                    <w14:schemeClr w14:val="tx1">
                      <w14:lumMod w14:val="95000"/>
                      <w14:lumOff w14:val="5000"/>
                    </w14:schemeClr>
                  </w14:solidFill>
                </w14:textFill>
              </w:rPr>
              <w:t>二、</w:t>
            </w:r>
            <w:r>
              <w:rPr>
                <w:rFonts w:eastAsia="等线" w:cs="Times New Roman"/>
                <w:color w:val="0D0D0D" w:themeColor="text1" w:themeTint="F2"/>
                <w:kern w:val="0"/>
                <w:szCs w:val="32"/>
                <w14:textFill>
                  <w14:solidFill>
                    <w14:schemeClr w14:val="tx1">
                      <w14:lumMod w14:val="95000"/>
                      <w14:lumOff w14:val="5000"/>
                    </w14:schemeClr>
                  </w14:solidFill>
                </w14:textFill>
              </w:rPr>
              <w:t>2023</w:t>
            </w:r>
            <w:r>
              <w:rPr>
                <w:rFonts w:hint="eastAsia" w:eastAsia="方正黑体_GBK" w:cs="Times New Roman"/>
                <w:color w:val="0D0D0D" w:themeColor="text1" w:themeTint="F2"/>
                <w:kern w:val="0"/>
                <w:szCs w:val="32"/>
                <w14:textFill>
                  <w14:solidFill>
                    <w14:schemeClr w14:val="tx1">
                      <w14:lumMod w14:val="95000"/>
                      <w14:lumOff w14:val="5000"/>
                    </w14:schemeClr>
                  </w14:solidFill>
                </w14:textFill>
              </w:rPr>
              <w:t>年预算</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eastAsia="等线" w:cs="Times New Roman"/>
                <w:b/>
                <w:bCs/>
                <w:color w:val="0D0D0D" w:themeColor="text1" w:themeTint="F2"/>
                <w:kern w:val="0"/>
                <w:sz w:val="28"/>
                <w:szCs w:val="28"/>
                <w14:textFill>
                  <w14:solidFill>
                    <w14:schemeClr w14:val="tx1">
                      <w14:lumMod w14:val="95000"/>
                      <w14:lumOff w14:val="5000"/>
                    </w14:schemeClr>
                  </w14:solidFill>
                </w14:textFill>
              </w:rPr>
            </w:pPr>
            <w:r>
              <w:rPr>
                <w:rFonts w:eastAsia="等线" w:cs="Times New Roman"/>
                <w:b/>
                <w:bCs/>
                <w:color w:val="0D0D0D" w:themeColor="text1" w:themeTint="F2"/>
                <w:kern w:val="0"/>
                <w:sz w:val="28"/>
                <w:szCs w:val="28"/>
                <w14:textFill>
                  <w14:solidFill>
                    <w14:schemeClr w14:val="tx1">
                      <w14:lumMod w14:val="95000"/>
                      <w14:lumOff w14:val="5000"/>
                    </w14:schemeClr>
                  </w14:solidFill>
                </w14:textFill>
              </w:rPr>
              <w:t>1</w:t>
            </w:r>
            <w:r>
              <w:rPr>
                <w:rFonts w:hint="eastAsia" w:eastAsia="方正楷体_GBK" w:cs="Times New Roman"/>
                <w:b/>
                <w:bCs/>
                <w:color w:val="0D0D0D" w:themeColor="text1" w:themeTint="F2"/>
                <w:kern w:val="0"/>
                <w:sz w:val="28"/>
                <w:szCs w:val="28"/>
                <w14:textFill>
                  <w14:solidFill>
                    <w14:schemeClr w14:val="tx1">
                      <w14:lumMod w14:val="95000"/>
                      <w14:lumOff w14:val="5000"/>
                    </w14:schemeClr>
                  </w14:solidFill>
                </w14:textFill>
              </w:rPr>
              <w:t>、一般公共预算</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eastAsia="等线" w:cs="Times New Roman"/>
                <w:color w:val="0D0D0D" w:themeColor="text1" w:themeTint="F2"/>
                <w:kern w:val="0"/>
                <w:sz w:val="28"/>
                <w:szCs w:val="28"/>
                <w14:textFill>
                  <w14:solidFill>
                    <w14:schemeClr w14:val="tx1">
                      <w14:lumMod w14:val="95000"/>
                      <w14:lumOff w14:val="5000"/>
                    </w14:schemeClr>
                  </w14:solidFill>
                </w14:textFill>
              </w:rPr>
            </w:pPr>
            <w:r>
              <w:rPr>
                <w:rFonts w:hint="eastAsia" w:cs="Times New Roman"/>
                <w:color w:val="0D0D0D" w:themeColor="text1" w:themeTint="F2"/>
                <w:kern w:val="0"/>
                <w:sz w:val="28"/>
                <w:szCs w:val="28"/>
                <w14:textFill>
                  <w14:solidFill>
                    <w14:schemeClr w14:val="tx1">
                      <w14:lumMod w14:val="95000"/>
                      <w14:lumOff w14:val="5000"/>
                    </w14:schemeClr>
                  </w14:solidFill>
                </w14:textFill>
              </w:rPr>
              <w:t>表</w:t>
            </w:r>
            <w:r>
              <w:rPr>
                <w:rFonts w:eastAsia="等线" w:cs="Times New Roman"/>
                <w:color w:val="0D0D0D" w:themeColor="text1" w:themeTint="F2"/>
                <w:kern w:val="0"/>
                <w:sz w:val="28"/>
                <w:szCs w:val="28"/>
                <w14:textFill>
                  <w14:solidFill>
                    <w14:schemeClr w14:val="tx1">
                      <w14:lumMod w14:val="95000"/>
                      <w14:lumOff w14:val="5000"/>
                    </w14:schemeClr>
                  </w14:solidFill>
                </w14:textFill>
              </w:rPr>
              <w:t>8</w:t>
            </w:r>
            <w:r>
              <w:rPr>
                <w:rFonts w:hint="eastAsia" w:cs="Times New Roman"/>
                <w:color w:val="0D0D0D" w:themeColor="text1" w:themeTint="F2"/>
                <w:kern w:val="0"/>
                <w:sz w:val="28"/>
                <w:szCs w:val="28"/>
                <w14:textFill>
                  <w14:solidFill>
                    <w14:schemeClr w14:val="tx1">
                      <w14:lumMod w14:val="95000"/>
                      <w14:lumOff w14:val="5000"/>
                    </w14:schemeClr>
                  </w14:solidFill>
                </w14:textFill>
              </w:rPr>
              <w:t>：</w:t>
            </w:r>
            <w:r>
              <w:rPr>
                <w:rFonts w:eastAsia="等线" w:cs="Times New Roman"/>
                <w:color w:val="0D0D0D" w:themeColor="text1" w:themeTint="F2"/>
                <w:kern w:val="0"/>
                <w:sz w:val="28"/>
                <w:szCs w:val="28"/>
                <w14:textFill>
                  <w14:solidFill>
                    <w14:schemeClr w14:val="tx1">
                      <w14:lumMod w14:val="95000"/>
                      <w14:lumOff w14:val="5000"/>
                    </w14:schemeClr>
                  </w14:solidFill>
                </w14:textFill>
              </w:rPr>
              <w:t>2023</w:t>
            </w:r>
            <w:r>
              <w:rPr>
                <w:rFonts w:hint="eastAsia" w:cs="Times New Roman"/>
                <w:color w:val="0D0D0D" w:themeColor="text1" w:themeTint="F2"/>
                <w:kern w:val="0"/>
                <w:sz w:val="28"/>
                <w:szCs w:val="28"/>
                <w14:textFill>
                  <w14:solidFill>
                    <w14:schemeClr w14:val="tx1">
                      <w14:lumMod w14:val="95000"/>
                      <w14:lumOff w14:val="5000"/>
                    </w14:schemeClr>
                  </w14:solidFill>
                </w14:textFill>
              </w:rPr>
              <w:t>年一般公共预算收支预算表</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eastAsia="等线" w:cs="Times New Roman"/>
                <w:color w:val="0D0D0D" w:themeColor="text1" w:themeTint="F2"/>
                <w:kern w:val="0"/>
                <w:sz w:val="28"/>
                <w:szCs w:val="28"/>
                <w14:textFill>
                  <w14:solidFill>
                    <w14:schemeClr w14:val="tx1">
                      <w14:lumMod w14:val="95000"/>
                      <w14:lumOff w14:val="5000"/>
                    </w14:schemeClr>
                  </w14:solidFill>
                </w14:textFill>
              </w:rPr>
            </w:pPr>
            <w:r>
              <w:rPr>
                <w:rFonts w:hint="eastAsia" w:cs="Times New Roman"/>
                <w:color w:val="0D0D0D" w:themeColor="text1" w:themeTint="F2"/>
                <w:kern w:val="0"/>
                <w:sz w:val="28"/>
                <w:szCs w:val="28"/>
                <w14:textFill>
                  <w14:solidFill>
                    <w14:schemeClr w14:val="tx1">
                      <w14:lumMod w14:val="95000"/>
                      <w14:lumOff w14:val="5000"/>
                    </w14:schemeClr>
                  </w14:solidFill>
                </w14:textFill>
              </w:rPr>
              <w:t>表</w:t>
            </w:r>
            <w:r>
              <w:rPr>
                <w:rFonts w:eastAsia="等线" w:cs="Times New Roman"/>
                <w:color w:val="0D0D0D" w:themeColor="text1" w:themeTint="F2"/>
                <w:kern w:val="0"/>
                <w:sz w:val="28"/>
                <w:szCs w:val="28"/>
                <w14:textFill>
                  <w14:solidFill>
                    <w14:schemeClr w14:val="tx1">
                      <w14:lumMod w14:val="95000"/>
                      <w14:lumOff w14:val="5000"/>
                    </w14:schemeClr>
                  </w14:solidFill>
                </w14:textFill>
              </w:rPr>
              <w:t>9</w:t>
            </w:r>
            <w:r>
              <w:rPr>
                <w:rFonts w:hint="eastAsia" w:cs="Times New Roman"/>
                <w:color w:val="0D0D0D" w:themeColor="text1" w:themeTint="F2"/>
                <w:kern w:val="0"/>
                <w:sz w:val="28"/>
                <w:szCs w:val="28"/>
                <w14:textFill>
                  <w14:solidFill>
                    <w14:schemeClr w14:val="tx1">
                      <w14:lumMod w14:val="95000"/>
                      <w14:lumOff w14:val="5000"/>
                    </w14:schemeClr>
                  </w14:solidFill>
                </w14:textFill>
              </w:rPr>
              <w:t>：</w:t>
            </w:r>
            <w:r>
              <w:rPr>
                <w:rFonts w:eastAsia="等线" w:cs="Times New Roman"/>
                <w:color w:val="0D0D0D" w:themeColor="text1" w:themeTint="F2"/>
                <w:kern w:val="0"/>
                <w:sz w:val="28"/>
                <w:szCs w:val="28"/>
                <w14:textFill>
                  <w14:solidFill>
                    <w14:schemeClr w14:val="tx1">
                      <w14:lumMod w14:val="95000"/>
                      <w14:lumOff w14:val="5000"/>
                    </w14:schemeClr>
                  </w14:solidFill>
                </w14:textFill>
              </w:rPr>
              <w:t>2023</w:t>
            </w:r>
            <w:r>
              <w:rPr>
                <w:rFonts w:hint="eastAsia" w:cs="Times New Roman"/>
                <w:color w:val="0D0D0D" w:themeColor="text1" w:themeTint="F2"/>
                <w:kern w:val="0"/>
                <w:sz w:val="28"/>
                <w:szCs w:val="28"/>
                <w14:textFill>
                  <w14:solidFill>
                    <w14:schemeClr w14:val="tx1">
                      <w14:lumMod w14:val="95000"/>
                      <w14:lumOff w14:val="5000"/>
                    </w14:schemeClr>
                  </w14:solidFill>
                </w14:textFill>
              </w:rPr>
              <w:t>年一般公共预算收入预算表</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表10：2023年一般公共预算支出预算表（支出功能分类科目）</w:t>
            </w:r>
          </w:p>
        </w:tc>
      </w:tr>
      <w:tr>
        <w:tblPrEx>
          <w:tblCellMar>
            <w:top w:w="0" w:type="dxa"/>
            <w:left w:w="108" w:type="dxa"/>
            <w:bottom w:w="0" w:type="dxa"/>
            <w:right w:w="108" w:type="dxa"/>
          </w:tblCellMar>
        </w:tblPrEx>
        <w:trPr>
          <w:trHeight w:val="930" w:hRule="atLeast"/>
        </w:trPr>
        <w:tc>
          <w:tcPr>
            <w:tcW w:w="9520" w:type="dxa"/>
            <w:tcBorders>
              <w:top w:val="nil"/>
              <w:left w:val="nil"/>
              <w:bottom w:val="nil"/>
              <w:right w:val="nil"/>
            </w:tcBorders>
            <w:shd w:val="clear" w:color="auto" w:fill="auto"/>
            <w:vAlign w:val="center"/>
          </w:tcPr>
          <w:p>
            <w:pPr>
              <w:widowControl/>
              <w:spacing w:line="240" w:lineRule="auto"/>
              <w:ind w:firstLine="0" w:firstLineChars="0"/>
              <w:jc w:val="left"/>
              <w:rPr>
                <w:rFonts w:eastAsia="等线" w:cs="Times New Roman"/>
                <w:color w:val="0D0D0D" w:themeColor="text1" w:themeTint="F2"/>
                <w:kern w:val="0"/>
                <w:sz w:val="28"/>
                <w:szCs w:val="28"/>
                <w14:textFill>
                  <w14:solidFill>
                    <w14:schemeClr w14:val="tx1">
                      <w14:lumMod w14:val="95000"/>
                      <w14:lumOff w14:val="5000"/>
                    </w14:schemeClr>
                  </w14:solidFill>
                </w14:textFill>
              </w:rPr>
            </w:pPr>
            <w:r>
              <w:rPr>
                <w:rFonts w:hint="eastAsia" w:cs="Times New Roman"/>
                <w:color w:val="0D0D0D" w:themeColor="text1" w:themeTint="F2"/>
                <w:kern w:val="0"/>
                <w:sz w:val="28"/>
                <w:szCs w:val="28"/>
                <w14:textFill>
                  <w14:solidFill>
                    <w14:schemeClr w14:val="tx1">
                      <w14:lumMod w14:val="95000"/>
                      <w14:lumOff w14:val="5000"/>
                    </w14:schemeClr>
                  </w14:solidFill>
                </w14:textFill>
              </w:rPr>
              <w:t>表</w:t>
            </w:r>
            <w:r>
              <w:rPr>
                <w:rFonts w:eastAsia="等线" w:cs="Times New Roman"/>
                <w:color w:val="0D0D0D" w:themeColor="text1" w:themeTint="F2"/>
                <w:kern w:val="0"/>
                <w:sz w:val="28"/>
                <w:szCs w:val="28"/>
                <w14:textFill>
                  <w14:solidFill>
                    <w14:schemeClr w14:val="tx1">
                      <w14:lumMod w14:val="95000"/>
                      <w14:lumOff w14:val="5000"/>
                    </w14:schemeClr>
                  </w14:solidFill>
                </w14:textFill>
              </w:rPr>
              <w:t>11</w:t>
            </w:r>
            <w:r>
              <w:rPr>
                <w:rFonts w:hint="eastAsia" w:cs="Times New Roman"/>
                <w:color w:val="0D0D0D" w:themeColor="text1" w:themeTint="F2"/>
                <w:kern w:val="0"/>
                <w:sz w:val="28"/>
                <w:szCs w:val="28"/>
                <w14:textFill>
                  <w14:solidFill>
                    <w14:schemeClr w14:val="tx1">
                      <w14:lumMod w14:val="95000"/>
                      <w14:lumOff w14:val="5000"/>
                    </w14:schemeClr>
                  </w14:solidFill>
                </w14:textFill>
              </w:rPr>
              <w:t>：</w:t>
            </w:r>
            <w:r>
              <w:rPr>
                <w:rFonts w:eastAsia="等线" w:cs="Times New Roman"/>
                <w:color w:val="0D0D0D" w:themeColor="text1" w:themeTint="F2"/>
                <w:kern w:val="0"/>
                <w:sz w:val="28"/>
                <w:szCs w:val="28"/>
                <w14:textFill>
                  <w14:solidFill>
                    <w14:schemeClr w14:val="tx1">
                      <w14:lumMod w14:val="95000"/>
                      <w14:lumOff w14:val="5000"/>
                    </w14:schemeClr>
                  </w14:solidFill>
                </w14:textFill>
              </w:rPr>
              <w:t>2023</w:t>
            </w:r>
            <w:r>
              <w:rPr>
                <w:rFonts w:hint="eastAsia" w:cs="Times New Roman"/>
                <w:color w:val="0D0D0D" w:themeColor="text1" w:themeTint="F2"/>
                <w:kern w:val="0"/>
                <w:sz w:val="28"/>
                <w:szCs w:val="28"/>
                <w14:textFill>
                  <w14:solidFill>
                    <w14:schemeClr w14:val="tx1">
                      <w14:lumMod w14:val="95000"/>
                      <w14:lumOff w14:val="5000"/>
                    </w14:schemeClr>
                  </w14:solidFill>
                </w14:textFill>
              </w:rPr>
              <w:t>年一般公共预算本级支出预算表（按功能分类科目的基本支出和项目支出）</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eastAsia="等线" w:cs="Times New Roman"/>
                <w:color w:val="0D0D0D" w:themeColor="text1" w:themeTint="F2"/>
                <w:kern w:val="0"/>
                <w:sz w:val="28"/>
                <w:szCs w:val="28"/>
                <w14:textFill>
                  <w14:solidFill>
                    <w14:schemeClr w14:val="tx1">
                      <w14:lumMod w14:val="95000"/>
                      <w14:lumOff w14:val="5000"/>
                    </w14:schemeClr>
                  </w14:solidFill>
                </w14:textFill>
              </w:rPr>
            </w:pPr>
            <w:r>
              <w:rPr>
                <w:rFonts w:hint="eastAsia" w:cs="Times New Roman"/>
                <w:color w:val="0D0D0D" w:themeColor="text1" w:themeTint="F2"/>
                <w:kern w:val="0"/>
                <w:sz w:val="28"/>
                <w:szCs w:val="28"/>
                <w14:textFill>
                  <w14:solidFill>
                    <w14:schemeClr w14:val="tx1">
                      <w14:lumMod w14:val="95000"/>
                      <w14:lumOff w14:val="5000"/>
                    </w14:schemeClr>
                  </w14:solidFill>
                </w14:textFill>
              </w:rPr>
              <w:t>表1</w:t>
            </w:r>
            <w:r>
              <w:rPr>
                <w:rFonts w:eastAsia="等线" w:cs="Times New Roman"/>
                <w:color w:val="0D0D0D" w:themeColor="text1" w:themeTint="F2"/>
                <w:kern w:val="0"/>
                <w:sz w:val="28"/>
                <w:szCs w:val="28"/>
                <w14:textFill>
                  <w14:solidFill>
                    <w14:schemeClr w14:val="tx1">
                      <w14:lumMod w14:val="95000"/>
                      <w14:lumOff w14:val="5000"/>
                    </w14:schemeClr>
                  </w14:solidFill>
                </w14:textFill>
              </w:rPr>
              <w:t>2</w:t>
            </w:r>
            <w:r>
              <w:rPr>
                <w:rFonts w:hint="eastAsia" w:cs="Times New Roman"/>
                <w:color w:val="0D0D0D" w:themeColor="text1" w:themeTint="F2"/>
                <w:kern w:val="0"/>
                <w:sz w:val="28"/>
                <w:szCs w:val="28"/>
                <w14:textFill>
                  <w14:solidFill>
                    <w14:schemeClr w14:val="tx1">
                      <w14:lumMod w14:val="95000"/>
                      <w14:lumOff w14:val="5000"/>
                    </w14:schemeClr>
                  </w14:solidFill>
                </w14:textFill>
              </w:rPr>
              <w:t>：</w:t>
            </w:r>
            <w:r>
              <w:rPr>
                <w:rFonts w:eastAsia="等线" w:cs="Times New Roman"/>
                <w:color w:val="0D0D0D" w:themeColor="text1" w:themeTint="F2"/>
                <w:kern w:val="0"/>
                <w:sz w:val="28"/>
                <w:szCs w:val="28"/>
                <w14:textFill>
                  <w14:solidFill>
                    <w14:schemeClr w14:val="tx1">
                      <w14:lumMod w14:val="95000"/>
                      <w14:lumOff w14:val="5000"/>
                    </w14:schemeClr>
                  </w14:solidFill>
                </w14:textFill>
              </w:rPr>
              <w:t>2023</w:t>
            </w:r>
            <w:r>
              <w:rPr>
                <w:rFonts w:hint="eastAsia" w:cs="Times New Roman"/>
                <w:color w:val="0D0D0D" w:themeColor="text1" w:themeTint="F2"/>
                <w:kern w:val="0"/>
                <w:sz w:val="28"/>
                <w:szCs w:val="28"/>
                <w14:textFill>
                  <w14:solidFill>
                    <w14:schemeClr w14:val="tx1">
                      <w14:lumMod w14:val="95000"/>
                      <w14:lumOff w14:val="5000"/>
                    </w14:schemeClr>
                  </w14:solidFill>
                </w14:textFill>
              </w:rPr>
              <w:t>年一般公共预算本级基本支出预算表（按经济分类科目）</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eastAsia="等线" w:cs="Times New Roman"/>
                <w:color w:val="0D0D0D" w:themeColor="text1" w:themeTint="F2"/>
                <w:kern w:val="0"/>
                <w:sz w:val="28"/>
                <w:szCs w:val="28"/>
                <w14:textFill>
                  <w14:solidFill>
                    <w14:schemeClr w14:val="tx1">
                      <w14:lumMod w14:val="95000"/>
                      <w14:lumOff w14:val="5000"/>
                    </w14:schemeClr>
                  </w14:solidFill>
                </w14:textFill>
              </w:rPr>
            </w:pPr>
            <w:r>
              <w:rPr>
                <w:rFonts w:hint="eastAsia" w:cs="Times New Roman"/>
                <w:color w:val="0D0D0D" w:themeColor="text1" w:themeTint="F2"/>
                <w:kern w:val="0"/>
                <w:sz w:val="28"/>
                <w:szCs w:val="28"/>
                <w14:textFill>
                  <w14:solidFill>
                    <w14:schemeClr w14:val="tx1">
                      <w14:lumMod w14:val="95000"/>
                      <w14:lumOff w14:val="5000"/>
                    </w14:schemeClr>
                  </w14:solidFill>
                </w14:textFill>
              </w:rPr>
              <w:t>表1</w:t>
            </w:r>
            <w:r>
              <w:rPr>
                <w:rFonts w:eastAsia="等线" w:cs="Times New Roman"/>
                <w:color w:val="0D0D0D" w:themeColor="text1" w:themeTint="F2"/>
                <w:kern w:val="0"/>
                <w:sz w:val="28"/>
                <w:szCs w:val="28"/>
                <w14:textFill>
                  <w14:solidFill>
                    <w14:schemeClr w14:val="tx1">
                      <w14:lumMod w14:val="95000"/>
                      <w14:lumOff w14:val="5000"/>
                    </w14:schemeClr>
                  </w14:solidFill>
                </w14:textFill>
              </w:rPr>
              <w:t>3</w:t>
            </w:r>
            <w:r>
              <w:rPr>
                <w:rFonts w:hint="eastAsia" w:cs="Times New Roman"/>
                <w:color w:val="0D0D0D" w:themeColor="text1" w:themeTint="F2"/>
                <w:kern w:val="0"/>
                <w:sz w:val="28"/>
                <w:szCs w:val="28"/>
                <w14:textFill>
                  <w14:solidFill>
                    <w14:schemeClr w14:val="tx1">
                      <w14:lumMod w14:val="95000"/>
                      <w14:lumOff w14:val="5000"/>
                    </w14:schemeClr>
                  </w14:solidFill>
                </w14:textFill>
              </w:rPr>
              <w:t>：</w:t>
            </w:r>
            <w:r>
              <w:rPr>
                <w:rFonts w:eastAsia="等线" w:cs="Times New Roman"/>
                <w:color w:val="0D0D0D" w:themeColor="text1" w:themeTint="F2"/>
                <w:kern w:val="0"/>
                <w:sz w:val="28"/>
                <w:szCs w:val="28"/>
                <w14:textFill>
                  <w14:solidFill>
                    <w14:schemeClr w14:val="tx1">
                      <w14:lumMod w14:val="95000"/>
                      <w14:lumOff w14:val="5000"/>
                    </w14:schemeClr>
                  </w14:solidFill>
                </w14:textFill>
              </w:rPr>
              <w:t>2023</w:t>
            </w:r>
            <w:r>
              <w:rPr>
                <w:rFonts w:hint="eastAsia" w:cs="Times New Roman"/>
                <w:color w:val="0D0D0D" w:themeColor="text1" w:themeTint="F2"/>
                <w:kern w:val="0"/>
                <w:sz w:val="28"/>
                <w:szCs w:val="28"/>
                <w14:textFill>
                  <w14:solidFill>
                    <w14:schemeClr w14:val="tx1">
                      <w14:lumMod w14:val="95000"/>
                      <w14:lumOff w14:val="5000"/>
                    </w14:schemeClr>
                  </w14:solidFill>
                </w14:textFill>
              </w:rPr>
              <w:t>年一般公共预算转移支付收支预算表</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eastAsia="等线" w:cs="Times New Roman"/>
                <w:b/>
                <w:bCs/>
                <w:color w:val="0D0D0D" w:themeColor="text1" w:themeTint="F2"/>
                <w:kern w:val="0"/>
                <w:sz w:val="28"/>
                <w:szCs w:val="28"/>
                <w14:textFill>
                  <w14:solidFill>
                    <w14:schemeClr w14:val="tx1">
                      <w14:lumMod w14:val="95000"/>
                      <w14:lumOff w14:val="5000"/>
                    </w14:schemeClr>
                  </w14:solidFill>
                </w14:textFill>
              </w:rPr>
            </w:pPr>
            <w:r>
              <w:rPr>
                <w:rFonts w:eastAsia="等线" w:cs="Times New Roman"/>
                <w:b/>
                <w:bCs/>
                <w:color w:val="0D0D0D" w:themeColor="text1" w:themeTint="F2"/>
                <w:kern w:val="0"/>
                <w:sz w:val="28"/>
                <w:szCs w:val="28"/>
                <w14:textFill>
                  <w14:solidFill>
                    <w14:schemeClr w14:val="tx1">
                      <w14:lumMod w14:val="95000"/>
                      <w14:lumOff w14:val="5000"/>
                    </w14:schemeClr>
                  </w14:solidFill>
                </w14:textFill>
              </w:rPr>
              <w:t>2</w:t>
            </w:r>
            <w:r>
              <w:rPr>
                <w:rFonts w:hint="eastAsia" w:eastAsia="方正楷体_GBK" w:cs="Times New Roman"/>
                <w:b/>
                <w:bCs/>
                <w:color w:val="0D0D0D" w:themeColor="text1" w:themeTint="F2"/>
                <w:kern w:val="0"/>
                <w:sz w:val="28"/>
                <w:szCs w:val="28"/>
                <w14:textFill>
                  <w14:solidFill>
                    <w14:schemeClr w14:val="tx1">
                      <w14:lumMod w14:val="95000"/>
                      <w14:lumOff w14:val="5000"/>
                    </w14:schemeClr>
                  </w14:solidFill>
                </w14:textFill>
              </w:rPr>
              <w:t>、政府性基金预算</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eastAsia="等线" w:cs="Times New Roman"/>
                <w:color w:val="0D0D0D" w:themeColor="text1" w:themeTint="F2"/>
                <w:kern w:val="0"/>
                <w:sz w:val="28"/>
                <w:szCs w:val="28"/>
                <w14:textFill>
                  <w14:solidFill>
                    <w14:schemeClr w14:val="tx1">
                      <w14:lumMod w14:val="95000"/>
                      <w14:lumOff w14:val="5000"/>
                    </w14:schemeClr>
                  </w14:solidFill>
                </w14:textFill>
              </w:rPr>
            </w:pPr>
            <w:r>
              <w:rPr>
                <w:rFonts w:hint="eastAsia" w:cs="Times New Roman"/>
                <w:color w:val="0D0D0D" w:themeColor="text1" w:themeTint="F2"/>
                <w:kern w:val="0"/>
                <w:sz w:val="28"/>
                <w:szCs w:val="28"/>
                <w14:textFill>
                  <w14:solidFill>
                    <w14:schemeClr w14:val="tx1">
                      <w14:lumMod w14:val="95000"/>
                      <w14:lumOff w14:val="5000"/>
                    </w14:schemeClr>
                  </w14:solidFill>
                </w14:textFill>
              </w:rPr>
              <w:t>表</w:t>
            </w:r>
            <w:r>
              <w:rPr>
                <w:rFonts w:eastAsia="等线" w:cs="Times New Roman"/>
                <w:color w:val="0D0D0D" w:themeColor="text1" w:themeTint="F2"/>
                <w:kern w:val="0"/>
                <w:sz w:val="28"/>
                <w:szCs w:val="28"/>
                <w14:textFill>
                  <w14:solidFill>
                    <w14:schemeClr w14:val="tx1">
                      <w14:lumMod w14:val="95000"/>
                      <w14:lumOff w14:val="5000"/>
                    </w14:schemeClr>
                  </w14:solidFill>
                </w14:textFill>
              </w:rPr>
              <w:t>14</w:t>
            </w:r>
            <w:r>
              <w:rPr>
                <w:rFonts w:hint="eastAsia" w:cs="Times New Roman"/>
                <w:color w:val="0D0D0D" w:themeColor="text1" w:themeTint="F2"/>
                <w:kern w:val="0"/>
                <w:sz w:val="28"/>
                <w:szCs w:val="28"/>
                <w14:textFill>
                  <w14:solidFill>
                    <w14:schemeClr w14:val="tx1">
                      <w14:lumMod w14:val="95000"/>
                      <w14:lumOff w14:val="5000"/>
                    </w14:schemeClr>
                  </w14:solidFill>
                </w14:textFill>
              </w:rPr>
              <w:t>：</w:t>
            </w:r>
            <w:r>
              <w:rPr>
                <w:rFonts w:eastAsia="等线" w:cs="Times New Roman"/>
                <w:color w:val="0D0D0D" w:themeColor="text1" w:themeTint="F2"/>
                <w:kern w:val="0"/>
                <w:sz w:val="28"/>
                <w:szCs w:val="28"/>
                <w14:textFill>
                  <w14:solidFill>
                    <w14:schemeClr w14:val="tx1">
                      <w14:lumMod w14:val="95000"/>
                      <w14:lumOff w14:val="5000"/>
                    </w14:schemeClr>
                  </w14:solidFill>
                </w14:textFill>
              </w:rPr>
              <w:t>2023</w:t>
            </w:r>
            <w:r>
              <w:rPr>
                <w:rFonts w:hint="eastAsia" w:cs="Times New Roman"/>
                <w:color w:val="0D0D0D" w:themeColor="text1" w:themeTint="F2"/>
                <w:kern w:val="0"/>
                <w:sz w:val="28"/>
                <w:szCs w:val="28"/>
                <w14:textFill>
                  <w14:solidFill>
                    <w14:schemeClr w14:val="tx1">
                      <w14:lumMod w14:val="95000"/>
                      <w14:lumOff w14:val="5000"/>
                    </w14:schemeClr>
                  </w14:solidFill>
                </w14:textFill>
              </w:rPr>
              <w:t>年政府性基金预算收支预算表</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eastAsia="等线" w:cs="Times New Roman"/>
                <w:color w:val="0D0D0D" w:themeColor="text1" w:themeTint="F2"/>
                <w:kern w:val="0"/>
                <w:sz w:val="28"/>
                <w:szCs w:val="28"/>
                <w14:textFill>
                  <w14:solidFill>
                    <w14:schemeClr w14:val="tx1">
                      <w14:lumMod w14:val="95000"/>
                      <w14:lumOff w14:val="5000"/>
                    </w14:schemeClr>
                  </w14:solidFill>
                </w14:textFill>
              </w:rPr>
            </w:pPr>
            <w:r>
              <w:rPr>
                <w:rFonts w:hint="eastAsia" w:cs="Times New Roman"/>
                <w:color w:val="0D0D0D" w:themeColor="text1" w:themeTint="F2"/>
                <w:kern w:val="0"/>
                <w:sz w:val="28"/>
                <w:szCs w:val="28"/>
                <w14:textFill>
                  <w14:solidFill>
                    <w14:schemeClr w14:val="tx1">
                      <w14:lumMod w14:val="95000"/>
                      <w14:lumOff w14:val="5000"/>
                    </w14:schemeClr>
                  </w14:solidFill>
                </w14:textFill>
              </w:rPr>
              <w:t>表</w:t>
            </w:r>
            <w:r>
              <w:rPr>
                <w:rFonts w:eastAsia="等线" w:cs="Times New Roman"/>
                <w:color w:val="0D0D0D" w:themeColor="text1" w:themeTint="F2"/>
                <w:kern w:val="0"/>
                <w:sz w:val="28"/>
                <w:szCs w:val="28"/>
                <w14:textFill>
                  <w14:solidFill>
                    <w14:schemeClr w14:val="tx1">
                      <w14:lumMod w14:val="95000"/>
                      <w14:lumOff w14:val="5000"/>
                    </w14:schemeClr>
                  </w14:solidFill>
                </w14:textFill>
              </w:rPr>
              <w:t>15</w:t>
            </w:r>
            <w:r>
              <w:rPr>
                <w:rFonts w:hint="eastAsia" w:cs="Times New Roman"/>
                <w:color w:val="0D0D0D" w:themeColor="text1" w:themeTint="F2"/>
                <w:kern w:val="0"/>
                <w:sz w:val="28"/>
                <w:szCs w:val="28"/>
                <w14:textFill>
                  <w14:solidFill>
                    <w14:schemeClr w14:val="tx1">
                      <w14:lumMod w14:val="95000"/>
                      <w14:lumOff w14:val="5000"/>
                    </w14:schemeClr>
                  </w14:solidFill>
                </w14:textFill>
              </w:rPr>
              <w:t>：</w:t>
            </w:r>
            <w:r>
              <w:rPr>
                <w:rFonts w:eastAsia="等线" w:cs="Times New Roman"/>
                <w:color w:val="0D0D0D" w:themeColor="text1" w:themeTint="F2"/>
                <w:kern w:val="0"/>
                <w:sz w:val="28"/>
                <w:szCs w:val="28"/>
                <w14:textFill>
                  <w14:solidFill>
                    <w14:schemeClr w14:val="tx1">
                      <w14:lumMod w14:val="95000"/>
                      <w14:lumOff w14:val="5000"/>
                    </w14:schemeClr>
                  </w14:solidFill>
                </w14:textFill>
              </w:rPr>
              <w:t>2023</w:t>
            </w:r>
            <w:r>
              <w:rPr>
                <w:rFonts w:hint="eastAsia" w:cs="Times New Roman"/>
                <w:color w:val="0D0D0D" w:themeColor="text1" w:themeTint="F2"/>
                <w:kern w:val="0"/>
                <w:sz w:val="28"/>
                <w:szCs w:val="28"/>
                <w14:textFill>
                  <w14:solidFill>
                    <w14:schemeClr w14:val="tx1">
                      <w14:lumMod w14:val="95000"/>
                      <w14:lumOff w14:val="5000"/>
                    </w14:schemeClr>
                  </w14:solidFill>
                </w14:textFill>
              </w:rPr>
              <w:t>年政府性基金预算收入预算表</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eastAsia="等线" w:cs="Times New Roman"/>
                <w:color w:val="0D0D0D" w:themeColor="text1" w:themeTint="F2"/>
                <w:kern w:val="0"/>
                <w:sz w:val="28"/>
                <w:szCs w:val="28"/>
                <w14:textFill>
                  <w14:solidFill>
                    <w14:schemeClr w14:val="tx1">
                      <w14:lumMod w14:val="95000"/>
                      <w14:lumOff w14:val="5000"/>
                    </w14:schemeClr>
                  </w14:solidFill>
                </w14:textFill>
              </w:rPr>
            </w:pPr>
            <w:r>
              <w:rPr>
                <w:rFonts w:hint="eastAsia" w:cs="Times New Roman"/>
                <w:color w:val="0D0D0D" w:themeColor="text1" w:themeTint="F2"/>
                <w:kern w:val="0"/>
                <w:sz w:val="28"/>
                <w:szCs w:val="28"/>
                <w14:textFill>
                  <w14:solidFill>
                    <w14:schemeClr w14:val="tx1">
                      <w14:lumMod w14:val="95000"/>
                      <w14:lumOff w14:val="5000"/>
                    </w14:schemeClr>
                  </w14:solidFill>
                </w14:textFill>
              </w:rPr>
              <w:t>表</w:t>
            </w:r>
            <w:r>
              <w:rPr>
                <w:rFonts w:eastAsia="等线" w:cs="Times New Roman"/>
                <w:color w:val="0D0D0D" w:themeColor="text1" w:themeTint="F2"/>
                <w:kern w:val="0"/>
                <w:sz w:val="28"/>
                <w:szCs w:val="28"/>
                <w14:textFill>
                  <w14:solidFill>
                    <w14:schemeClr w14:val="tx1">
                      <w14:lumMod w14:val="95000"/>
                      <w14:lumOff w14:val="5000"/>
                    </w14:schemeClr>
                  </w14:solidFill>
                </w14:textFill>
              </w:rPr>
              <w:t>16</w:t>
            </w:r>
            <w:r>
              <w:rPr>
                <w:rFonts w:hint="eastAsia" w:cs="Times New Roman"/>
                <w:color w:val="0D0D0D" w:themeColor="text1" w:themeTint="F2"/>
                <w:kern w:val="0"/>
                <w:sz w:val="28"/>
                <w:szCs w:val="28"/>
                <w14:textFill>
                  <w14:solidFill>
                    <w14:schemeClr w14:val="tx1">
                      <w14:lumMod w14:val="95000"/>
                      <w14:lumOff w14:val="5000"/>
                    </w14:schemeClr>
                  </w14:solidFill>
                </w14:textFill>
              </w:rPr>
              <w:t>：</w:t>
            </w:r>
            <w:r>
              <w:rPr>
                <w:rFonts w:eastAsia="等线" w:cs="Times New Roman"/>
                <w:color w:val="0D0D0D" w:themeColor="text1" w:themeTint="F2"/>
                <w:kern w:val="0"/>
                <w:sz w:val="28"/>
                <w:szCs w:val="28"/>
                <w14:textFill>
                  <w14:solidFill>
                    <w14:schemeClr w14:val="tx1">
                      <w14:lumMod w14:val="95000"/>
                      <w14:lumOff w14:val="5000"/>
                    </w14:schemeClr>
                  </w14:solidFill>
                </w14:textFill>
              </w:rPr>
              <w:t>2023</w:t>
            </w:r>
            <w:r>
              <w:rPr>
                <w:rFonts w:hint="eastAsia" w:cs="Times New Roman"/>
                <w:color w:val="0D0D0D" w:themeColor="text1" w:themeTint="F2"/>
                <w:kern w:val="0"/>
                <w:sz w:val="28"/>
                <w:szCs w:val="28"/>
                <w14:textFill>
                  <w14:solidFill>
                    <w14:schemeClr w14:val="tx1">
                      <w14:lumMod w14:val="95000"/>
                      <w14:lumOff w14:val="5000"/>
                    </w14:schemeClr>
                  </w14:solidFill>
                </w14:textFill>
              </w:rPr>
              <w:t>年政府性基金预算本级支出预算表</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eastAsia="等线" w:cs="Times New Roman"/>
                <w:b/>
                <w:bCs/>
                <w:color w:val="0D0D0D" w:themeColor="text1" w:themeTint="F2"/>
                <w:kern w:val="0"/>
                <w:sz w:val="28"/>
                <w:szCs w:val="28"/>
                <w14:textFill>
                  <w14:solidFill>
                    <w14:schemeClr w14:val="tx1">
                      <w14:lumMod w14:val="95000"/>
                      <w14:lumOff w14:val="5000"/>
                    </w14:schemeClr>
                  </w14:solidFill>
                </w14:textFill>
              </w:rPr>
            </w:pPr>
            <w:r>
              <w:rPr>
                <w:rFonts w:eastAsia="等线" w:cs="Times New Roman"/>
                <w:b/>
                <w:bCs/>
                <w:color w:val="0D0D0D" w:themeColor="text1" w:themeTint="F2"/>
                <w:kern w:val="0"/>
                <w:sz w:val="28"/>
                <w:szCs w:val="28"/>
                <w14:textFill>
                  <w14:solidFill>
                    <w14:schemeClr w14:val="tx1">
                      <w14:lumMod w14:val="95000"/>
                      <w14:lumOff w14:val="5000"/>
                    </w14:schemeClr>
                  </w14:solidFill>
                </w14:textFill>
              </w:rPr>
              <w:t>3</w:t>
            </w:r>
            <w:r>
              <w:rPr>
                <w:rFonts w:hint="eastAsia" w:eastAsia="方正楷体_GBK" w:cs="Times New Roman"/>
                <w:b/>
                <w:bCs/>
                <w:color w:val="0D0D0D" w:themeColor="text1" w:themeTint="F2"/>
                <w:kern w:val="0"/>
                <w:sz w:val="28"/>
                <w:szCs w:val="28"/>
                <w14:textFill>
                  <w14:solidFill>
                    <w14:schemeClr w14:val="tx1">
                      <w14:lumMod w14:val="95000"/>
                      <w14:lumOff w14:val="5000"/>
                    </w14:schemeClr>
                  </w14:solidFill>
                </w14:textFill>
              </w:rPr>
              <w:t>、国有资本经营预算</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eastAsia="等线" w:cs="Times New Roman"/>
                <w:color w:val="0D0D0D" w:themeColor="text1" w:themeTint="F2"/>
                <w:kern w:val="0"/>
                <w:sz w:val="28"/>
                <w:szCs w:val="28"/>
                <w14:textFill>
                  <w14:solidFill>
                    <w14:schemeClr w14:val="tx1">
                      <w14:lumMod w14:val="95000"/>
                      <w14:lumOff w14:val="5000"/>
                    </w14:schemeClr>
                  </w14:solidFill>
                </w14:textFill>
              </w:rPr>
            </w:pPr>
            <w:r>
              <w:rPr>
                <w:rFonts w:hint="eastAsia" w:cs="Times New Roman"/>
                <w:color w:val="0D0D0D" w:themeColor="text1" w:themeTint="F2"/>
                <w:kern w:val="0"/>
                <w:sz w:val="28"/>
                <w:szCs w:val="28"/>
                <w14:textFill>
                  <w14:solidFill>
                    <w14:schemeClr w14:val="tx1">
                      <w14:lumMod w14:val="95000"/>
                      <w14:lumOff w14:val="5000"/>
                    </w14:schemeClr>
                  </w14:solidFill>
                </w14:textFill>
              </w:rPr>
              <w:t>表</w:t>
            </w:r>
            <w:r>
              <w:rPr>
                <w:rFonts w:eastAsia="等线" w:cs="Times New Roman"/>
                <w:color w:val="0D0D0D" w:themeColor="text1" w:themeTint="F2"/>
                <w:kern w:val="0"/>
                <w:sz w:val="28"/>
                <w:szCs w:val="28"/>
                <w14:textFill>
                  <w14:solidFill>
                    <w14:schemeClr w14:val="tx1">
                      <w14:lumMod w14:val="95000"/>
                      <w14:lumOff w14:val="5000"/>
                    </w14:schemeClr>
                  </w14:solidFill>
                </w14:textFill>
              </w:rPr>
              <w:t>17</w:t>
            </w:r>
            <w:r>
              <w:rPr>
                <w:rFonts w:hint="eastAsia" w:cs="Times New Roman"/>
                <w:color w:val="0D0D0D" w:themeColor="text1" w:themeTint="F2"/>
                <w:kern w:val="0"/>
                <w:sz w:val="28"/>
                <w:szCs w:val="28"/>
                <w14:textFill>
                  <w14:solidFill>
                    <w14:schemeClr w14:val="tx1">
                      <w14:lumMod w14:val="95000"/>
                      <w14:lumOff w14:val="5000"/>
                    </w14:schemeClr>
                  </w14:solidFill>
                </w14:textFill>
              </w:rPr>
              <w:t>：</w:t>
            </w:r>
            <w:r>
              <w:rPr>
                <w:rFonts w:eastAsia="等线" w:cs="Times New Roman"/>
                <w:color w:val="0D0D0D" w:themeColor="text1" w:themeTint="F2"/>
                <w:kern w:val="0"/>
                <w:sz w:val="28"/>
                <w:szCs w:val="28"/>
                <w14:textFill>
                  <w14:solidFill>
                    <w14:schemeClr w14:val="tx1">
                      <w14:lumMod w14:val="95000"/>
                      <w14:lumOff w14:val="5000"/>
                    </w14:schemeClr>
                  </w14:solidFill>
                </w14:textFill>
              </w:rPr>
              <w:t>2023</w:t>
            </w:r>
            <w:r>
              <w:rPr>
                <w:rFonts w:hint="eastAsia" w:cs="Times New Roman"/>
                <w:color w:val="0D0D0D" w:themeColor="text1" w:themeTint="F2"/>
                <w:kern w:val="0"/>
                <w:sz w:val="28"/>
                <w:szCs w:val="28"/>
                <w14:textFill>
                  <w14:solidFill>
                    <w14:schemeClr w14:val="tx1">
                      <w14:lumMod w14:val="95000"/>
                      <w14:lumOff w14:val="5000"/>
                    </w14:schemeClr>
                  </w14:solidFill>
                </w14:textFill>
              </w:rPr>
              <w:t>年国有资本经营预算收支预算表</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eastAsia="等线" w:cs="Times New Roman"/>
                <w:color w:val="0D0D0D" w:themeColor="text1" w:themeTint="F2"/>
                <w:kern w:val="0"/>
                <w:sz w:val="28"/>
                <w:szCs w:val="28"/>
                <w14:textFill>
                  <w14:solidFill>
                    <w14:schemeClr w14:val="tx1">
                      <w14:lumMod w14:val="95000"/>
                      <w14:lumOff w14:val="5000"/>
                    </w14:schemeClr>
                  </w14:solidFill>
                </w14:textFill>
              </w:rPr>
            </w:pPr>
            <w:r>
              <w:rPr>
                <w:rFonts w:hint="eastAsia" w:cs="Times New Roman"/>
                <w:color w:val="0D0D0D" w:themeColor="text1" w:themeTint="F2"/>
                <w:kern w:val="0"/>
                <w:sz w:val="28"/>
                <w:szCs w:val="28"/>
                <w14:textFill>
                  <w14:solidFill>
                    <w14:schemeClr w14:val="tx1">
                      <w14:lumMod w14:val="95000"/>
                      <w14:lumOff w14:val="5000"/>
                    </w14:schemeClr>
                  </w14:solidFill>
                </w14:textFill>
              </w:rPr>
              <w:t>表</w:t>
            </w:r>
            <w:r>
              <w:rPr>
                <w:rFonts w:eastAsia="等线" w:cs="Times New Roman"/>
                <w:color w:val="0D0D0D" w:themeColor="text1" w:themeTint="F2"/>
                <w:kern w:val="0"/>
                <w:sz w:val="28"/>
                <w:szCs w:val="28"/>
                <w14:textFill>
                  <w14:solidFill>
                    <w14:schemeClr w14:val="tx1">
                      <w14:lumMod w14:val="95000"/>
                      <w14:lumOff w14:val="5000"/>
                    </w14:schemeClr>
                  </w14:solidFill>
                </w14:textFill>
              </w:rPr>
              <w:t>18</w:t>
            </w:r>
            <w:r>
              <w:rPr>
                <w:rFonts w:hint="eastAsia" w:cs="Times New Roman"/>
                <w:color w:val="0D0D0D" w:themeColor="text1" w:themeTint="F2"/>
                <w:kern w:val="0"/>
                <w:sz w:val="28"/>
                <w:szCs w:val="28"/>
                <w14:textFill>
                  <w14:solidFill>
                    <w14:schemeClr w14:val="tx1">
                      <w14:lumMod w14:val="95000"/>
                      <w14:lumOff w14:val="5000"/>
                    </w14:schemeClr>
                  </w14:solidFill>
                </w14:textFill>
              </w:rPr>
              <w:t>：</w:t>
            </w:r>
            <w:r>
              <w:rPr>
                <w:rFonts w:eastAsia="等线" w:cs="Times New Roman"/>
                <w:color w:val="0D0D0D" w:themeColor="text1" w:themeTint="F2"/>
                <w:kern w:val="0"/>
                <w:sz w:val="28"/>
                <w:szCs w:val="28"/>
                <w14:textFill>
                  <w14:solidFill>
                    <w14:schemeClr w14:val="tx1">
                      <w14:lumMod w14:val="95000"/>
                      <w14:lumOff w14:val="5000"/>
                    </w14:schemeClr>
                  </w14:solidFill>
                </w14:textFill>
              </w:rPr>
              <w:t>2023</w:t>
            </w:r>
            <w:r>
              <w:rPr>
                <w:rFonts w:hint="eastAsia" w:cs="Times New Roman"/>
                <w:color w:val="0D0D0D" w:themeColor="text1" w:themeTint="F2"/>
                <w:kern w:val="0"/>
                <w:sz w:val="28"/>
                <w:szCs w:val="28"/>
                <w14:textFill>
                  <w14:solidFill>
                    <w14:schemeClr w14:val="tx1">
                      <w14:lumMod w14:val="95000"/>
                      <w14:lumOff w14:val="5000"/>
                    </w14:schemeClr>
                  </w14:solidFill>
                </w14:textFill>
              </w:rPr>
              <w:t>年国有资本经营预算收入预算表</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eastAsia="方正楷体_GBK" w:cs="宋体"/>
                <w:b/>
                <w:bCs/>
                <w:color w:val="0D0D0D" w:themeColor="text1" w:themeTint="F2"/>
                <w:kern w:val="0"/>
                <w:sz w:val="28"/>
                <w:szCs w:val="28"/>
                <w14:textFill>
                  <w14:solidFill>
                    <w14:schemeClr w14:val="tx1">
                      <w14:lumMod w14:val="95000"/>
                      <w14:lumOff w14:val="5000"/>
                    </w14:schemeClr>
                  </w14:solidFill>
                </w14:textFill>
              </w:rPr>
            </w:pPr>
            <w:r>
              <w:rPr>
                <w:rFonts w:hint="eastAsia" w:eastAsia="方正楷体_GBK" w:cs="宋体"/>
                <w:b/>
                <w:bCs/>
                <w:color w:val="0D0D0D" w:themeColor="text1" w:themeTint="F2"/>
                <w:kern w:val="0"/>
                <w:sz w:val="28"/>
                <w:szCs w:val="28"/>
                <w14:textFill>
                  <w14:solidFill>
                    <w14:schemeClr w14:val="tx1">
                      <w14:lumMod w14:val="95000"/>
                      <w14:lumOff w14:val="5000"/>
                    </w14:schemeClr>
                  </w14:solidFill>
                </w14:textFill>
              </w:rPr>
              <w:t>4、“三公”经费预算</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cs="宋体"/>
                <w:color w:val="0D0D0D" w:themeColor="text1" w:themeTint="F2"/>
                <w:kern w:val="0"/>
                <w:sz w:val="28"/>
                <w:szCs w:val="28"/>
                <w14:textFill>
                  <w14:solidFill>
                    <w14:schemeClr w14:val="tx1">
                      <w14:lumMod w14:val="95000"/>
                      <w14:lumOff w14:val="5000"/>
                    </w14:schemeClr>
                  </w14:solidFill>
                </w14:textFill>
              </w:rPr>
            </w:pPr>
            <w:r>
              <w:rPr>
                <w:rFonts w:hint="eastAsia" w:cs="宋体"/>
                <w:color w:val="0D0D0D" w:themeColor="text1" w:themeTint="F2"/>
                <w:kern w:val="0"/>
                <w:sz w:val="28"/>
                <w:szCs w:val="28"/>
                <w14:textFill>
                  <w14:solidFill>
                    <w14:schemeClr w14:val="tx1">
                      <w14:lumMod w14:val="95000"/>
                      <w14:lumOff w14:val="5000"/>
                    </w14:schemeClr>
                  </w14:solidFill>
                </w14:textFill>
              </w:rPr>
              <w:t>表19：2023年“三公”经费预算表</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eastAsia="等线" w:cs="Times New Roman"/>
                <w:color w:val="0D0D0D" w:themeColor="text1" w:themeTint="F2"/>
                <w:kern w:val="0"/>
                <w:szCs w:val="32"/>
                <w14:textFill>
                  <w14:solidFill>
                    <w14:schemeClr w14:val="tx1">
                      <w14:lumMod w14:val="95000"/>
                      <w14:lumOff w14:val="5000"/>
                    </w14:schemeClr>
                  </w14:solidFill>
                </w14:textFill>
              </w:rPr>
            </w:pPr>
            <w:r>
              <w:rPr>
                <w:rFonts w:hint="eastAsia" w:eastAsia="方正黑体_GBK" w:cs="Times New Roman"/>
                <w:color w:val="0D0D0D" w:themeColor="text1" w:themeTint="F2"/>
                <w:kern w:val="0"/>
                <w:szCs w:val="32"/>
                <w14:textFill>
                  <w14:solidFill>
                    <w14:schemeClr w14:val="tx1">
                      <w14:lumMod w14:val="95000"/>
                      <w14:lumOff w14:val="5000"/>
                    </w14:schemeClr>
                  </w14:solidFill>
                </w14:textFill>
              </w:rPr>
              <w:t>三、债务管控情况</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eastAsia="等线" w:cs="Times New Roman"/>
                <w:color w:val="0D0D0D" w:themeColor="text1" w:themeTint="F2"/>
                <w:kern w:val="0"/>
                <w:sz w:val="28"/>
                <w:szCs w:val="28"/>
                <w14:textFill>
                  <w14:solidFill>
                    <w14:schemeClr w14:val="tx1">
                      <w14:lumMod w14:val="95000"/>
                      <w14:lumOff w14:val="5000"/>
                    </w14:schemeClr>
                  </w14:solidFill>
                </w14:textFill>
              </w:rPr>
            </w:pPr>
            <w:r>
              <w:rPr>
                <w:rFonts w:hint="eastAsia" w:cs="Times New Roman"/>
                <w:color w:val="0D0D0D" w:themeColor="text1" w:themeTint="F2"/>
                <w:kern w:val="0"/>
                <w:sz w:val="28"/>
                <w:szCs w:val="28"/>
                <w14:textFill>
                  <w14:solidFill>
                    <w14:schemeClr w14:val="tx1">
                      <w14:lumMod w14:val="95000"/>
                      <w14:lumOff w14:val="5000"/>
                    </w14:schemeClr>
                  </w14:solidFill>
                </w14:textFill>
              </w:rPr>
              <w:t>表</w:t>
            </w:r>
            <w:r>
              <w:rPr>
                <w:rFonts w:eastAsia="等线" w:cs="Times New Roman"/>
                <w:color w:val="0D0D0D" w:themeColor="text1" w:themeTint="F2"/>
                <w:kern w:val="0"/>
                <w:sz w:val="28"/>
                <w:szCs w:val="28"/>
                <w14:textFill>
                  <w14:solidFill>
                    <w14:schemeClr w14:val="tx1">
                      <w14:lumMod w14:val="95000"/>
                      <w14:lumOff w14:val="5000"/>
                    </w14:schemeClr>
                  </w14:solidFill>
                </w14:textFill>
              </w:rPr>
              <w:t>20</w:t>
            </w:r>
            <w:r>
              <w:rPr>
                <w:rFonts w:hint="eastAsia" w:cs="Times New Roman"/>
                <w:color w:val="0D0D0D" w:themeColor="text1" w:themeTint="F2"/>
                <w:kern w:val="0"/>
                <w:sz w:val="28"/>
                <w:szCs w:val="28"/>
                <w14:textFill>
                  <w14:solidFill>
                    <w14:schemeClr w14:val="tx1">
                      <w14:lumMod w14:val="95000"/>
                      <w14:lumOff w14:val="5000"/>
                    </w14:schemeClr>
                  </w14:solidFill>
                </w14:textFill>
              </w:rPr>
              <w:t>：</w:t>
            </w:r>
            <w:r>
              <w:rPr>
                <w:rFonts w:eastAsia="等线" w:cs="Times New Roman"/>
                <w:color w:val="0D0D0D" w:themeColor="text1" w:themeTint="F2"/>
                <w:kern w:val="0"/>
                <w:sz w:val="28"/>
                <w:szCs w:val="28"/>
                <w14:textFill>
                  <w14:solidFill>
                    <w14:schemeClr w14:val="tx1">
                      <w14:lumMod w14:val="95000"/>
                      <w14:lumOff w14:val="5000"/>
                    </w14:schemeClr>
                  </w14:solidFill>
                </w14:textFill>
              </w:rPr>
              <w:t>2022</w:t>
            </w:r>
            <w:r>
              <w:rPr>
                <w:rFonts w:hint="eastAsia" w:cs="Times New Roman"/>
                <w:color w:val="0D0D0D" w:themeColor="text1" w:themeTint="F2"/>
                <w:kern w:val="0"/>
                <w:sz w:val="28"/>
                <w:szCs w:val="28"/>
                <w14:textFill>
                  <w14:solidFill>
                    <w14:schemeClr w14:val="tx1">
                      <w14:lumMod w14:val="95000"/>
                      <w14:lumOff w14:val="5000"/>
                    </w14:schemeClr>
                  </w14:solidFill>
                </w14:textFill>
              </w:rPr>
              <w:t>年地方政府债务限额及余额情况表</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eastAsia="等线" w:cs="Times New Roman"/>
                <w:color w:val="0D0D0D" w:themeColor="text1" w:themeTint="F2"/>
                <w:kern w:val="0"/>
                <w:sz w:val="28"/>
                <w:szCs w:val="28"/>
                <w14:textFill>
                  <w14:solidFill>
                    <w14:schemeClr w14:val="tx1">
                      <w14:lumMod w14:val="95000"/>
                      <w14:lumOff w14:val="5000"/>
                    </w14:schemeClr>
                  </w14:solidFill>
                </w14:textFill>
              </w:rPr>
            </w:pPr>
            <w:r>
              <w:rPr>
                <w:rFonts w:hint="eastAsia" w:cs="Times New Roman"/>
                <w:color w:val="0D0D0D" w:themeColor="text1" w:themeTint="F2"/>
                <w:kern w:val="0"/>
                <w:sz w:val="28"/>
                <w:szCs w:val="28"/>
                <w14:textFill>
                  <w14:solidFill>
                    <w14:schemeClr w14:val="tx1">
                      <w14:lumMod w14:val="95000"/>
                      <w14:lumOff w14:val="5000"/>
                    </w14:schemeClr>
                  </w14:solidFill>
                </w14:textFill>
              </w:rPr>
              <w:t>表</w:t>
            </w:r>
            <w:r>
              <w:rPr>
                <w:rFonts w:eastAsia="等线" w:cs="Times New Roman"/>
                <w:color w:val="0D0D0D" w:themeColor="text1" w:themeTint="F2"/>
                <w:kern w:val="0"/>
                <w:sz w:val="28"/>
                <w:szCs w:val="28"/>
                <w14:textFill>
                  <w14:solidFill>
                    <w14:schemeClr w14:val="tx1">
                      <w14:lumMod w14:val="95000"/>
                      <w14:lumOff w14:val="5000"/>
                    </w14:schemeClr>
                  </w14:solidFill>
                </w14:textFill>
              </w:rPr>
              <w:t>21</w:t>
            </w:r>
            <w:r>
              <w:rPr>
                <w:rFonts w:hint="eastAsia" w:cs="Times New Roman"/>
                <w:color w:val="0D0D0D" w:themeColor="text1" w:themeTint="F2"/>
                <w:kern w:val="0"/>
                <w:sz w:val="28"/>
                <w:szCs w:val="28"/>
                <w14:textFill>
                  <w14:solidFill>
                    <w14:schemeClr w14:val="tx1">
                      <w14:lumMod w14:val="95000"/>
                      <w14:lumOff w14:val="5000"/>
                    </w14:schemeClr>
                  </w14:solidFill>
                </w14:textFill>
              </w:rPr>
              <w:t>：</w:t>
            </w:r>
            <w:r>
              <w:rPr>
                <w:rFonts w:eastAsia="等线" w:cs="Times New Roman"/>
                <w:color w:val="0D0D0D" w:themeColor="text1" w:themeTint="F2"/>
                <w:kern w:val="0"/>
                <w:sz w:val="28"/>
                <w:szCs w:val="28"/>
                <w14:textFill>
                  <w14:solidFill>
                    <w14:schemeClr w14:val="tx1">
                      <w14:lumMod w14:val="95000"/>
                      <w14:lumOff w14:val="5000"/>
                    </w14:schemeClr>
                  </w14:solidFill>
                </w14:textFill>
              </w:rPr>
              <w:t>2022</w:t>
            </w:r>
            <w:r>
              <w:rPr>
                <w:rFonts w:hint="eastAsia" w:cs="Times New Roman"/>
                <w:color w:val="0D0D0D" w:themeColor="text1" w:themeTint="F2"/>
                <w:kern w:val="0"/>
                <w:sz w:val="28"/>
                <w:szCs w:val="28"/>
                <w14:textFill>
                  <w14:solidFill>
                    <w14:schemeClr w14:val="tx1">
                      <w14:lumMod w14:val="95000"/>
                      <w14:lumOff w14:val="5000"/>
                    </w14:schemeClr>
                  </w14:solidFill>
                </w14:textFill>
              </w:rPr>
              <w:t>年和</w:t>
            </w:r>
            <w:r>
              <w:rPr>
                <w:rFonts w:eastAsia="等线" w:cs="Times New Roman"/>
                <w:color w:val="0D0D0D" w:themeColor="text1" w:themeTint="F2"/>
                <w:kern w:val="0"/>
                <w:sz w:val="28"/>
                <w:szCs w:val="28"/>
                <w14:textFill>
                  <w14:solidFill>
                    <w14:schemeClr w14:val="tx1">
                      <w14:lumMod w14:val="95000"/>
                      <w14:lumOff w14:val="5000"/>
                    </w14:schemeClr>
                  </w14:solidFill>
                </w14:textFill>
              </w:rPr>
              <w:t>2023</w:t>
            </w:r>
            <w:r>
              <w:rPr>
                <w:rFonts w:hint="eastAsia" w:cs="Times New Roman"/>
                <w:color w:val="0D0D0D" w:themeColor="text1" w:themeTint="F2"/>
                <w:kern w:val="0"/>
                <w:sz w:val="28"/>
                <w:szCs w:val="28"/>
                <w14:textFill>
                  <w14:solidFill>
                    <w14:schemeClr w14:val="tx1">
                      <w14:lumMod w14:val="95000"/>
                      <w14:lumOff w14:val="5000"/>
                    </w14:schemeClr>
                  </w14:solidFill>
                </w14:textFill>
              </w:rPr>
              <w:t>年地方政府一般债务余额情况表</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eastAsia="等线" w:cs="Times New Roman"/>
                <w:color w:val="0D0D0D" w:themeColor="text1" w:themeTint="F2"/>
                <w:kern w:val="0"/>
                <w:sz w:val="28"/>
                <w:szCs w:val="28"/>
                <w14:textFill>
                  <w14:solidFill>
                    <w14:schemeClr w14:val="tx1">
                      <w14:lumMod w14:val="95000"/>
                      <w14:lumOff w14:val="5000"/>
                    </w14:schemeClr>
                  </w14:solidFill>
                </w14:textFill>
              </w:rPr>
            </w:pPr>
            <w:r>
              <w:rPr>
                <w:rFonts w:hint="eastAsia" w:cs="Times New Roman"/>
                <w:color w:val="0D0D0D" w:themeColor="text1" w:themeTint="F2"/>
                <w:kern w:val="0"/>
                <w:sz w:val="28"/>
                <w:szCs w:val="28"/>
                <w14:textFill>
                  <w14:solidFill>
                    <w14:schemeClr w14:val="tx1">
                      <w14:lumMod w14:val="95000"/>
                      <w14:lumOff w14:val="5000"/>
                    </w14:schemeClr>
                  </w14:solidFill>
                </w14:textFill>
              </w:rPr>
              <w:t>表</w:t>
            </w:r>
            <w:r>
              <w:rPr>
                <w:rFonts w:eastAsia="等线" w:cs="Times New Roman"/>
                <w:color w:val="0D0D0D" w:themeColor="text1" w:themeTint="F2"/>
                <w:kern w:val="0"/>
                <w:sz w:val="28"/>
                <w:szCs w:val="28"/>
                <w14:textFill>
                  <w14:solidFill>
                    <w14:schemeClr w14:val="tx1">
                      <w14:lumMod w14:val="95000"/>
                      <w14:lumOff w14:val="5000"/>
                    </w14:schemeClr>
                  </w14:solidFill>
                </w14:textFill>
              </w:rPr>
              <w:t>22</w:t>
            </w:r>
            <w:r>
              <w:rPr>
                <w:rFonts w:hint="eastAsia" w:cs="Times New Roman"/>
                <w:color w:val="0D0D0D" w:themeColor="text1" w:themeTint="F2"/>
                <w:kern w:val="0"/>
                <w:sz w:val="28"/>
                <w:szCs w:val="28"/>
                <w14:textFill>
                  <w14:solidFill>
                    <w14:schemeClr w14:val="tx1">
                      <w14:lumMod w14:val="95000"/>
                      <w14:lumOff w14:val="5000"/>
                    </w14:schemeClr>
                  </w14:solidFill>
                </w14:textFill>
              </w:rPr>
              <w:t>：</w:t>
            </w:r>
            <w:r>
              <w:rPr>
                <w:rFonts w:eastAsia="等线" w:cs="Times New Roman"/>
                <w:color w:val="0D0D0D" w:themeColor="text1" w:themeTint="F2"/>
                <w:kern w:val="0"/>
                <w:sz w:val="28"/>
                <w:szCs w:val="28"/>
                <w14:textFill>
                  <w14:solidFill>
                    <w14:schemeClr w14:val="tx1">
                      <w14:lumMod w14:val="95000"/>
                      <w14:lumOff w14:val="5000"/>
                    </w14:schemeClr>
                  </w14:solidFill>
                </w14:textFill>
              </w:rPr>
              <w:t>2022</w:t>
            </w:r>
            <w:r>
              <w:rPr>
                <w:rFonts w:hint="eastAsia" w:cs="Times New Roman"/>
                <w:color w:val="0D0D0D" w:themeColor="text1" w:themeTint="F2"/>
                <w:kern w:val="0"/>
                <w:sz w:val="28"/>
                <w:szCs w:val="28"/>
                <w14:textFill>
                  <w14:solidFill>
                    <w14:schemeClr w14:val="tx1">
                      <w14:lumMod w14:val="95000"/>
                      <w14:lumOff w14:val="5000"/>
                    </w14:schemeClr>
                  </w14:solidFill>
                </w14:textFill>
              </w:rPr>
              <w:t>年和</w:t>
            </w:r>
            <w:r>
              <w:rPr>
                <w:rFonts w:eastAsia="等线" w:cs="Times New Roman"/>
                <w:color w:val="0D0D0D" w:themeColor="text1" w:themeTint="F2"/>
                <w:kern w:val="0"/>
                <w:sz w:val="28"/>
                <w:szCs w:val="28"/>
                <w14:textFill>
                  <w14:solidFill>
                    <w14:schemeClr w14:val="tx1">
                      <w14:lumMod w14:val="95000"/>
                      <w14:lumOff w14:val="5000"/>
                    </w14:schemeClr>
                  </w14:solidFill>
                </w14:textFill>
              </w:rPr>
              <w:t>2023</w:t>
            </w:r>
            <w:r>
              <w:rPr>
                <w:rFonts w:hint="eastAsia" w:cs="Times New Roman"/>
                <w:color w:val="0D0D0D" w:themeColor="text1" w:themeTint="F2"/>
                <w:kern w:val="0"/>
                <w:sz w:val="28"/>
                <w:szCs w:val="28"/>
                <w14:textFill>
                  <w14:solidFill>
                    <w14:schemeClr w14:val="tx1">
                      <w14:lumMod w14:val="95000"/>
                      <w14:lumOff w14:val="5000"/>
                    </w14:schemeClr>
                  </w14:solidFill>
                </w14:textFill>
              </w:rPr>
              <w:t>年地方政府专项债务余额情况表</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000000" w:fill="FFFFFF"/>
            <w:noWrap/>
            <w:vAlign w:val="center"/>
          </w:tcPr>
          <w:p>
            <w:pPr>
              <w:widowControl/>
              <w:spacing w:line="240" w:lineRule="auto"/>
              <w:ind w:firstLine="0" w:firstLineChars="0"/>
              <w:jc w:val="left"/>
              <w:rPr>
                <w:rFonts w:eastAsia="等线" w:cs="Times New Roman"/>
                <w:color w:val="0D0D0D" w:themeColor="text1" w:themeTint="F2"/>
                <w:kern w:val="0"/>
                <w:sz w:val="28"/>
                <w:szCs w:val="28"/>
                <w14:textFill>
                  <w14:solidFill>
                    <w14:schemeClr w14:val="tx1">
                      <w14:lumMod w14:val="95000"/>
                      <w14:lumOff w14:val="5000"/>
                    </w14:schemeClr>
                  </w14:solidFill>
                </w14:textFill>
              </w:rPr>
            </w:pPr>
            <w:r>
              <w:rPr>
                <w:rFonts w:hint="eastAsia" w:cs="Times New Roman"/>
                <w:color w:val="0D0D0D" w:themeColor="text1" w:themeTint="F2"/>
                <w:kern w:val="0"/>
                <w:sz w:val="28"/>
                <w:szCs w:val="28"/>
                <w14:textFill>
                  <w14:solidFill>
                    <w14:schemeClr w14:val="tx1">
                      <w14:lumMod w14:val="95000"/>
                      <w14:lumOff w14:val="5000"/>
                    </w14:schemeClr>
                  </w14:solidFill>
                </w14:textFill>
              </w:rPr>
              <w:t>表</w:t>
            </w:r>
            <w:r>
              <w:rPr>
                <w:rFonts w:eastAsia="等线" w:cs="Times New Roman"/>
                <w:color w:val="0D0D0D" w:themeColor="text1" w:themeTint="F2"/>
                <w:kern w:val="0"/>
                <w:sz w:val="28"/>
                <w:szCs w:val="28"/>
                <w14:textFill>
                  <w14:solidFill>
                    <w14:schemeClr w14:val="tx1">
                      <w14:lumMod w14:val="95000"/>
                      <w14:lumOff w14:val="5000"/>
                    </w14:schemeClr>
                  </w14:solidFill>
                </w14:textFill>
              </w:rPr>
              <w:t>23</w:t>
            </w:r>
            <w:r>
              <w:rPr>
                <w:rFonts w:hint="eastAsia" w:cs="Times New Roman"/>
                <w:color w:val="0D0D0D" w:themeColor="text1" w:themeTint="F2"/>
                <w:kern w:val="0"/>
                <w:sz w:val="28"/>
                <w:szCs w:val="28"/>
                <w14:textFill>
                  <w14:solidFill>
                    <w14:schemeClr w14:val="tx1">
                      <w14:lumMod w14:val="95000"/>
                      <w14:lumOff w14:val="5000"/>
                    </w14:schemeClr>
                  </w14:solidFill>
                </w14:textFill>
              </w:rPr>
              <w:t>：</w:t>
            </w:r>
            <w:r>
              <w:rPr>
                <w:rFonts w:eastAsia="等线" w:cs="Times New Roman"/>
                <w:color w:val="0D0D0D" w:themeColor="text1" w:themeTint="F2"/>
                <w:kern w:val="0"/>
                <w:sz w:val="28"/>
                <w:szCs w:val="28"/>
                <w14:textFill>
                  <w14:solidFill>
                    <w14:schemeClr w14:val="tx1">
                      <w14:lumMod w14:val="95000"/>
                      <w14:lumOff w14:val="5000"/>
                    </w14:schemeClr>
                  </w14:solidFill>
                </w14:textFill>
              </w:rPr>
              <w:t>2022</w:t>
            </w:r>
            <w:r>
              <w:rPr>
                <w:rFonts w:hint="eastAsia" w:cs="Times New Roman"/>
                <w:color w:val="0D0D0D" w:themeColor="text1" w:themeTint="F2"/>
                <w:kern w:val="0"/>
                <w:sz w:val="28"/>
                <w:szCs w:val="28"/>
                <w14:textFill>
                  <w14:solidFill>
                    <w14:schemeClr w14:val="tx1">
                      <w14:lumMod w14:val="95000"/>
                      <w14:lumOff w14:val="5000"/>
                    </w14:schemeClr>
                  </w14:solidFill>
                </w14:textFill>
              </w:rPr>
              <w:t>年和</w:t>
            </w:r>
            <w:r>
              <w:rPr>
                <w:rFonts w:eastAsia="等线" w:cs="Times New Roman"/>
                <w:color w:val="0D0D0D" w:themeColor="text1" w:themeTint="F2"/>
                <w:kern w:val="0"/>
                <w:sz w:val="28"/>
                <w:szCs w:val="28"/>
                <w14:textFill>
                  <w14:solidFill>
                    <w14:schemeClr w14:val="tx1">
                      <w14:lumMod w14:val="95000"/>
                      <w14:lumOff w14:val="5000"/>
                    </w14:schemeClr>
                  </w14:solidFill>
                </w14:textFill>
              </w:rPr>
              <w:t>2023</w:t>
            </w:r>
            <w:r>
              <w:rPr>
                <w:rFonts w:hint="eastAsia" w:cs="Times New Roman"/>
                <w:color w:val="0D0D0D" w:themeColor="text1" w:themeTint="F2"/>
                <w:kern w:val="0"/>
                <w:sz w:val="28"/>
                <w:szCs w:val="28"/>
                <w14:textFill>
                  <w14:solidFill>
                    <w14:schemeClr w14:val="tx1">
                      <w14:lumMod w14:val="95000"/>
                      <w14:lumOff w14:val="5000"/>
                    </w14:schemeClr>
                  </w14:solidFill>
                </w14:textFill>
              </w:rPr>
              <w:t>年地方政府债券发行及还本付息情况表</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eastAsia="等线" w:cs="Times New Roman"/>
                <w:color w:val="0D0D0D" w:themeColor="text1" w:themeTint="F2"/>
                <w:kern w:val="0"/>
                <w:sz w:val="28"/>
                <w:szCs w:val="28"/>
                <w14:textFill>
                  <w14:solidFill>
                    <w14:schemeClr w14:val="tx1">
                      <w14:lumMod w14:val="95000"/>
                      <w14:lumOff w14:val="5000"/>
                    </w14:schemeClr>
                  </w14:solidFill>
                </w14:textFill>
              </w:rPr>
            </w:pPr>
            <w:r>
              <w:rPr>
                <w:rFonts w:hint="eastAsia" w:cs="Times New Roman"/>
                <w:color w:val="0D0D0D" w:themeColor="text1" w:themeTint="F2"/>
                <w:kern w:val="0"/>
                <w:sz w:val="28"/>
                <w:szCs w:val="28"/>
                <w14:textFill>
                  <w14:solidFill>
                    <w14:schemeClr w14:val="tx1">
                      <w14:lumMod w14:val="95000"/>
                      <w14:lumOff w14:val="5000"/>
                    </w14:schemeClr>
                  </w14:solidFill>
                </w14:textFill>
              </w:rPr>
              <w:t>表</w:t>
            </w:r>
            <w:r>
              <w:rPr>
                <w:rFonts w:eastAsia="等线" w:cs="Times New Roman"/>
                <w:color w:val="0D0D0D" w:themeColor="text1" w:themeTint="F2"/>
                <w:kern w:val="0"/>
                <w:sz w:val="28"/>
                <w:szCs w:val="28"/>
                <w14:textFill>
                  <w14:solidFill>
                    <w14:schemeClr w14:val="tx1">
                      <w14:lumMod w14:val="95000"/>
                      <w14:lumOff w14:val="5000"/>
                    </w14:schemeClr>
                  </w14:solidFill>
                </w14:textFill>
              </w:rPr>
              <w:t>24</w:t>
            </w:r>
            <w:r>
              <w:rPr>
                <w:rFonts w:hint="eastAsia" w:cs="Times New Roman"/>
                <w:color w:val="0D0D0D" w:themeColor="text1" w:themeTint="F2"/>
                <w:kern w:val="0"/>
                <w:sz w:val="28"/>
                <w:szCs w:val="28"/>
                <w14:textFill>
                  <w14:solidFill>
                    <w14:schemeClr w14:val="tx1">
                      <w14:lumMod w14:val="95000"/>
                      <w14:lumOff w14:val="5000"/>
                    </w14:schemeClr>
                  </w14:solidFill>
                </w14:textFill>
              </w:rPr>
              <w:t>：</w:t>
            </w:r>
            <w:r>
              <w:rPr>
                <w:rFonts w:eastAsia="等线" w:cs="Times New Roman"/>
                <w:color w:val="0D0D0D" w:themeColor="text1" w:themeTint="F2"/>
                <w:kern w:val="0"/>
                <w:sz w:val="28"/>
                <w:szCs w:val="28"/>
                <w14:textFill>
                  <w14:solidFill>
                    <w14:schemeClr w14:val="tx1">
                      <w14:lumMod w14:val="95000"/>
                      <w14:lumOff w14:val="5000"/>
                    </w14:schemeClr>
                  </w14:solidFill>
                </w14:textFill>
              </w:rPr>
              <w:t>2023</w:t>
            </w:r>
            <w:r>
              <w:rPr>
                <w:rFonts w:hint="eastAsia" w:cs="Times New Roman"/>
                <w:color w:val="0D0D0D" w:themeColor="text1" w:themeTint="F2"/>
                <w:kern w:val="0"/>
                <w:sz w:val="28"/>
                <w:szCs w:val="28"/>
                <w14:textFill>
                  <w14:solidFill>
                    <w14:schemeClr w14:val="tx1">
                      <w14:lumMod w14:val="95000"/>
                      <w14:lumOff w14:val="5000"/>
                    </w14:schemeClr>
                  </w14:solidFill>
                </w14:textFill>
              </w:rPr>
              <w:t>年地方政府债务限额提前下达情况表</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eastAsia="等线" w:cs="Times New Roman"/>
                <w:color w:val="0D0D0D" w:themeColor="text1" w:themeTint="F2"/>
                <w:kern w:val="0"/>
                <w:sz w:val="28"/>
                <w:szCs w:val="28"/>
                <w14:textFill>
                  <w14:solidFill>
                    <w14:schemeClr w14:val="tx1">
                      <w14:lumMod w14:val="95000"/>
                      <w14:lumOff w14:val="5000"/>
                    </w14:schemeClr>
                  </w14:solidFill>
                </w14:textFill>
              </w:rPr>
            </w:pPr>
            <w:r>
              <w:rPr>
                <w:rFonts w:hint="eastAsia" w:cs="Times New Roman"/>
                <w:color w:val="0D0D0D" w:themeColor="text1" w:themeTint="F2"/>
                <w:kern w:val="0"/>
                <w:sz w:val="28"/>
                <w:szCs w:val="28"/>
                <w14:textFill>
                  <w14:solidFill>
                    <w14:schemeClr w14:val="tx1">
                      <w14:lumMod w14:val="95000"/>
                      <w14:lumOff w14:val="5000"/>
                    </w14:schemeClr>
                  </w14:solidFill>
                </w14:textFill>
              </w:rPr>
              <w:t>表</w:t>
            </w:r>
            <w:r>
              <w:rPr>
                <w:rFonts w:eastAsia="等线" w:cs="Times New Roman"/>
                <w:color w:val="0D0D0D" w:themeColor="text1" w:themeTint="F2"/>
                <w:kern w:val="0"/>
                <w:sz w:val="28"/>
                <w:szCs w:val="28"/>
                <w14:textFill>
                  <w14:solidFill>
                    <w14:schemeClr w14:val="tx1">
                      <w14:lumMod w14:val="95000"/>
                      <w14:lumOff w14:val="5000"/>
                    </w14:schemeClr>
                  </w14:solidFill>
                </w14:textFill>
              </w:rPr>
              <w:t>25</w:t>
            </w:r>
            <w:r>
              <w:rPr>
                <w:rFonts w:hint="eastAsia" w:cs="Times New Roman"/>
                <w:color w:val="0D0D0D" w:themeColor="text1" w:themeTint="F2"/>
                <w:kern w:val="0"/>
                <w:sz w:val="28"/>
                <w:szCs w:val="28"/>
                <w14:textFill>
                  <w14:solidFill>
                    <w14:schemeClr w14:val="tx1">
                      <w14:lumMod w14:val="95000"/>
                      <w14:lumOff w14:val="5000"/>
                    </w14:schemeClr>
                  </w14:solidFill>
                </w14:textFill>
              </w:rPr>
              <w:t>：</w:t>
            </w:r>
            <w:r>
              <w:rPr>
                <w:rFonts w:eastAsia="等线" w:cs="Times New Roman"/>
                <w:color w:val="0D0D0D" w:themeColor="text1" w:themeTint="F2"/>
                <w:kern w:val="0"/>
                <w:sz w:val="28"/>
                <w:szCs w:val="28"/>
                <w14:textFill>
                  <w14:solidFill>
                    <w14:schemeClr w14:val="tx1">
                      <w14:lumMod w14:val="95000"/>
                      <w14:lumOff w14:val="5000"/>
                    </w14:schemeClr>
                  </w14:solidFill>
                </w14:textFill>
              </w:rPr>
              <w:t>2023</w:t>
            </w:r>
            <w:r>
              <w:rPr>
                <w:rFonts w:hint="eastAsia" w:cs="Times New Roman"/>
                <w:color w:val="0D0D0D" w:themeColor="text1" w:themeTint="F2"/>
                <w:kern w:val="0"/>
                <w:sz w:val="28"/>
                <w:szCs w:val="28"/>
                <w14:textFill>
                  <w14:solidFill>
                    <w14:schemeClr w14:val="tx1">
                      <w14:lumMod w14:val="95000"/>
                      <w14:lumOff w14:val="5000"/>
                    </w14:schemeClr>
                  </w14:solidFill>
                </w14:textFill>
              </w:rPr>
              <w:t>年年初新增地方政府债券资金安排表</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eastAsia="方正黑体_GBK" w:cs="Times New Roman"/>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Times New Roman"/>
                <w:color w:val="0D0D0D" w:themeColor="text1" w:themeTint="F2"/>
                <w:kern w:val="0"/>
                <w:szCs w:val="32"/>
                <w14:textFill>
                  <w14:solidFill>
                    <w14:schemeClr w14:val="tx1">
                      <w14:lumMod w14:val="95000"/>
                      <w14:lumOff w14:val="5000"/>
                    </w14:schemeClr>
                  </w14:solidFill>
                </w14:textFill>
              </w:rPr>
              <w:t>四、其他</w:t>
            </w:r>
          </w:p>
        </w:tc>
      </w:tr>
      <w:tr>
        <w:tblPrEx>
          <w:tblCellMar>
            <w:top w:w="0" w:type="dxa"/>
            <w:left w:w="108" w:type="dxa"/>
            <w:bottom w:w="0" w:type="dxa"/>
            <w:right w:w="108" w:type="dxa"/>
          </w:tblCellMar>
        </w:tblPrEx>
        <w:trPr>
          <w:trHeight w:val="510" w:hRule="atLeast"/>
        </w:trPr>
        <w:tc>
          <w:tcPr>
            <w:tcW w:w="9520" w:type="dxa"/>
            <w:tcBorders>
              <w:top w:val="nil"/>
              <w:left w:val="nil"/>
              <w:bottom w:val="nil"/>
              <w:right w:val="nil"/>
            </w:tcBorders>
            <w:shd w:val="clear" w:color="auto" w:fill="auto"/>
            <w:noWrap/>
            <w:vAlign w:val="center"/>
          </w:tcPr>
          <w:p>
            <w:pPr>
              <w:widowControl/>
              <w:spacing w:line="240" w:lineRule="auto"/>
              <w:ind w:firstLine="0" w:firstLineChars="0"/>
              <w:jc w:val="left"/>
              <w:rPr>
                <w:rFonts w:cs="Times New Roman"/>
                <w:color w:val="0D0D0D" w:themeColor="text1" w:themeTint="F2"/>
                <w:kern w:val="0"/>
                <w:sz w:val="28"/>
                <w:szCs w:val="28"/>
                <w14:textFill>
                  <w14:solidFill>
                    <w14:schemeClr w14:val="tx1">
                      <w14:lumMod w14:val="95000"/>
                      <w14:lumOff w14:val="5000"/>
                    </w14:schemeClr>
                  </w14:solidFill>
                </w14:textFill>
              </w:rPr>
            </w:pPr>
            <w:r>
              <w:rPr>
                <w:rFonts w:hint="eastAsia" w:cs="Times New Roman"/>
                <w:color w:val="0D0D0D" w:themeColor="text1" w:themeTint="F2"/>
                <w:kern w:val="0"/>
                <w:sz w:val="28"/>
                <w:szCs w:val="28"/>
                <w14:textFill>
                  <w14:solidFill>
                    <w14:schemeClr w14:val="tx1">
                      <w14:lumMod w14:val="95000"/>
                      <w14:lumOff w14:val="5000"/>
                    </w14:schemeClr>
                  </w14:solidFill>
                </w14:textFill>
              </w:rPr>
              <w:t>表</w:t>
            </w:r>
            <w:r>
              <w:rPr>
                <w:rFonts w:cs="Times New Roman"/>
                <w:color w:val="0D0D0D" w:themeColor="text1" w:themeTint="F2"/>
                <w:kern w:val="0"/>
                <w:sz w:val="28"/>
                <w:szCs w:val="28"/>
                <w14:textFill>
                  <w14:solidFill>
                    <w14:schemeClr w14:val="tx1">
                      <w14:lumMod w14:val="95000"/>
                      <w14:lumOff w14:val="5000"/>
                    </w14:schemeClr>
                  </w14:solidFill>
                </w14:textFill>
              </w:rPr>
              <w:t>26：2023</w:t>
            </w:r>
            <w:r>
              <w:rPr>
                <w:rFonts w:hint="eastAsia" w:cs="Times New Roman"/>
                <w:color w:val="0D0D0D" w:themeColor="text1" w:themeTint="F2"/>
                <w:kern w:val="0"/>
                <w:sz w:val="28"/>
                <w:szCs w:val="28"/>
                <w14:textFill>
                  <w14:solidFill>
                    <w14:schemeClr w14:val="tx1">
                      <w14:lumMod w14:val="95000"/>
                      <w14:lumOff w14:val="5000"/>
                    </w14:schemeClr>
                  </w14:solidFill>
                </w14:textFill>
              </w:rPr>
              <w:t>年重庆高新区重大项目情况表</w:t>
            </w:r>
          </w:p>
        </w:tc>
      </w:tr>
    </w:tbl>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2098" w:right="1418" w:bottom="1985" w:left="1418" w:header="851" w:footer="1417" w:gutter="0"/>
          <w:cols w:space="425" w:num="1"/>
          <w:docGrid w:type="lines" w:linePitch="435" w:charSpace="0"/>
        </w:sectPr>
      </w:pPr>
    </w:p>
    <w:p>
      <w:pPr>
        <w:widowControl/>
        <w:spacing w:line="240" w:lineRule="auto"/>
        <w:ind w:left="-1274" w:leftChars="-398" w:firstLine="0" w:firstLineChars="0"/>
        <w:rPr>
          <w:rFonts w:eastAsia="方正黑体_GBK"/>
          <w:bCs/>
          <w:color w:val="0D0D0D" w:themeColor="text1" w:themeTint="F2"/>
          <w:kern w:val="44"/>
          <w:szCs w:val="44"/>
          <w14:textFill>
            <w14:solidFill>
              <w14:schemeClr w14:val="tx1">
                <w14:lumMod w14:val="95000"/>
                <w14:lumOff w14:val="5000"/>
              </w14:schemeClr>
            </w14:solidFill>
          </w14:textFill>
        </w:rPr>
      </w:pPr>
      <w:r>
        <w:rPr>
          <w:rFonts w:hint="eastAsia" w:eastAsia="方正黑体_GBK"/>
          <w:bCs/>
          <w:color w:val="0D0D0D" w:themeColor="text1" w:themeTint="F2"/>
          <w:kern w:val="44"/>
          <w:szCs w:val="44"/>
          <w14:textFill>
            <w14:solidFill>
              <w14:schemeClr w14:val="tx1">
                <w14:lumMod w14:val="95000"/>
                <w14:lumOff w14:val="5000"/>
              </w14:schemeClr>
            </w14:solidFill>
          </w14:textFill>
        </w:rPr>
        <w:t>表1</w:t>
      </w:r>
    </w:p>
    <w:tbl>
      <w:tblPr>
        <w:tblStyle w:val="7"/>
        <w:tblW w:w="15877" w:type="dxa"/>
        <w:tblInd w:w="-1276" w:type="dxa"/>
        <w:tblLayout w:type="autofit"/>
        <w:tblCellMar>
          <w:top w:w="0" w:type="dxa"/>
          <w:left w:w="108" w:type="dxa"/>
          <w:bottom w:w="0" w:type="dxa"/>
          <w:right w:w="108" w:type="dxa"/>
        </w:tblCellMar>
      </w:tblPr>
      <w:tblGrid>
        <w:gridCol w:w="2552"/>
        <w:gridCol w:w="996"/>
        <w:gridCol w:w="996"/>
        <w:gridCol w:w="996"/>
        <w:gridCol w:w="981"/>
        <w:gridCol w:w="992"/>
        <w:gridCol w:w="3424"/>
        <w:gridCol w:w="996"/>
        <w:gridCol w:w="996"/>
        <w:gridCol w:w="996"/>
        <w:gridCol w:w="959"/>
        <w:gridCol w:w="993"/>
      </w:tblGrid>
      <w:tr>
        <w:tblPrEx>
          <w:tblCellMar>
            <w:top w:w="0" w:type="dxa"/>
            <w:left w:w="108" w:type="dxa"/>
            <w:bottom w:w="0" w:type="dxa"/>
            <w:right w:w="108" w:type="dxa"/>
          </w:tblCellMar>
        </w:tblPrEx>
        <w:trPr>
          <w:trHeight w:val="645" w:hRule="atLeast"/>
          <w:tblHeader/>
        </w:trPr>
        <w:tc>
          <w:tcPr>
            <w:tcW w:w="15877" w:type="dxa"/>
            <w:gridSpan w:val="12"/>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方正小标宋_GBK" w:cs="宋体"/>
                <w:color w:val="0D0D0D" w:themeColor="text1" w:themeTint="F2"/>
                <w:kern w:val="0"/>
                <w:sz w:val="38"/>
                <w:szCs w:val="38"/>
                <w14:textFill>
                  <w14:solidFill>
                    <w14:schemeClr w14:val="tx1">
                      <w14:lumMod w14:val="95000"/>
                      <w14:lumOff w14:val="5000"/>
                    </w14:schemeClr>
                  </w14:solidFill>
                </w14:textFill>
              </w:rPr>
            </w:pPr>
            <w:r>
              <w:rPr>
                <w:rFonts w:hint="eastAsia" w:eastAsia="方正小标宋_GBK" w:cs="宋体"/>
                <w:color w:val="0D0D0D" w:themeColor="text1" w:themeTint="F2"/>
                <w:kern w:val="0"/>
                <w:sz w:val="38"/>
                <w:szCs w:val="38"/>
                <w14:textFill>
                  <w14:solidFill>
                    <w14:schemeClr w14:val="tx1">
                      <w14:lumMod w14:val="95000"/>
                      <w14:lumOff w14:val="5000"/>
                    </w14:schemeClr>
                  </w14:solidFill>
                </w14:textFill>
              </w:rPr>
              <w:t>2022年一般公共预算收支执行表</w:t>
            </w:r>
          </w:p>
        </w:tc>
      </w:tr>
      <w:tr>
        <w:tblPrEx>
          <w:tblCellMar>
            <w:top w:w="0" w:type="dxa"/>
            <w:left w:w="108" w:type="dxa"/>
            <w:bottom w:w="0" w:type="dxa"/>
            <w:right w:w="108" w:type="dxa"/>
          </w:tblCellMar>
        </w:tblPrEx>
        <w:trPr>
          <w:trHeight w:val="438" w:hRule="atLeast"/>
          <w:tblHeader/>
        </w:trPr>
        <w:tc>
          <w:tcPr>
            <w:tcW w:w="2552"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方正小标宋_GBK" w:cs="宋体"/>
                <w:color w:val="0D0D0D" w:themeColor="text1" w:themeTint="F2"/>
                <w:kern w:val="0"/>
                <w:sz w:val="38"/>
                <w:szCs w:val="38"/>
                <w14:textFill>
                  <w14:solidFill>
                    <w14:schemeClr w14:val="tx1">
                      <w14:lumMod w14:val="95000"/>
                      <w14:lumOff w14:val="5000"/>
                    </w14:schemeClr>
                  </w14:solidFill>
                </w14:textFill>
              </w:rPr>
            </w:pPr>
          </w:p>
        </w:tc>
        <w:tc>
          <w:tcPr>
            <w:tcW w:w="996"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996" w:type="dxa"/>
            <w:tcBorders>
              <w:top w:val="nil"/>
              <w:left w:val="nil"/>
              <w:bottom w:val="nil"/>
              <w:right w:val="nil"/>
            </w:tcBorders>
            <w:shd w:val="clear" w:color="auto" w:fill="auto"/>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996"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981"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992"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3424"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996"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996"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996"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952" w:type="dxa"/>
            <w:gridSpan w:val="2"/>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right"/>
              <w:rPr>
                <w:rFonts w:eastAsia="方正楷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楷体_GBK" w:cs="宋体"/>
                <w:color w:val="0D0D0D" w:themeColor="text1" w:themeTint="F2"/>
                <w:kern w:val="0"/>
                <w:sz w:val="24"/>
                <w:szCs w:val="24"/>
                <w14:textFill>
                  <w14:solidFill>
                    <w14:schemeClr w14:val="tx1">
                      <w14:lumMod w14:val="95000"/>
                      <w14:lumOff w14:val="5000"/>
                    </w14:schemeClr>
                  </w14:solidFill>
                </w14:textFill>
              </w:rPr>
              <w:t>单位：万元</w:t>
            </w:r>
          </w:p>
        </w:tc>
      </w:tr>
      <w:tr>
        <w:tblPrEx>
          <w:tblCellMar>
            <w:top w:w="0" w:type="dxa"/>
            <w:left w:w="108" w:type="dxa"/>
            <w:bottom w:w="0" w:type="dxa"/>
            <w:right w:w="108" w:type="dxa"/>
          </w:tblCellMar>
        </w:tblPrEx>
        <w:trPr>
          <w:trHeight w:val="648" w:hRule="atLeast"/>
          <w:tblHeader/>
        </w:trPr>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收   入</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年初</w:t>
            </w:r>
          </w:p>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预算</w:t>
            </w:r>
          </w:p>
        </w:tc>
        <w:tc>
          <w:tcPr>
            <w:tcW w:w="99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调整</w:t>
            </w:r>
          </w:p>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预算数</w:t>
            </w:r>
          </w:p>
        </w:tc>
        <w:tc>
          <w:tcPr>
            <w:tcW w:w="99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执行数</w:t>
            </w:r>
          </w:p>
        </w:tc>
        <w:tc>
          <w:tcPr>
            <w:tcW w:w="98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执行数为调整预算数的%</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执行数为上年年决算数的%</w:t>
            </w:r>
          </w:p>
        </w:tc>
        <w:tc>
          <w:tcPr>
            <w:tcW w:w="342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支   出</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年初</w:t>
            </w:r>
          </w:p>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预算</w:t>
            </w:r>
          </w:p>
        </w:tc>
        <w:tc>
          <w:tcPr>
            <w:tcW w:w="99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调整</w:t>
            </w:r>
          </w:p>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预算数</w:t>
            </w:r>
          </w:p>
        </w:tc>
        <w:tc>
          <w:tcPr>
            <w:tcW w:w="99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执行数</w:t>
            </w:r>
          </w:p>
        </w:tc>
        <w:tc>
          <w:tcPr>
            <w:tcW w:w="95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执行数为调整预算数的%</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执行数为上年决算数的%</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cs="Times New Roman"/>
                <w:b/>
                <w:bCs/>
                <w:color w:val="0D0D0D" w:themeColor="text1" w:themeTint="F2"/>
                <w:kern w:val="0"/>
                <w:sz w:val="24"/>
                <w:szCs w:val="24"/>
                <w14:textFill>
                  <w14:solidFill>
                    <w14:schemeClr w14:val="tx1">
                      <w14:lumMod w14:val="95000"/>
                      <w14:lumOff w14:val="5000"/>
                    </w14:schemeClr>
                  </w14:solidFill>
                </w14:textFill>
              </w:rPr>
              <w:t>总计</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756,535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915,203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947,634</w:t>
            </w:r>
          </w:p>
        </w:tc>
        <w:tc>
          <w:tcPr>
            <w:tcW w:w="98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103.5 </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117.8 </w:t>
            </w:r>
          </w:p>
        </w:tc>
        <w:tc>
          <w:tcPr>
            <w:tcW w:w="342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cs="Times New Roman"/>
                <w:b/>
                <w:bCs/>
                <w:color w:val="0D0D0D" w:themeColor="text1" w:themeTint="F2"/>
                <w:kern w:val="0"/>
                <w:sz w:val="24"/>
                <w:szCs w:val="24"/>
                <w14:textFill>
                  <w14:solidFill>
                    <w14:schemeClr w14:val="tx1">
                      <w14:lumMod w14:val="95000"/>
                      <w14:lumOff w14:val="5000"/>
                    </w14:schemeClr>
                  </w14:solidFill>
                </w14:textFill>
              </w:rPr>
              <w:t>总计</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756,535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915,203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947,634 </w:t>
            </w:r>
          </w:p>
        </w:tc>
        <w:tc>
          <w:tcPr>
            <w:tcW w:w="959"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103.5 </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117.8 </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cs="Times New Roman"/>
                <w:b/>
                <w:bCs/>
                <w:color w:val="0D0D0D" w:themeColor="text1" w:themeTint="F2"/>
                <w:kern w:val="0"/>
                <w:sz w:val="24"/>
                <w:szCs w:val="24"/>
                <w14:textFill>
                  <w14:solidFill>
                    <w14:schemeClr w14:val="tx1">
                      <w14:lumMod w14:val="95000"/>
                      <w14:lumOff w14:val="5000"/>
                    </w14:schemeClr>
                  </w14:solidFill>
                </w14:textFill>
              </w:rPr>
              <w:t>本级收入合计</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342,288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276,355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293,968 </w:t>
            </w:r>
          </w:p>
        </w:tc>
        <w:tc>
          <w:tcPr>
            <w:tcW w:w="98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106.4 </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95.9 </w:t>
            </w:r>
          </w:p>
        </w:tc>
        <w:tc>
          <w:tcPr>
            <w:tcW w:w="3424"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cs="Times New Roman"/>
                <w:b/>
                <w:bCs/>
                <w:color w:val="0D0D0D" w:themeColor="text1" w:themeTint="F2"/>
                <w:kern w:val="0"/>
                <w:sz w:val="24"/>
                <w:szCs w:val="24"/>
                <w14:textFill>
                  <w14:solidFill>
                    <w14:schemeClr w14:val="tx1">
                      <w14:lumMod w14:val="95000"/>
                      <w14:lumOff w14:val="5000"/>
                    </w14:schemeClr>
                  </w14:solidFill>
                </w14:textFill>
              </w:rPr>
              <w:t>本级支出合计</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755,298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905,203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849,741 </w:t>
            </w:r>
          </w:p>
        </w:tc>
        <w:tc>
          <w:tcPr>
            <w:tcW w:w="959"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93.9 </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119.9 </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一、税收收入</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325,508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222,855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226,025 </w:t>
            </w:r>
          </w:p>
        </w:tc>
        <w:tc>
          <w:tcPr>
            <w:tcW w:w="98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101.4 </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81.4 </w:t>
            </w:r>
          </w:p>
        </w:tc>
        <w:tc>
          <w:tcPr>
            <w:tcW w:w="342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一、一般公共服务支出</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84,646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87,068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73,584 </w:t>
            </w:r>
          </w:p>
        </w:tc>
        <w:tc>
          <w:tcPr>
            <w:tcW w:w="959"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84.5 </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107.2 </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48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 xml:space="preserve"> 增值税</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60,000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24,000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30,196 </w:t>
            </w:r>
          </w:p>
        </w:tc>
        <w:tc>
          <w:tcPr>
            <w:tcW w:w="98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125.8 </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69.6 </w:t>
            </w:r>
          </w:p>
        </w:tc>
        <w:tc>
          <w:tcPr>
            <w:tcW w:w="342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二、外交支出</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59"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48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 xml:space="preserve"> 企业所得税</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37,000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19,500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17,427 </w:t>
            </w:r>
          </w:p>
        </w:tc>
        <w:tc>
          <w:tcPr>
            <w:tcW w:w="98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89.4 </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79.4 </w:t>
            </w:r>
          </w:p>
        </w:tc>
        <w:tc>
          <w:tcPr>
            <w:tcW w:w="342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三、国防支出</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1,003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46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41 </w:t>
            </w:r>
          </w:p>
        </w:tc>
        <w:tc>
          <w:tcPr>
            <w:tcW w:w="959"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89.1 </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4.3 </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48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 xml:space="preserve"> 个人所得税</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5,408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6,923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7,155 </w:t>
            </w:r>
          </w:p>
        </w:tc>
        <w:tc>
          <w:tcPr>
            <w:tcW w:w="98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103.4 </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91.0 </w:t>
            </w:r>
          </w:p>
        </w:tc>
        <w:tc>
          <w:tcPr>
            <w:tcW w:w="342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四、公共安全支出</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54,925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55,201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45,838 </w:t>
            </w:r>
          </w:p>
        </w:tc>
        <w:tc>
          <w:tcPr>
            <w:tcW w:w="959"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83.0 </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90.4 </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48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 xml:space="preserve"> 资源税</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30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45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46 </w:t>
            </w:r>
          </w:p>
        </w:tc>
        <w:tc>
          <w:tcPr>
            <w:tcW w:w="98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102.2 </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59.0 </w:t>
            </w:r>
          </w:p>
        </w:tc>
        <w:tc>
          <w:tcPr>
            <w:tcW w:w="342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五、教育支出</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151,725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197,773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132,718 </w:t>
            </w:r>
          </w:p>
        </w:tc>
        <w:tc>
          <w:tcPr>
            <w:tcW w:w="959"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67.1 </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113.3 </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48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 xml:space="preserve"> 城市维护建设税</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8,000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6,000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6,326 </w:t>
            </w:r>
          </w:p>
        </w:tc>
        <w:tc>
          <w:tcPr>
            <w:tcW w:w="98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105.4 </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78.8 </w:t>
            </w:r>
          </w:p>
        </w:tc>
        <w:tc>
          <w:tcPr>
            <w:tcW w:w="342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六、科学技术支出</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168,816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172,228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195,042 </w:t>
            </w:r>
          </w:p>
        </w:tc>
        <w:tc>
          <w:tcPr>
            <w:tcW w:w="959"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113.2 </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96.6 </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48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 xml:space="preserve"> 房产税</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7,000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16,500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16,600 </w:t>
            </w:r>
          </w:p>
        </w:tc>
        <w:tc>
          <w:tcPr>
            <w:tcW w:w="98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100.6 </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131.8 </w:t>
            </w:r>
          </w:p>
        </w:tc>
        <w:tc>
          <w:tcPr>
            <w:tcW w:w="342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七、文化旅游体育与传媒支出</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4,830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4,772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3,878 </w:t>
            </w:r>
          </w:p>
        </w:tc>
        <w:tc>
          <w:tcPr>
            <w:tcW w:w="959"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81.3 </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127.0 </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48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 xml:space="preserve"> 印花税</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8,000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7,700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7,912 </w:t>
            </w:r>
          </w:p>
        </w:tc>
        <w:tc>
          <w:tcPr>
            <w:tcW w:w="98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102.8 </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103.1 </w:t>
            </w:r>
          </w:p>
        </w:tc>
        <w:tc>
          <w:tcPr>
            <w:tcW w:w="342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八、社会保障和就业支出</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49,104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59,419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53,688 </w:t>
            </w:r>
          </w:p>
        </w:tc>
        <w:tc>
          <w:tcPr>
            <w:tcW w:w="959"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90.4 </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93.9 </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48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 xml:space="preserve"> 城镇土地使用税</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25,000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36,400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36,369 </w:t>
            </w:r>
          </w:p>
        </w:tc>
        <w:tc>
          <w:tcPr>
            <w:tcW w:w="98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99.9 </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107.1 </w:t>
            </w:r>
          </w:p>
        </w:tc>
        <w:tc>
          <w:tcPr>
            <w:tcW w:w="342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九、卫生健康支出</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30,841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43,872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66,123 </w:t>
            </w:r>
          </w:p>
        </w:tc>
        <w:tc>
          <w:tcPr>
            <w:tcW w:w="959"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150.7 </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235.5 </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48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 xml:space="preserve"> 土地增值税</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45,000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10,500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9,091 </w:t>
            </w:r>
          </w:p>
        </w:tc>
        <w:tc>
          <w:tcPr>
            <w:tcW w:w="98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86.6 </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26.1 </w:t>
            </w:r>
          </w:p>
        </w:tc>
        <w:tc>
          <w:tcPr>
            <w:tcW w:w="342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十、节能环保支出</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9,821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16,868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15,246 </w:t>
            </w:r>
          </w:p>
        </w:tc>
        <w:tc>
          <w:tcPr>
            <w:tcW w:w="959"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90.4 </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102.2 </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48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 xml:space="preserve"> 耕地占用税</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30,000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35,000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34,078 </w:t>
            </w:r>
          </w:p>
        </w:tc>
        <w:tc>
          <w:tcPr>
            <w:tcW w:w="98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97.4 </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120.3 </w:t>
            </w:r>
          </w:p>
        </w:tc>
        <w:tc>
          <w:tcPr>
            <w:tcW w:w="342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十一、城乡社区支出</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104,984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63,872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92,429 </w:t>
            </w:r>
          </w:p>
        </w:tc>
        <w:tc>
          <w:tcPr>
            <w:tcW w:w="959"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144.7 </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111.4 </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48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 xml:space="preserve"> 契税</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100,000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60,055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60,595 </w:t>
            </w:r>
          </w:p>
        </w:tc>
        <w:tc>
          <w:tcPr>
            <w:tcW w:w="98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100.9 </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76.8 </w:t>
            </w:r>
          </w:p>
        </w:tc>
        <w:tc>
          <w:tcPr>
            <w:tcW w:w="342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十二、农林水支出</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8,851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11,549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8,471 </w:t>
            </w:r>
          </w:p>
        </w:tc>
        <w:tc>
          <w:tcPr>
            <w:tcW w:w="959"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73.3 </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63.3 </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48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 xml:space="preserve"> 环境保护税</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60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230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227 </w:t>
            </w:r>
          </w:p>
        </w:tc>
        <w:tc>
          <w:tcPr>
            <w:tcW w:w="98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98.7 </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161.0 </w:t>
            </w:r>
          </w:p>
        </w:tc>
        <w:tc>
          <w:tcPr>
            <w:tcW w:w="342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十三、交通运输支出</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6,942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8,340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7,109 </w:t>
            </w:r>
          </w:p>
        </w:tc>
        <w:tc>
          <w:tcPr>
            <w:tcW w:w="959"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85.2 </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140.2 </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48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 xml:space="preserve"> 其他税收收入</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2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3 </w:t>
            </w:r>
          </w:p>
        </w:tc>
        <w:tc>
          <w:tcPr>
            <w:tcW w:w="98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150.0 </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300.0 </w:t>
            </w:r>
          </w:p>
        </w:tc>
        <w:tc>
          <w:tcPr>
            <w:tcW w:w="342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十四、资源勘探信息等支出</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3,682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20,252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15,371 </w:t>
            </w:r>
          </w:p>
        </w:tc>
        <w:tc>
          <w:tcPr>
            <w:tcW w:w="959"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75.9 </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217.6 </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二、非税收入</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16,780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53,500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67,943 </w:t>
            </w:r>
          </w:p>
        </w:tc>
        <w:tc>
          <w:tcPr>
            <w:tcW w:w="98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127.0 </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237.0 </w:t>
            </w:r>
          </w:p>
        </w:tc>
        <w:tc>
          <w:tcPr>
            <w:tcW w:w="342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十五、商业服务业等支出</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5,862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9,329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7,137 </w:t>
            </w:r>
          </w:p>
        </w:tc>
        <w:tc>
          <w:tcPr>
            <w:tcW w:w="959"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76.5 </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104.6 </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专项收入</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9,180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10,000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9,940 </w:t>
            </w:r>
          </w:p>
        </w:tc>
        <w:tc>
          <w:tcPr>
            <w:tcW w:w="98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99.4 </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91.0 </w:t>
            </w:r>
          </w:p>
        </w:tc>
        <w:tc>
          <w:tcPr>
            <w:tcW w:w="342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十六、金融支出</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1,085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1,085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844 </w:t>
            </w:r>
          </w:p>
        </w:tc>
        <w:tc>
          <w:tcPr>
            <w:tcW w:w="959"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77.8 </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93.8 </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行政事业性收费收入</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1,289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876 </w:t>
            </w:r>
          </w:p>
        </w:tc>
        <w:tc>
          <w:tcPr>
            <w:tcW w:w="98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68.0 </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125.9 </w:t>
            </w:r>
          </w:p>
        </w:tc>
        <w:tc>
          <w:tcPr>
            <w:tcW w:w="342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十七、援助其他地区支出</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59"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罚没收入</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4,500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7,700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8,197 </w:t>
            </w:r>
          </w:p>
        </w:tc>
        <w:tc>
          <w:tcPr>
            <w:tcW w:w="98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106.5 </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257.8 </w:t>
            </w:r>
          </w:p>
        </w:tc>
        <w:tc>
          <w:tcPr>
            <w:tcW w:w="342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十八、自然资源海洋气象等支出</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7,258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78,117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70,793 </w:t>
            </w:r>
          </w:p>
        </w:tc>
        <w:tc>
          <w:tcPr>
            <w:tcW w:w="959"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90.6 </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648.6 </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国有资源</w:t>
            </w:r>
            <w:r>
              <w:rPr>
                <w:rFonts w:eastAsia="等线" w:cs="Times New Roman"/>
                <w:color w:val="0D0D0D" w:themeColor="text1" w:themeTint="F2"/>
                <w:kern w:val="0"/>
                <w:sz w:val="24"/>
                <w:szCs w:val="24"/>
                <w14:textFill>
                  <w14:solidFill>
                    <w14:schemeClr w14:val="tx1">
                      <w14:lumMod w14:val="95000"/>
                      <w14:lumOff w14:val="5000"/>
                    </w14:schemeClr>
                  </w14:solidFill>
                </w14:textFill>
              </w:rPr>
              <w:t>(</w:t>
            </w:r>
            <w:r>
              <w:rPr>
                <w:rFonts w:hint="eastAsia" w:cs="Times New Roman"/>
                <w:color w:val="0D0D0D" w:themeColor="text1" w:themeTint="F2"/>
                <w:kern w:val="0"/>
                <w:sz w:val="24"/>
                <w:szCs w:val="24"/>
                <w14:textFill>
                  <w14:solidFill>
                    <w14:schemeClr w14:val="tx1">
                      <w14:lumMod w14:val="95000"/>
                      <w14:lumOff w14:val="5000"/>
                    </w14:schemeClr>
                  </w14:solidFill>
                </w14:textFill>
              </w:rPr>
              <w:t>资产</w:t>
            </w:r>
            <w:r>
              <w:rPr>
                <w:rFonts w:eastAsia="等线" w:cs="Times New Roman"/>
                <w:color w:val="0D0D0D" w:themeColor="text1" w:themeTint="F2"/>
                <w:kern w:val="0"/>
                <w:sz w:val="24"/>
                <w:szCs w:val="24"/>
                <w14:textFill>
                  <w14:solidFill>
                    <w14:schemeClr w14:val="tx1">
                      <w14:lumMod w14:val="95000"/>
                      <w14:lumOff w14:val="5000"/>
                    </w14:schemeClr>
                  </w14:solidFill>
                </w14:textFill>
              </w:rPr>
              <w:t>)</w:t>
            </w:r>
            <w:r>
              <w:rPr>
                <w:rFonts w:hint="eastAsia" w:cs="Times New Roman"/>
                <w:color w:val="0D0D0D" w:themeColor="text1" w:themeTint="F2"/>
                <w:kern w:val="0"/>
                <w:sz w:val="24"/>
                <w:szCs w:val="24"/>
                <w14:textFill>
                  <w14:solidFill>
                    <w14:schemeClr w14:val="tx1">
                      <w14:lumMod w14:val="95000"/>
                      <w14:lumOff w14:val="5000"/>
                    </w14:schemeClr>
                  </w14:solidFill>
                </w14:textFill>
              </w:rPr>
              <w:t>有偿使用收入</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3,000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34,000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48,418 </w:t>
            </w:r>
          </w:p>
        </w:tc>
        <w:tc>
          <w:tcPr>
            <w:tcW w:w="98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142.4 </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545.4 </w:t>
            </w:r>
          </w:p>
        </w:tc>
        <w:tc>
          <w:tcPr>
            <w:tcW w:w="342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十九、住房保障支出</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30,254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44,473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40,417 </w:t>
            </w:r>
          </w:p>
        </w:tc>
        <w:tc>
          <w:tcPr>
            <w:tcW w:w="959"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90.9 </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187.6 </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捐赠收入</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425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425 </w:t>
            </w:r>
          </w:p>
        </w:tc>
        <w:tc>
          <w:tcPr>
            <w:tcW w:w="98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100.0 </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8.8 </w:t>
            </w:r>
          </w:p>
        </w:tc>
        <w:tc>
          <w:tcPr>
            <w:tcW w:w="342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二十、粮油物资储备支出</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124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537 </w:t>
            </w:r>
          </w:p>
        </w:tc>
        <w:tc>
          <w:tcPr>
            <w:tcW w:w="959"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433.1 </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147.5 </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其他收入</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86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87 </w:t>
            </w:r>
          </w:p>
        </w:tc>
        <w:tc>
          <w:tcPr>
            <w:tcW w:w="98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101.2 </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63.0 </w:t>
            </w:r>
          </w:p>
        </w:tc>
        <w:tc>
          <w:tcPr>
            <w:tcW w:w="342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二十一、灾害防治及应急管理支出</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1,582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3,804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3,218 </w:t>
            </w:r>
          </w:p>
        </w:tc>
        <w:tc>
          <w:tcPr>
            <w:tcW w:w="959"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84.6 </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196.6 </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8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w:t>
            </w:r>
          </w:p>
        </w:tc>
        <w:tc>
          <w:tcPr>
            <w:tcW w:w="342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二十二、其他支出</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2,087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11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59"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8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w:t>
            </w:r>
          </w:p>
        </w:tc>
        <w:tc>
          <w:tcPr>
            <w:tcW w:w="342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二十三、债务付息支出</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17,000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17,000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17,256 </w:t>
            </w:r>
          </w:p>
        </w:tc>
        <w:tc>
          <w:tcPr>
            <w:tcW w:w="959"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101.5 </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127.4 </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8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w:t>
            </w:r>
          </w:p>
        </w:tc>
        <w:tc>
          <w:tcPr>
            <w:tcW w:w="342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二十四、债务发行费用支出</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 </w:t>
            </w:r>
          </w:p>
        </w:tc>
        <w:tc>
          <w:tcPr>
            <w:tcW w:w="959"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50.0 </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8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w:t>
            </w:r>
          </w:p>
        </w:tc>
        <w:tc>
          <w:tcPr>
            <w:tcW w:w="342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二十五、预备费</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10,000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10,000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59"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转移性收入合计</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414,247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638,848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653,666 </w:t>
            </w:r>
          </w:p>
        </w:tc>
        <w:tc>
          <w:tcPr>
            <w:tcW w:w="98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102.3 </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131.3 </w:t>
            </w:r>
          </w:p>
        </w:tc>
        <w:tc>
          <w:tcPr>
            <w:tcW w:w="34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转移性支出合计</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1,237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10,000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97,893 </w:t>
            </w:r>
          </w:p>
        </w:tc>
        <w:tc>
          <w:tcPr>
            <w:tcW w:w="959"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979.0 </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102.3 </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一、上级补助收入</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128,615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367,520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382,338 </w:t>
            </w:r>
          </w:p>
        </w:tc>
        <w:tc>
          <w:tcPr>
            <w:tcW w:w="98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104.0 </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190.9 </w:t>
            </w:r>
          </w:p>
        </w:tc>
        <w:tc>
          <w:tcPr>
            <w:tcW w:w="342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一、上解上级支出</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1,237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10,000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10,142 </w:t>
            </w:r>
          </w:p>
        </w:tc>
        <w:tc>
          <w:tcPr>
            <w:tcW w:w="959"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101.4 </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62.7 </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二、动用预算稳定调节基金</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8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342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二、债务还本支出</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59"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三、调入资金</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239,653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174,349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174,349 </w:t>
            </w:r>
          </w:p>
        </w:tc>
        <w:tc>
          <w:tcPr>
            <w:tcW w:w="98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100.0 </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130.0 </w:t>
            </w:r>
          </w:p>
        </w:tc>
        <w:tc>
          <w:tcPr>
            <w:tcW w:w="342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三、安排预算稳定调节基金</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48,241 </w:t>
            </w:r>
          </w:p>
        </w:tc>
        <w:tc>
          <w:tcPr>
            <w:tcW w:w="959"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1375.1 </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四、债务转贷收入</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51,000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51,000 </w:t>
            </w:r>
          </w:p>
        </w:tc>
        <w:tc>
          <w:tcPr>
            <w:tcW w:w="98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100.0 </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56.7 </w:t>
            </w:r>
          </w:p>
        </w:tc>
        <w:tc>
          <w:tcPr>
            <w:tcW w:w="342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四、结转下年</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39,510 </w:t>
            </w:r>
          </w:p>
        </w:tc>
        <w:tc>
          <w:tcPr>
            <w:tcW w:w="959"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86.2 </w:t>
            </w:r>
          </w:p>
        </w:tc>
      </w:tr>
      <w:tr>
        <w:tblPrEx>
          <w:tblCellMar>
            <w:top w:w="0" w:type="dxa"/>
            <w:left w:w="108" w:type="dxa"/>
            <w:bottom w:w="0" w:type="dxa"/>
            <w:right w:w="108" w:type="dxa"/>
          </w:tblCellMar>
        </w:tblPrEx>
        <w:trPr>
          <w:trHeight w:val="465" w:hRule="atLeast"/>
        </w:trPr>
        <w:tc>
          <w:tcPr>
            <w:tcW w:w="255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五、上年结转</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45,979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45,979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45,979 </w:t>
            </w:r>
          </w:p>
        </w:tc>
        <w:tc>
          <w:tcPr>
            <w:tcW w:w="981"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100.0 </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119.7 </w:t>
            </w:r>
          </w:p>
        </w:tc>
        <w:tc>
          <w:tcPr>
            <w:tcW w:w="342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59"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1305" w:hRule="atLeast"/>
        </w:trPr>
        <w:tc>
          <w:tcPr>
            <w:tcW w:w="14884" w:type="dxa"/>
            <w:gridSpan w:val="11"/>
            <w:tcBorders>
              <w:top w:val="nil"/>
              <w:left w:val="nil"/>
              <w:bottom w:val="nil"/>
              <w:right w:val="nil"/>
            </w:tcBorders>
            <w:shd w:val="clear" w:color="auto" w:fill="auto"/>
            <w:vAlign w:val="center"/>
          </w:tcPr>
          <w:p>
            <w:pPr>
              <w:widowControl/>
              <w:adjustRightInd w:val="0"/>
              <w:snapToGrid w:val="0"/>
              <w:spacing w:line="240" w:lineRule="auto"/>
              <w:ind w:firstLine="0" w:firstLineChars="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注：1.本表直观反映2022年一般公共预算收入与支出的平衡关系。</w:t>
            </w:r>
          </w:p>
          <w:p>
            <w:pPr>
              <w:widowControl/>
              <w:adjustRightInd w:val="0"/>
              <w:snapToGrid w:val="0"/>
              <w:spacing w:line="240" w:lineRule="auto"/>
              <w:ind w:firstLine="0" w:firstLineChars="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2.收入总计（本级收入合计+转移性收入合计）=支出总计（本级支出合计+转移性支出合计）。</w:t>
            </w:r>
          </w:p>
          <w:p>
            <w:pPr>
              <w:widowControl/>
              <w:adjustRightInd w:val="0"/>
              <w:snapToGrid w:val="0"/>
              <w:spacing w:line="240" w:lineRule="auto"/>
              <w:ind w:firstLine="0" w:firstLineChars="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3.调整预算数是指根据预算法规定，经市人大常委会备案审查批准对年初预算进行调整后形成的预算数，下同。</w:t>
            </w:r>
          </w:p>
          <w:p>
            <w:pPr>
              <w:widowControl/>
              <w:adjustRightInd w:val="0"/>
              <w:snapToGrid w:val="0"/>
              <w:spacing w:line="240" w:lineRule="auto"/>
              <w:ind w:firstLine="0" w:firstLineChars="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4.由于四舍五入因素，部分分项和与总数可能存在差异，下同。</w:t>
            </w:r>
          </w:p>
        </w:tc>
        <w:tc>
          <w:tcPr>
            <w:tcW w:w="993" w:type="dxa"/>
            <w:tcBorders>
              <w:top w:val="nil"/>
              <w:left w:val="nil"/>
              <w:bottom w:val="nil"/>
              <w:right w:val="nil"/>
            </w:tcBorders>
            <w:shd w:val="clear" w:color="auto" w:fill="auto"/>
            <w:vAlign w:val="center"/>
          </w:tcPr>
          <w:p>
            <w:pPr>
              <w:widowControl/>
              <w:adjustRightInd w:val="0"/>
              <w:snapToGrid w:val="0"/>
              <w:spacing w:line="240" w:lineRule="auto"/>
              <w:ind w:firstLine="0" w:firstLineChars="0"/>
              <w:jc w:val="left"/>
              <w:rPr>
                <w:rFonts w:cs="宋体"/>
                <w:color w:val="0D0D0D" w:themeColor="text1" w:themeTint="F2"/>
                <w:kern w:val="0"/>
                <w:sz w:val="24"/>
                <w:szCs w:val="24"/>
                <w14:textFill>
                  <w14:solidFill>
                    <w14:schemeClr w14:val="tx1">
                      <w14:lumMod w14:val="95000"/>
                      <w14:lumOff w14:val="5000"/>
                    </w14:schemeClr>
                  </w14:solidFill>
                </w14:textFill>
              </w:rPr>
            </w:pPr>
          </w:p>
        </w:tc>
      </w:tr>
    </w:tbl>
    <w:p>
      <w:pPr>
        <w:widowControl/>
        <w:spacing w:line="240" w:lineRule="auto"/>
        <w:ind w:firstLine="0" w:firstLineChars="0"/>
        <w:rPr>
          <w:rFonts w:eastAsia="方正楷体_GBK"/>
          <w:bCs/>
          <w:color w:val="0D0D0D" w:themeColor="text1" w:themeTint="F2"/>
          <w:kern w:val="44"/>
          <w:szCs w:val="44"/>
          <w14:textFill>
            <w14:solidFill>
              <w14:schemeClr w14:val="tx1">
                <w14:lumMod w14:val="95000"/>
                <w14:lumOff w14:val="5000"/>
              </w14:schemeClr>
            </w14:solidFill>
          </w14:textFill>
        </w:rPr>
      </w:pPr>
    </w:p>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sectPr>
          <w:pgSz w:w="16838" w:h="11906" w:orient="landscape"/>
          <w:pgMar w:top="1531" w:right="2098" w:bottom="1531" w:left="1985" w:header="851" w:footer="1417" w:gutter="0"/>
          <w:cols w:space="425" w:num="1"/>
          <w:docGrid w:type="lines" w:linePitch="435" w:charSpace="0"/>
        </w:sectPr>
      </w:pPr>
      <w:r>
        <w:rPr>
          <w:rFonts w:eastAsia="方正楷体_GBK"/>
          <w:bCs/>
          <w:color w:val="0D0D0D" w:themeColor="text1" w:themeTint="F2"/>
          <w:kern w:val="44"/>
          <w:szCs w:val="44"/>
          <w14:textFill>
            <w14:solidFill>
              <w14:schemeClr w14:val="tx1">
                <w14:lumMod w14:val="95000"/>
                <w14:lumOff w14:val="5000"/>
              </w14:schemeClr>
            </w14:solidFill>
          </w14:textFill>
        </w:rPr>
        <w:br w:type="page"/>
      </w:r>
    </w:p>
    <w:p>
      <w:pPr>
        <w:widowControl/>
        <w:spacing w:line="240" w:lineRule="auto"/>
        <w:ind w:firstLine="0" w:firstLineChars="0"/>
        <w:jc w:val="left"/>
        <w:rPr>
          <w:rFonts w:eastAsia="方正黑体_GBK"/>
          <w:bCs/>
          <w:color w:val="0D0D0D" w:themeColor="text1" w:themeTint="F2"/>
          <w:kern w:val="44"/>
          <w:szCs w:val="44"/>
          <w14:textFill>
            <w14:solidFill>
              <w14:schemeClr w14:val="tx1">
                <w14:lumMod w14:val="95000"/>
                <w14:lumOff w14:val="5000"/>
              </w14:schemeClr>
            </w14:solidFill>
          </w14:textFill>
        </w:rPr>
      </w:pPr>
      <w:r>
        <w:rPr>
          <w:rFonts w:hint="eastAsia" w:eastAsia="方正黑体_GBK"/>
          <w:bCs/>
          <w:color w:val="0D0D0D" w:themeColor="text1" w:themeTint="F2"/>
          <w:kern w:val="44"/>
          <w:szCs w:val="44"/>
          <w14:textFill>
            <w14:solidFill>
              <w14:schemeClr w14:val="tx1">
                <w14:lumMod w14:val="95000"/>
                <w14:lumOff w14:val="5000"/>
              </w14:schemeClr>
            </w14:solidFill>
          </w14:textFill>
        </w:rPr>
        <w:t>表2</w:t>
      </w:r>
    </w:p>
    <w:tbl>
      <w:tblPr>
        <w:tblStyle w:val="7"/>
        <w:tblW w:w="9498" w:type="dxa"/>
        <w:tblInd w:w="0" w:type="dxa"/>
        <w:tblLayout w:type="autofit"/>
        <w:tblCellMar>
          <w:top w:w="0" w:type="dxa"/>
          <w:left w:w="108" w:type="dxa"/>
          <w:bottom w:w="0" w:type="dxa"/>
          <w:right w:w="108" w:type="dxa"/>
        </w:tblCellMar>
      </w:tblPr>
      <w:tblGrid>
        <w:gridCol w:w="6379"/>
        <w:gridCol w:w="3119"/>
      </w:tblGrid>
      <w:tr>
        <w:tblPrEx>
          <w:tblCellMar>
            <w:top w:w="0" w:type="dxa"/>
            <w:left w:w="108" w:type="dxa"/>
            <w:bottom w:w="0" w:type="dxa"/>
            <w:right w:w="108" w:type="dxa"/>
          </w:tblCellMar>
        </w:tblPrEx>
        <w:trPr>
          <w:trHeight w:val="504" w:hRule="atLeast"/>
          <w:tblHeader/>
        </w:trPr>
        <w:tc>
          <w:tcPr>
            <w:tcW w:w="9498" w:type="dxa"/>
            <w:gridSpan w:val="2"/>
            <w:tcBorders>
              <w:top w:val="nil"/>
              <w:left w:val="nil"/>
              <w:bottom w:val="nil"/>
              <w:right w:val="nil"/>
            </w:tcBorders>
            <w:shd w:val="clear" w:color="auto" w:fill="auto"/>
            <w:noWrap/>
            <w:vAlign w:val="center"/>
          </w:tcPr>
          <w:p>
            <w:pPr>
              <w:widowControl/>
              <w:spacing w:line="240" w:lineRule="auto"/>
              <w:ind w:firstLine="0" w:firstLineChars="0"/>
              <w:jc w:val="center"/>
              <w:rPr>
                <w:rFonts w:eastAsia="方正小标宋_GBK" w:cs="宋体"/>
                <w:color w:val="0D0D0D" w:themeColor="text1" w:themeTint="F2"/>
                <w:kern w:val="0"/>
                <w:sz w:val="38"/>
                <w:szCs w:val="38"/>
                <w14:textFill>
                  <w14:solidFill>
                    <w14:schemeClr w14:val="tx1">
                      <w14:lumMod w14:val="95000"/>
                      <w14:lumOff w14:val="5000"/>
                    </w14:schemeClr>
                  </w14:solidFill>
                </w14:textFill>
              </w:rPr>
            </w:pPr>
            <w:r>
              <w:rPr>
                <w:rFonts w:hint="eastAsia" w:eastAsia="方正小标宋_GBK" w:cs="宋体"/>
                <w:color w:val="0D0D0D" w:themeColor="text1" w:themeTint="F2"/>
                <w:kern w:val="0"/>
                <w:sz w:val="38"/>
                <w:szCs w:val="38"/>
                <w14:textFill>
                  <w14:solidFill>
                    <w14:schemeClr w14:val="tx1">
                      <w14:lumMod w14:val="95000"/>
                      <w14:lumOff w14:val="5000"/>
                    </w14:schemeClr>
                  </w14:solidFill>
                </w14:textFill>
              </w:rPr>
              <w:t>2022年一般公共预算支出执行表</w:t>
            </w:r>
          </w:p>
        </w:tc>
      </w:tr>
      <w:tr>
        <w:tblPrEx>
          <w:tblCellMar>
            <w:top w:w="0" w:type="dxa"/>
            <w:left w:w="108" w:type="dxa"/>
            <w:bottom w:w="0" w:type="dxa"/>
            <w:right w:w="108" w:type="dxa"/>
          </w:tblCellMar>
        </w:tblPrEx>
        <w:trPr>
          <w:trHeight w:val="480" w:hRule="atLeast"/>
          <w:tblHeader/>
        </w:trPr>
        <w:tc>
          <w:tcPr>
            <w:tcW w:w="9498" w:type="dxa"/>
            <w:gridSpan w:val="2"/>
            <w:tcBorders>
              <w:top w:val="nil"/>
              <w:left w:val="nil"/>
              <w:bottom w:val="nil"/>
              <w:right w:val="nil"/>
            </w:tcBorders>
            <w:shd w:val="clear" w:color="auto" w:fill="auto"/>
            <w:noWrap/>
            <w:vAlign w:val="center"/>
          </w:tcPr>
          <w:p>
            <w:pPr>
              <w:widowControl/>
              <w:spacing w:line="240" w:lineRule="auto"/>
              <w:ind w:firstLine="0" w:firstLineChars="0"/>
              <w:jc w:val="center"/>
              <w:rPr>
                <w:rFonts w:eastAsia="方正楷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楷体_GBK" w:cs="宋体"/>
                <w:color w:val="0D0D0D" w:themeColor="text1" w:themeTint="F2"/>
                <w:kern w:val="0"/>
                <w:sz w:val="28"/>
                <w:szCs w:val="28"/>
                <w14:textFill>
                  <w14:solidFill>
                    <w14:schemeClr w14:val="tx1">
                      <w14:lumMod w14:val="95000"/>
                      <w14:lumOff w14:val="5000"/>
                    </w14:schemeClr>
                  </w14:solidFill>
                </w14:textFill>
              </w:rPr>
              <w:t>（支出功能分类科目）</w:t>
            </w:r>
          </w:p>
        </w:tc>
      </w:tr>
      <w:tr>
        <w:tblPrEx>
          <w:tblCellMar>
            <w:top w:w="0" w:type="dxa"/>
            <w:left w:w="108" w:type="dxa"/>
            <w:bottom w:w="0" w:type="dxa"/>
            <w:right w:w="108" w:type="dxa"/>
          </w:tblCellMar>
        </w:tblPrEx>
        <w:trPr>
          <w:trHeight w:val="288" w:hRule="atLeast"/>
          <w:tblHeader/>
        </w:trPr>
        <w:tc>
          <w:tcPr>
            <w:tcW w:w="9498" w:type="dxa"/>
            <w:gridSpan w:val="2"/>
            <w:tcBorders>
              <w:top w:val="nil"/>
              <w:left w:val="nil"/>
              <w:bottom w:val="single" w:color="auto" w:sz="4" w:space="0"/>
              <w:right w:val="nil"/>
            </w:tcBorders>
            <w:shd w:val="clear" w:color="auto" w:fill="auto"/>
            <w:noWrap/>
            <w:vAlign w:val="center"/>
          </w:tcPr>
          <w:p>
            <w:pPr>
              <w:widowControl/>
              <w:spacing w:line="240" w:lineRule="auto"/>
              <w:ind w:firstLine="0" w:firstLineChars="0"/>
              <w:jc w:val="right"/>
              <w:rPr>
                <w:rFonts w:eastAsia="方正楷体_GBK" w:cs="宋体"/>
                <w:color w:val="0D0D0D" w:themeColor="text1" w:themeTint="F2"/>
                <w:kern w:val="0"/>
                <w:sz w:val="22"/>
                <w14:textFill>
                  <w14:solidFill>
                    <w14:schemeClr w14:val="tx1">
                      <w14:lumMod w14:val="95000"/>
                      <w14:lumOff w14:val="5000"/>
                    </w14:schemeClr>
                  </w14:solidFill>
                </w14:textFill>
              </w:rPr>
            </w:pPr>
            <w:r>
              <w:rPr>
                <w:rFonts w:hint="eastAsia" w:eastAsia="方正楷体_GBK" w:cs="宋体"/>
                <w:color w:val="0D0D0D" w:themeColor="text1" w:themeTint="F2"/>
                <w:kern w:val="0"/>
                <w:sz w:val="22"/>
                <w14:textFill>
                  <w14:solidFill>
                    <w14:schemeClr w14:val="tx1">
                      <w14:lumMod w14:val="95000"/>
                      <w14:lumOff w14:val="5000"/>
                    </w14:schemeClr>
                  </w14:solidFill>
                </w14:textFill>
              </w:rPr>
              <w:t>单位：万元</w:t>
            </w:r>
          </w:p>
        </w:tc>
      </w:tr>
      <w:tr>
        <w:tblPrEx>
          <w:tblCellMar>
            <w:top w:w="0" w:type="dxa"/>
            <w:left w:w="108" w:type="dxa"/>
            <w:bottom w:w="0" w:type="dxa"/>
            <w:right w:w="108" w:type="dxa"/>
          </w:tblCellMar>
        </w:tblPrEx>
        <w:trPr>
          <w:trHeight w:val="312" w:hRule="atLeast"/>
          <w:tblHeader/>
        </w:trPr>
        <w:tc>
          <w:tcPr>
            <w:tcW w:w="63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科目名称</w:t>
            </w:r>
          </w:p>
        </w:tc>
        <w:tc>
          <w:tcPr>
            <w:tcW w:w="311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执行数</w:t>
            </w:r>
          </w:p>
        </w:tc>
      </w:tr>
      <w:tr>
        <w:tblPrEx>
          <w:tblCellMar>
            <w:top w:w="0" w:type="dxa"/>
            <w:left w:w="108" w:type="dxa"/>
            <w:bottom w:w="0" w:type="dxa"/>
            <w:right w:w="108" w:type="dxa"/>
          </w:tblCellMar>
        </w:tblPrEx>
        <w:trPr>
          <w:trHeight w:val="312" w:hRule="atLeast"/>
        </w:trPr>
        <w:tc>
          <w:tcPr>
            <w:tcW w:w="6379" w:type="dxa"/>
            <w:tcBorders>
              <w:top w:val="single" w:color="auto" w:sz="4" w:space="0"/>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一般公共预算支出合计</w:t>
            </w:r>
          </w:p>
        </w:tc>
        <w:tc>
          <w:tcPr>
            <w:tcW w:w="3119" w:type="dxa"/>
            <w:tcBorders>
              <w:top w:val="single" w:color="auto" w:sz="4" w:space="0"/>
              <w:left w:val="single" w:color="auto" w:sz="4" w:space="0"/>
              <w:bottom w:val="nil"/>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849,741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一般公共服务支出</w:t>
            </w:r>
          </w:p>
        </w:tc>
        <w:tc>
          <w:tcPr>
            <w:tcW w:w="31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73,584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人大事务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252</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行政运行</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其他人大事务支出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228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政协事务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其他政协事务支出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政府办公厅(室)及相关机构事务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50,276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行政运行</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18,510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25,720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信访事务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事业运行</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3,856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其他政府办公厅(室)及相关机构事务支出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2,154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发展与改革事务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4,402</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行政运行</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2,116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战略规划与实施</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508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物价管理</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其他发展与改革事务支出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1,768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统计信息事务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434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统计管理</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专项普查活动</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其他统计信息事务支出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321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财政事务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其他财政事务支出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税收事务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6,050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税收业务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2,650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其他税收事务支出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3,400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审计事务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审计业务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海关事务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检验检疫</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纪检监察事务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706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行政运行</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497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大案要案查处</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146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巡视工作</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其他纪检监察事务支出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商贸事务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1,006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其他商贸事务支出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1,006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港澳台事务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其他港澳台事务支出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档案事务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其他档案事务支出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群众团体事务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357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行政运行</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其他群众团体事务支出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349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党委办公厅(室)及相关机构事务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事业运行</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组织事务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其他组织事务支出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宣传事务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4,510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事业运行</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其他宣传事务支出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4,505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统战事务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62</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宗教事务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其他统战事务支出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其他共产党事务支出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1,473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其他共产党事务支出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1,473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市场监督管理事务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1,797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行政运行</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154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312</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市场主体管理</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339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市场秩序执法</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信息化建设</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质量基础</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药品事务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医疗器械事务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419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化妆品事务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质量安全监管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食品安全监管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295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其他市场监督管理事务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其他一般公共服务支出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1,943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其他一般公共服务支出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1,943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国防支出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国防动员</w:t>
            </w:r>
          </w:p>
        </w:tc>
        <w:tc>
          <w:tcPr>
            <w:tcW w:w="3119" w:type="dxa"/>
            <w:tcBorders>
              <w:top w:val="nil"/>
              <w:left w:val="single" w:color="auto" w:sz="4" w:space="0"/>
              <w:bottom w:val="nil"/>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兵役征集</w:t>
            </w:r>
          </w:p>
        </w:tc>
        <w:tc>
          <w:tcPr>
            <w:tcW w:w="31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民兵</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其他国防动员支出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其他国防支出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其他国防支出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公共安全支出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45,838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公安</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44,277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行政运行</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26,266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14,770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执法办案</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3,199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特别业务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42</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司法</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399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基层司法业务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普法宣传</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公共法律服务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国家统一法律职业资格考试</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社区矫正</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其他司法支出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其他公共安全支出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1,162</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国家司法救助支出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其他公共安全支出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1,160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教育支出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132,718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教育管理事务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其他教育管理事务支出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普通教育</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122,700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学前教育</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5,102</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小学教育</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55,287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初中教育</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37,019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高中教育</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7,040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其他普通教育支出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18,252</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职业教育</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5,334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中等职业教育</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5,334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特殊教育</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其他特殊教育支出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教育费附加安排的支出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4,592</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农村中小学校舍建设</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3,837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农村中小学教学设施</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城市中小学校舍建设</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384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城市中小学教学设施</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226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其他教育费附加安排的支出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其他教育支出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其他教育支出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科学技术支出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195,042</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科学技术管理事务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15,406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10,958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其他科学技术管理事务支出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4,448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基础研究</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1,769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其他基础研究支出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1,769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科学技术普及</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科普活动</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其他科学技术普及支出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科技交流与合作</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3,630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其他科技交流与合作支出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3,630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其他科学技术支出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174,136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科技奖励</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687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其他科学技术支出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173,449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文化旅游体育与传媒支出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3,878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文化和旅游</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2,484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行政运行</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图书馆</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113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文化活动</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198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群众文化</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157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文化创作与保护</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文化和旅游管理事务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其他文化和旅游支出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1,990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文物</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163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文物保护</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其他文物支出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体育</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1,012</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群众体育</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其他体育支出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1,009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新闻出版电影</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出版发行</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电影</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其他文化旅游体育与传媒支出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195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宣传文化发展专项支出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其他文化旅游体育与传媒支出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118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社会保障和就业支出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53,688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人力资源和社会保障管理事务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12,432</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劳动保障监察</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社会保险经办机构</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476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劳动人事争议调解仲裁</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286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引进人才费用</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318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事业运行</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939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其他人力资源和社会保障管理事务支出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10,403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民政管理事务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8,611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365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基层政权建设和社区治理</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7,757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其他民政管理事务支出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489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行政事业单位养老支出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13,257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行政单位离退休</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141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事业单位离退休</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机关事业单位基本养老保险缴费支出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6,409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机关事业单位职业年金缴费支出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3,193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其他行政事业单位养老支出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3,474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就业补助</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8,155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就业创业服务补贴</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449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职业培训补贴</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1,383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社会保险补贴</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3,409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公益性岗位补贴</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523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就业见习补贴</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1,157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其他就业补助支出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1,234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抚恤</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2,446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死亡抚恤</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207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伤残抚恤</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义务兵优待</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611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烈士纪念设施管理维护</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其他优抚支出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1,582</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退役安置</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676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军队移交政府的离退休人员安置</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军队转业干部安置</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其他退役安置支出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598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社会福利</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494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儿童福利</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老年福利</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殡葬</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养老服务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258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其他社会福利支出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残疾人事业</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922</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残疾人康复</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残疾人生活和护理补贴</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其他残疾人事业支出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861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最低生活保障</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2,202</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城市最低生活保障金支出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2,191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农村最低生活保障金支出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临时救助</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临时救助支出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特困人员救助供养</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城市特困人员救助供养支出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农村特困人员救助供养支出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其他生活救助</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其他城市生活救助</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其他农村生活救助</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退役军人管理事务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1,221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事业运行</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611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其他退役军人事务管理支出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607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其他社会保障和就业支出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3,133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其他社会保障和就业支出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3,133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卫生健康支出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66,123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卫生健康管理事务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777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696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其他卫生健康管理事务支出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基层医疗卫生机构</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11,139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城市社区卫生机构</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2,282</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乡镇卫生院</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8,475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其他基层医疗卫生机构支出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382</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公共卫生</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43,551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疾病预防控制机构</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296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妇幼保健机构</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42</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基本公共卫生服务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4,633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重大公共卫生服务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10,825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突发公共卫生事件应急处理</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27,245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其他公共卫生支出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510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中医药</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中医(民族医)药专项</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计划生育事务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1,686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计划生育服务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1,410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其他计划生育事务支出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276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行政事业单位医疗</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4,787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行政单位医疗</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1,495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事业单位医疗</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2,492</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公务员医疗补助</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其他行政事业单位医疗支出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760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财政对基本医疗保险基金的补助</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223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财政对城乡居民基本医疗保险基金的补助</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223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医疗救助</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399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城乡医疗救助</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394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其他医疗救助支出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优抚对象医疗</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266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优抚对象医疗补助</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266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医疗保障管理事务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2,342</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医疗保障政策管理</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医疗保障经办事务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其他医疗保障管理事务支出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2,241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其他卫生健康支出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923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其他卫生健康支出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923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节能环保支出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15,246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环境保护管理事务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1,411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行政运行</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804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生态环境保护宣传</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环境保护法规、规划及标准</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318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生态环境保护行政许可</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其他环境保护管理事务支出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173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环境监测与监察</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819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其他环境监测与监察支出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819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污染防治</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10,121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大气</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1,414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水体</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7,761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固体废弃物与化学品</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946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自然生态保护</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农村环境保护</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自然保护地</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污染减排</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生态环境执法监察</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能源管理事务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72</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72</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其他节能环保支出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2,699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其他节能环保支出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2,699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城乡社区支出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92,429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城乡社区管理事务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3,711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730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城管执法</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905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其他城乡社区管理事务支出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2,076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城乡社区公共设施</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15,385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小城镇基础设施建设</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13,874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其他城乡社区公共设施支出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1,511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城乡社区环境卫生</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25,133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城乡社区环境卫生</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25,133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其他城乡社区支出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48,200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其他城乡社区支出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48,200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农林水支出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8,471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农业农村</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2,584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311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事业运行</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139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病虫害控制</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32</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执法监管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行业业务管理</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稳定农民收入补贴</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农业生产发展</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133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农村合作经济</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农产品加工与促销</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22</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农业资源保护修复与利用</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农田建设</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其他农业农村支出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1,727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林业和草原</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1,067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274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森林资源管理</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林区公共支出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林业草原防灾减灾</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520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其他林业和草原支出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247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水利</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3,038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水利行业业务管理</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水利工程建设</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1,796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水利工程运行与维护</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535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水利前期工作</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水利执法监督</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水土保持</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防汛</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抗旱</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江河湖库水系综合整治</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其他水利支出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300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农村综合改革</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1,300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对村级公益事业建设的补助</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731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对村民委员会和村党支部的补助</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147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其他农村综合改革支出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422</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普惠金融发展支出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创业担保贷款贴息及奖补</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其他农林水支出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418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其他农林水支出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418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交通运输支出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7,109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公路水路运输</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2,587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公路建设</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722</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公路养护</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276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公路和运输安全</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公路运输管理</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1,505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其他公路水路运输支出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铁路运输</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铁路安全</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车辆购置税支出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4,497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车辆购置税用于公路等基础设施建设支出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4,497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资源勘探工业信息等支出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15,371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资源勘探开发</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制造业</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8,724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其他制造业支出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8,714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工业和信息产业监管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3,258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产业发展</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3,258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支持中小企业发展和管理支出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664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中小企业发展专项</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664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其他资源勘探工业信息等支出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2,701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其他资源勘探工业信息等支出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2,701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商业服务业等支出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7,137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商业流通事务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6,219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749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其他商业流通事务支出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5,470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涉外发展服务支出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488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其他涉外发展服务支出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488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其他商业服务业等支出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430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其他商业服务业等支出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430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金融支出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844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金融发展支出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685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其他金融发展支出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685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其他金融支出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159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其他金融支出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159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自然资源海洋气象等支出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70,793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自然资源事务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70,204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行政运行</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151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自然资源规划及管理</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482</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自然资源利用与保护</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68,718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事业运行</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553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其他自然资源事务支出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300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其他自然资源海洋气象等支出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589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其他自然资源海洋气象等支出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589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住房保障支出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40,417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保障性安居工程支出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33,391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农村危房改造</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130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保障性住房租金补贴</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住房租赁市场发展</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5,570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其他保障性安居工程支出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27,675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住房改革支出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7,026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住房公积金</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6,965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购房补贴</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粮油物资储备支出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537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粮油储备</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储备粮油补贴</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重要商品储备</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413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应急物资储备</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413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灾害防治及应急管理支出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3,218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应急管理事务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2,388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83</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灾害风险防治</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安全监管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409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应急救援</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478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应急管理</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571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其他应急管理支出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747</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消防救援事务</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400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消防应急救援</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200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其他消防救援事务支出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200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自然灾害防治</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149</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地质灾害防治</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108</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其他自然灾害防治支出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自然灾害救灾及恢复重建支出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161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自然灾害救灾补助</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44</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自然灾害灾后重建补助</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32</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其他自然灾害救灾及恢复重建支出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85</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其他灾害防治及应急管理支出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其他灾害防治及应急管理支出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120</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债务付息支出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17,256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地方政府一般债务付息支出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17,256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地方政府一般债券付息支出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17,256</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债务发行费用支出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w:t>
            </w:r>
          </w:p>
        </w:tc>
      </w:tr>
      <w:tr>
        <w:tblPrEx>
          <w:tblCellMar>
            <w:top w:w="0" w:type="dxa"/>
            <w:left w:w="108" w:type="dxa"/>
            <w:bottom w:w="0" w:type="dxa"/>
            <w:right w:w="108" w:type="dxa"/>
          </w:tblCellMar>
        </w:tblPrEx>
        <w:trPr>
          <w:trHeight w:val="312" w:hRule="atLeast"/>
        </w:trPr>
        <w:tc>
          <w:tcPr>
            <w:tcW w:w="6379"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地方政府一般债务发行费用支出</w:t>
            </w:r>
          </w:p>
        </w:tc>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w:t>
            </w:r>
          </w:p>
        </w:tc>
      </w:tr>
    </w:tbl>
    <w:p>
      <w:pPr>
        <w:widowControl/>
        <w:spacing w:line="240" w:lineRule="auto"/>
        <w:ind w:firstLine="0" w:firstLineChars="0"/>
        <w:rPr>
          <w:rFonts w:eastAsia="方正楷体_GBK"/>
          <w:bCs/>
          <w:color w:val="0D0D0D" w:themeColor="text1" w:themeTint="F2"/>
          <w:kern w:val="44"/>
          <w:szCs w:val="44"/>
          <w14:textFill>
            <w14:solidFill>
              <w14:schemeClr w14:val="tx1">
                <w14:lumMod w14:val="95000"/>
                <w14:lumOff w14:val="5000"/>
              </w14:schemeClr>
            </w14:solidFill>
          </w14:textFill>
        </w:rPr>
      </w:pPr>
    </w:p>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pPr>
      <w:r>
        <w:rPr>
          <w:rFonts w:eastAsia="方正楷体_GBK"/>
          <w:bCs/>
          <w:color w:val="0D0D0D" w:themeColor="text1" w:themeTint="F2"/>
          <w:kern w:val="44"/>
          <w:szCs w:val="44"/>
          <w14:textFill>
            <w14:solidFill>
              <w14:schemeClr w14:val="tx1">
                <w14:lumMod w14:val="95000"/>
                <w14:lumOff w14:val="5000"/>
              </w14:schemeClr>
            </w14:solidFill>
          </w14:textFill>
        </w:rPr>
        <w:br w:type="page"/>
      </w:r>
    </w:p>
    <w:tbl>
      <w:tblPr>
        <w:tblStyle w:val="7"/>
        <w:tblW w:w="10065" w:type="dxa"/>
        <w:tblInd w:w="0" w:type="dxa"/>
        <w:tblLayout w:type="autofit"/>
        <w:tblCellMar>
          <w:top w:w="0" w:type="dxa"/>
          <w:left w:w="108" w:type="dxa"/>
          <w:bottom w:w="0" w:type="dxa"/>
          <w:right w:w="108" w:type="dxa"/>
        </w:tblCellMar>
      </w:tblPr>
      <w:tblGrid>
        <w:gridCol w:w="4387"/>
        <w:gridCol w:w="996"/>
        <w:gridCol w:w="996"/>
        <w:gridCol w:w="1559"/>
        <w:gridCol w:w="1134"/>
        <w:gridCol w:w="993"/>
      </w:tblGrid>
      <w:tr>
        <w:tblPrEx>
          <w:tblCellMar>
            <w:top w:w="0" w:type="dxa"/>
            <w:left w:w="108" w:type="dxa"/>
            <w:bottom w:w="0" w:type="dxa"/>
            <w:right w:w="108" w:type="dxa"/>
          </w:tblCellMar>
        </w:tblPrEx>
        <w:trPr>
          <w:trHeight w:val="372" w:hRule="atLeast"/>
          <w:tblHeader/>
        </w:trPr>
        <w:tc>
          <w:tcPr>
            <w:tcW w:w="4387" w:type="dxa"/>
            <w:tcBorders>
              <w:top w:val="nil"/>
              <w:left w:val="nil"/>
              <w:bottom w:val="nil"/>
              <w:right w:val="nil"/>
            </w:tcBorders>
            <w:shd w:val="clear" w:color="auto" w:fill="auto"/>
            <w:vAlign w:val="center"/>
          </w:tcPr>
          <w:p>
            <w:pPr>
              <w:widowControl/>
              <w:adjustRightInd w:val="0"/>
              <w:snapToGrid w:val="0"/>
              <w:spacing w:line="240" w:lineRule="auto"/>
              <w:ind w:firstLine="0" w:firstLineChars="0"/>
              <w:jc w:val="left"/>
              <w:rPr>
                <w:rFonts w:eastAsia="方正黑体_GBK" w:cs="宋体"/>
                <w:color w:val="0D0D0D" w:themeColor="text1" w:themeTint="F2"/>
                <w:kern w:val="0"/>
                <w:sz w:val="28"/>
                <w:szCs w:val="28"/>
                <w14:textFill>
                  <w14:solidFill>
                    <w14:schemeClr w14:val="tx1">
                      <w14:lumMod w14:val="95000"/>
                      <w14:lumOff w14:val="5000"/>
                    </w14:schemeClr>
                  </w14:solidFill>
                </w14:textFill>
              </w:rPr>
            </w:pPr>
            <w:bookmarkStart w:id="2" w:name="RANGE!A1:F44"/>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表3</w:t>
            </w:r>
            <w:bookmarkEnd w:id="2"/>
          </w:p>
        </w:tc>
        <w:tc>
          <w:tcPr>
            <w:tcW w:w="996"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方正黑体_GBK" w:cs="宋体"/>
                <w:color w:val="0D0D0D" w:themeColor="text1" w:themeTint="F2"/>
                <w:kern w:val="0"/>
                <w:sz w:val="28"/>
                <w:szCs w:val="28"/>
                <w14:textFill>
                  <w14:solidFill>
                    <w14:schemeClr w14:val="tx1">
                      <w14:lumMod w14:val="95000"/>
                      <w14:lumOff w14:val="5000"/>
                    </w14:schemeClr>
                  </w14:solidFill>
                </w14:textFill>
              </w:rPr>
            </w:pPr>
          </w:p>
        </w:tc>
        <w:tc>
          <w:tcPr>
            <w:tcW w:w="996"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559"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134"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993"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80" w:hRule="atLeast"/>
          <w:tblHeader/>
        </w:trPr>
        <w:tc>
          <w:tcPr>
            <w:tcW w:w="10065" w:type="dxa"/>
            <w:gridSpan w:val="6"/>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方正小标宋_GBK" w:cs="宋体"/>
                <w:color w:val="0D0D0D" w:themeColor="text1" w:themeTint="F2"/>
                <w:kern w:val="0"/>
                <w:sz w:val="36"/>
                <w:szCs w:val="36"/>
                <w14:textFill>
                  <w14:solidFill>
                    <w14:schemeClr w14:val="tx1">
                      <w14:lumMod w14:val="95000"/>
                      <w14:lumOff w14:val="5000"/>
                    </w14:schemeClr>
                  </w14:solidFill>
                </w14:textFill>
              </w:rPr>
            </w:pPr>
            <w:r>
              <w:rPr>
                <w:rFonts w:hint="eastAsia" w:eastAsia="方正小标宋_GBK" w:cs="宋体"/>
                <w:color w:val="0D0D0D" w:themeColor="text1" w:themeTint="F2"/>
                <w:kern w:val="0"/>
                <w:sz w:val="36"/>
                <w:szCs w:val="36"/>
                <w14:textFill>
                  <w14:solidFill>
                    <w14:schemeClr w14:val="tx1">
                      <w14:lumMod w14:val="95000"/>
                      <w14:lumOff w14:val="5000"/>
                    </w14:schemeClr>
                  </w14:solidFill>
                </w14:textFill>
              </w:rPr>
              <w:t>2022年一般公共预算转移支付收支执行表</w:t>
            </w:r>
          </w:p>
        </w:tc>
      </w:tr>
      <w:tr>
        <w:tblPrEx>
          <w:tblCellMar>
            <w:top w:w="0" w:type="dxa"/>
            <w:left w:w="108" w:type="dxa"/>
            <w:bottom w:w="0" w:type="dxa"/>
            <w:right w:w="108" w:type="dxa"/>
          </w:tblCellMar>
        </w:tblPrEx>
        <w:trPr>
          <w:trHeight w:val="288" w:hRule="atLeast"/>
          <w:tblHeader/>
        </w:trPr>
        <w:tc>
          <w:tcPr>
            <w:tcW w:w="4387" w:type="dxa"/>
            <w:tcBorders>
              <w:top w:val="nil"/>
              <w:left w:val="nil"/>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eastAsia="方正小标宋_GBK" w:cs="宋体"/>
                <w:color w:val="0D0D0D" w:themeColor="text1" w:themeTint="F2"/>
                <w:kern w:val="0"/>
                <w:sz w:val="36"/>
                <w:szCs w:val="36"/>
                <w14:textFill>
                  <w14:solidFill>
                    <w14:schemeClr w14:val="tx1">
                      <w14:lumMod w14:val="95000"/>
                      <w14:lumOff w14:val="5000"/>
                    </w14:schemeClr>
                  </w14:solidFill>
                </w14:textFill>
              </w:rPr>
            </w:pPr>
          </w:p>
        </w:tc>
        <w:tc>
          <w:tcPr>
            <w:tcW w:w="996" w:type="dxa"/>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996" w:type="dxa"/>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3686" w:type="dxa"/>
            <w:gridSpan w:val="3"/>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p>
            <w:pPr>
              <w:widowControl/>
              <w:adjustRightInd w:val="0"/>
              <w:snapToGrid w:val="0"/>
              <w:spacing w:line="240" w:lineRule="auto"/>
              <w:ind w:firstLine="0" w:firstLineChars="0"/>
              <w:jc w:val="right"/>
              <w:rPr>
                <w:rFonts w:eastAsia="方正楷体_GBK" w:cs="宋体"/>
                <w:color w:val="0D0D0D" w:themeColor="text1" w:themeTint="F2"/>
                <w:kern w:val="0"/>
                <w:sz w:val="22"/>
                <w14:textFill>
                  <w14:solidFill>
                    <w14:schemeClr w14:val="tx1">
                      <w14:lumMod w14:val="95000"/>
                      <w14:lumOff w14:val="5000"/>
                    </w14:schemeClr>
                  </w14:solidFill>
                </w14:textFill>
              </w:rPr>
            </w:pPr>
            <w:r>
              <w:rPr>
                <w:rFonts w:hint="eastAsia" w:eastAsia="方正楷体_GBK" w:cs="宋体"/>
                <w:color w:val="0D0D0D" w:themeColor="text1" w:themeTint="F2"/>
                <w:kern w:val="0"/>
                <w:sz w:val="22"/>
                <w14:textFill>
                  <w14:solidFill>
                    <w14:schemeClr w14:val="tx1">
                      <w14:lumMod w14:val="95000"/>
                      <w14:lumOff w14:val="5000"/>
                    </w14:schemeClr>
                  </w14:solidFill>
                </w14:textFill>
              </w:rPr>
              <w:t>单位：万元</w:t>
            </w:r>
          </w:p>
        </w:tc>
      </w:tr>
      <w:tr>
        <w:tblPrEx>
          <w:tblCellMar>
            <w:top w:w="0" w:type="dxa"/>
            <w:left w:w="108" w:type="dxa"/>
            <w:bottom w:w="0" w:type="dxa"/>
            <w:right w:w="108" w:type="dxa"/>
          </w:tblCellMar>
        </w:tblPrEx>
        <w:trPr>
          <w:trHeight w:val="408" w:hRule="atLeast"/>
          <w:tblHeader/>
        </w:trPr>
        <w:tc>
          <w:tcPr>
            <w:tcW w:w="43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收    入</w:t>
            </w:r>
          </w:p>
        </w:tc>
        <w:tc>
          <w:tcPr>
            <w:tcW w:w="996" w:type="dxa"/>
            <w:tcBorders>
              <w:top w:val="single" w:color="auto" w:sz="4" w:space="0"/>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上年决算数</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执行数</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支   出</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上年决算数</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执行数</w:t>
            </w:r>
          </w:p>
        </w:tc>
      </w:tr>
      <w:tr>
        <w:tblPrEx>
          <w:tblCellMar>
            <w:top w:w="0" w:type="dxa"/>
            <w:left w:w="108" w:type="dxa"/>
            <w:bottom w:w="0" w:type="dxa"/>
            <w:right w:w="108" w:type="dxa"/>
          </w:tblCellMar>
        </w:tblPrEx>
        <w:trPr>
          <w:trHeight w:val="408" w:hRule="atLeast"/>
        </w:trPr>
        <w:tc>
          <w:tcPr>
            <w:tcW w:w="43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cs="Times New Roman"/>
                <w:b/>
                <w:bCs/>
                <w:color w:val="0D0D0D" w:themeColor="text1" w:themeTint="F2"/>
                <w:kern w:val="0"/>
                <w:sz w:val="24"/>
                <w:szCs w:val="24"/>
                <w14:textFill>
                  <w14:solidFill>
                    <w14:schemeClr w14:val="tx1">
                      <w14:lumMod w14:val="95000"/>
                      <w14:lumOff w14:val="5000"/>
                    </w14:schemeClr>
                  </w14:solidFill>
                </w14:textFill>
              </w:rPr>
              <w:t>上级补助收入</w:t>
            </w:r>
          </w:p>
        </w:tc>
        <w:tc>
          <w:tcPr>
            <w:tcW w:w="996" w:type="dxa"/>
            <w:tcBorders>
              <w:top w:val="single" w:color="auto" w:sz="4" w:space="0"/>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200,301</w:t>
            </w:r>
          </w:p>
        </w:tc>
        <w:tc>
          <w:tcPr>
            <w:tcW w:w="996" w:type="dxa"/>
            <w:tcBorders>
              <w:top w:val="single" w:color="auto" w:sz="4" w:space="0"/>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382,338</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b/>
                <w:bCs/>
                <w:color w:val="0D0D0D" w:themeColor="text1" w:themeTint="F2"/>
                <w:kern w:val="0"/>
                <w:sz w:val="24"/>
                <w:szCs w:val="24"/>
                <w14:textFill>
                  <w14:solidFill>
                    <w14:schemeClr w14:val="tx1">
                      <w14:lumMod w14:val="95000"/>
                      <w14:lumOff w14:val="5000"/>
                    </w14:schemeClr>
                  </w14:solidFill>
                </w14:textFill>
              </w:rPr>
            </w:pPr>
            <w:r>
              <w:rPr>
                <w:rFonts w:hint="eastAsia" w:cs="宋体"/>
                <w:b/>
                <w:bCs/>
                <w:color w:val="0D0D0D" w:themeColor="text1" w:themeTint="F2"/>
                <w:kern w:val="0"/>
                <w:sz w:val="24"/>
                <w:szCs w:val="24"/>
                <w14:textFill>
                  <w14:solidFill>
                    <w14:schemeClr w14:val="tx1">
                      <w14:lumMod w14:val="95000"/>
                      <w14:lumOff w14:val="5000"/>
                    </w14:schemeClr>
                  </w14:solidFill>
                </w14:textFill>
              </w:rPr>
              <w:t>转移性支出</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0</w:t>
            </w: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cs="Times New Roman"/>
                <w:b/>
                <w:bCs/>
                <w:color w:val="0D0D0D" w:themeColor="text1" w:themeTint="F2"/>
                <w:kern w:val="0"/>
                <w:sz w:val="24"/>
                <w:szCs w:val="24"/>
                <w14:textFill>
                  <w14:solidFill>
                    <w14:schemeClr w14:val="tx1">
                      <w14:lumMod w14:val="95000"/>
                      <w14:lumOff w14:val="5000"/>
                    </w14:schemeClr>
                  </w14:solidFill>
                </w14:textFill>
              </w:rPr>
              <w:t>一、一般性转移支付收入</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106,134</w:t>
            </w:r>
          </w:p>
        </w:tc>
        <w:tc>
          <w:tcPr>
            <w:tcW w:w="99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251,193</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增值税和消费税税收返还</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12,738</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12,738</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240" w:firstLineChars="10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所得税基数返还</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543</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543</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均衡性转移支付</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2,381</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2,525</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240" w:firstLineChars="10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县级基本财力保障机制奖补资金</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439</w:t>
            </w:r>
          </w:p>
        </w:tc>
        <w:tc>
          <w:tcPr>
            <w:tcW w:w="996" w:type="dxa"/>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439</w:t>
            </w:r>
          </w:p>
        </w:tc>
        <w:tc>
          <w:tcPr>
            <w:tcW w:w="155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240" w:firstLineChars="10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体制补助收入</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365</w:t>
            </w:r>
          </w:p>
        </w:tc>
        <w:tc>
          <w:tcPr>
            <w:tcW w:w="996" w:type="dxa"/>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297</w:t>
            </w:r>
          </w:p>
        </w:tc>
        <w:tc>
          <w:tcPr>
            <w:tcW w:w="155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240" w:firstLineChars="10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结算补助</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6,787</w:t>
            </w:r>
          </w:p>
        </w:tc>
        <w:tc>
          <w:tcPr>
            <w:tcW w:w="996" w:type="dxa"/>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162,877</w:t>
            </w:r>
          </w:p>
        </w:tc>
        <w:tc>
          <w:tcPr>
            <w:tcW w:w="155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240" w:firstLineChars="10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固定数额补助</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1,844</w:t>
            </w:r>
          </w:p>
        </w:tc>
        <w:tc>
          <w:tcPr>
            <w:tcW w:w="996" w:type="dxa"/>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1,123</w:t>
            </w:r>
          </w:p>
        </w:tc>
        <w:tc>
          <w:tcPr>
            <w:tcW w:w="155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240" w:firstLineChars="10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贫困地区转移支付支出</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2</w:t>
            </w:r>
          </w:p>
        </w:tc>
        <w:tc>
          <w:tcPr>
            <w:tcW w:w="996" w:type="dxa"/>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52</w:t>
            </w:r>
          </w:p>
        </w:tc>
        <w:tc>
          <w:tcPr>
            <w:tcW w:w="155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240" w:firstLineChars="10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其他一般性转移支付</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181</w:t>
            </w:r>
          </w:p>
        </w:tc>
        <w:tc>
          <w:tcPr>
            <w:tcW w:w="996" w:type="dxa"/>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73</w:t>
            </w:r>
          </w:p>
        </w:tc>
        <w:tc>
          <w:tcPr>
            <w:tcW w:w="155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240" w:firstLineChars="10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共同财政事权转移支付</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80,854</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60,107</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240" w:firstLineChars="10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一般公共服务共同财政事权转移支付收入</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13</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24</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240" w:firstLineChars="10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公共安全共同财政事权转移支付收入</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2,651</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4,284</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240" w:firstLineChars="10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教育共同财政事权转移支付收入</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14,127</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16,380</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240" w:firstLineChars="10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科学技术共同财政事权转移支付收入</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50,000</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14,370</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240" w:firstLineChars="10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文化旅游体育与传媒共同财政事权转移支付收入</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81</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185</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240" w:firstLineChars="10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社会保障和就业共同财政事权转移支付收入</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7,314</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11,452</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医疗卫生共同财政事权转移支付收入</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4,060</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9,468</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农林水共同财政事权转移支付收入</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2,539</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960</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住房保障共同财政事权转移支付收入</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69</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2,984</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增值税留抵退税转移支付收入</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1,919</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其他退税减税降费转移支付收入</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8,500</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cs="Times New Roman"/>
                <w:b/>
                <w:bCs/>
                <w:color w:val="0D0D0D" w:themeColor="text1" w:themeTint="F2"/>
                <w:kern w:val="0"/>
                <w:sz w:val="24"/>
                <w:szCs w:val="24"/>
                <w14:textFill>
                  <w14:solidFill>
                    <w14:schemeClr w14:val="tx1">
                      <w14:lumMod w14:val="95000"/>
                      <w14:lumOff w14:val="5000"/>
                    </w14:schemeClr>
                  </w14:solidFill>
                </w14:textFill>
              </w:rPr>
              <w:t>二、专项转移支付收入</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94,167</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131,145</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240" w:firstLineChars="10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一般公共服务</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240" w:firstLineChars="10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 xml:space="preserve">    国防</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200</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234</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240" w:firstLineChars="10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 xml:space="preserve">    科学技术</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13,035</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8,313</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文化旅游体育与传媒</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9</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 xml:space="preserve">    社会保障和就业</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151</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23</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 xml:space="preserve">    卫生健康</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98</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249</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 xml:space="preserve">    节能环保</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1,849</w:t>
            </w:r>
          </w:p>
        </w:tc>
        <w:tc>
          <w:tcPr>
            <w:tcW w:w="996"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8885</w:t>
            </w:r>
          </w:p>
        </w:tc>
        <w:tc>
          <w:tcPr>
            <w:tcW w:w="155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 xml:space="preserve">    城乡社区</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37,991</w:t>
            </w:r>
          </w:p>
        </w:tc>
        <w:tc>
          <w:tcPr>
            <w:tcW w:w="99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1,653</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 xml:space="preserve">    农林水</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7,561</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2,344</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 xml:space="preserve">    交通运输</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1,968</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4,509</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 xml:space="preserve">    资源勘探工业信息等</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7,662</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15,998</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 xml:space="preserve">    商业服务业等</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5,510</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6,303</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 xml:space="preserve">    自然资源海洋气象等</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1,202</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70,338</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 xml:space="preserve">    住房保障</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16,698</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12,040</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4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 xml:space="preserve">    灾害防治及应急管理</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242</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247</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99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8" w:hRule="atLeast"/>
        </w:trPr>
        <w:tc>
          <w:tcPr>
            <w:tcW w:w="10065" w:type="dxa"/>
            <w:gridSpan w:val="6"/>
            <w:tcBorders>
              <w:top w:val="single" w:color="auto" w:sz="4" w:space="0"/>
              <w:left w:val="nil"/>
              <w:bottom w:val="nil"/>
              <w:right w:val="nil"/>
            </w:tcBorders>
            <w:shd w:val="clear" w:color="000000" w:fill="FFFFFF"/>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注：本表详细反映</w:t>
            </w:r>
            <w:r>
              <w:rPr>
                <w:rFonts w:eastAsia="等线" w:cs="Times New Roman"/>
                <w:color w:val="0D0D0D" w:themeColor="text1" w:themeTint="F2"/>
                <w:kern w:val="0"/>
                <w:sz w:val="24"/>
                <w:szCs w:val="24"/>
                <w14:textFill>
                  <w14:solidFill>
                    <w14:schemeClr w14:val="tx1">
                      <w14:lumMod w14:val="95000"/>
                      <w14:lumOff w14:val="5000"/>
                    </w14:schemeClr>
                  </w14:solidFill>
                </w14:textFill>
              </w:rPr>
              <w:t>2022</w:t>
            </w:r>
            <w:r>
              <w:rPr>
                <w:rFonts w:hint="eastAsia" w:cs="Times New Roman"/>
                <w:color w:val="0D0D0D" w:themeColor="text1" w:themeTint="F2"/>
                <w:kern w:val="0"/>
                <w:sz w:val="24"/>
                <w:szCs w:val="24"/>
                <w14:textFill>
                  <w14:solidFill>
                    <w14:schemeClr w14:val="tx1">
                      <w14:lumMod w14:val="95000"/>
                      <w14:lumOff w14:val="5000"/>
                    </w14:schemeClr>
                  </w14:solidFill>
                </w14:textFill>
              </w:rPr>
              <w:t>年一般公共预算转移支付收入和转移支付支出情况。</w:t>
            </w:r>
          </w:p>
        </w:tc>
      </w:tr>
    </w:tbl>
    <w:p>
      <w:pPr>
        <w:widowControl/>
        <w:spacing w:line="240" w:lineRule="auto"/>
        <w:ind w:firstLine="0" w:firstLineChars="0"/>
        <w:rPr>
          <w:rFonts w:eastAsia="方正楷体_GBK"/>
          <w:bCs/>
          <w:color w:val="0D0D0D" w:themeColor="text1" w:themeTint="F2"/>
          <w:kern w:val="44"/>
          <w:szCs w:val="44"/>
          <w14:textFill>
            <w14:solidFill>
              <w14:schemeClr w14:val="tx1">
                <w14:lumMod w14:val="95000"/>
                <w14:lumOff w14:val="5000"/>
              </w14:schemeClr>
            </w14:solidFill>
          </w14:textFill>
        </w:rPr>
      </w:pPr>
    </w:p>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sectPr>
          <w:pgSz w:w="11906" w:h="16838"/>
          <w:pgMar w:top="2098" w:right="1531" w:bottom="1985" w:left="1531" w:header="851" w:footer="1417" w:gutter="0"/>
          <w:cols w:space="425" w:num="1"/>
          <w:docGrid w:type="lines" w:linePitch="435" w:charSpace="0"/>
        </w:sectPr>
      </w:pPr>
      <w:r>
        <w:rPr>
          <w:rFonts w:eastAsia="方正楷体_GBK"/>
          <w:bCs/>
          <w:color w:val="0D0D0D" w:themeColor="text1" w:themeTint="F2"/>
          <w:kern w:val="44"/>
          <w:szCs w:val="44"/>
          <w14:textFill>
            <w14:solidFill>
              <w14:schemeClr w14:val="tx1">
                <w14:lumMod w14:val="95000"/>
                <w14:lumOff w14:val="5000"/>
              </w14:schemeClr>
            </w14:solidFill>
          </w14:textFill>
        </w:rPr>
        <w:br w:type="page"/>
      </w:r>
    </w:p>
    <w:tbl>
      <w:tblPr>
        <w:tblStyle w:val="7"/>
        <w:tblW w:w="15593" w:type="dxa"/>
        <w:tblInd w:w="-1134" w:type="dxa"/>
        <w:tblLayout w:type="autofit"/>
        <w:tblCellMar>
          <w:top w:w="0" w:type="dxa"/>
          <w:left w:w="108" w:type="dxa"/>
          <w:bottom w:w="0" w:type="dxa"/>
          <w:right w:w="108" w:type="dxa"/>
        </w:tblCellMar>
      </w:tblPr>
      <w:tblGrid>
        <w:gridCol w:w="1843"/>
        <w:gridCol w:w="1276"/>
        <w:gridCol w:w="1176"/>
        <w:gridCol w:w="1176"/>
        <w:gridCol w:w="1192"/>
        <w:gridCol w:w="1134"/>
        <w:gridCol w:w="1842"/>
        <w:gridCol w:w="1134"/>
        <w:gridCol w:w="1176"/>
        <w:gridCol w:w="1176"/>
        <w:gridCol w:w="1192"/>
        <w:gridCol w:w="1276"/>
      </w:tblGrid>
      <w:tr>
        <w:tblPrEx>
          <w:tblCellMar>
            <w:top w:w="0" w:type="dxa"/>
            <w:left w:w="108" w:type="dxa"/>
            <w:bottom w:w="0" w:type="dxa"/>
            <w:right w:w="108" w:type="dxa"/>
          </w:tblCellMar>
        </w:tblPrEx>
        <w:trPr>
          <w:trHeight w:val="480" w:hRule="atLeast"/>
          <w:tblHeader/>
        </w:trPr>
        <w:tc>
          <w:tcPr>
            <w:tcW w:w="4295" w:type="dxa"/>
            <w:gridSpan w:val="3"/>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方正黑体_GBK" w:cs="宋体"/>
                <w:color w:val="0D0D0D" w:themeColor="text1" w:themeTint="F2"/>
                <w:kern w:val="0"/>
                <w:sz w:val="28"/>
                <w:szCs w:val="28"/>
                <w14:textFill>
                  <w14:solidFill>
                    <w14:schemeClr w14:val="tx1">
                      <w14:lumMod w14:val="95000"/>
                      <w14:lumOff w14:val="5000"/>
                    </w14:schemeClr>
                  </w14:solidFill>
                </w14:textFill>
              </w:rPr>
            </w:pPr>
            <w:bookmarkStart w:id="3" w:name="RANGE!A1:K20"/>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表4</w:t>
            </w:r>
            <w:bookmarkEnd w:id="3"/>
          </w:p>
        </w:tc>
        <w:tc>
          <w:tcPr>
            <w:tcW w:w="1176"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方正黑体_GBK" w:cs="宋体"/>
                <w:color w:val="0D0D0D" w:themeColor="text1" w:themeTint="F2"/>
                <w:kern w:val="0"/>
                <w:sz w:val="28"/>
                <w:szCs w:val="28"/>
                <w14:textFill>
                  <w14:solidFill>
                    <w14:schemeClr w14:val="tx1">
                      <w14:lumMod w14:val="95000"/>
                      <w14:lumOff w14:val="5000"/>
                    </w14:schemeClr>
                  </w14:solidFill>
                </w14:textFill>
              </w:rPr>
            </w:pPr>
          </w:p>
        </w:tc>
        <w:tc>
          <w:tcPr>
            <w:tcW w:w="1192"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134"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842"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134"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176"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176"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192"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276"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660" w:hRule="atLeast"/>
          <w:tblHeader/>
        </w:trPr>
        <w:tc>
          <w:tcPr>
            <w:tcW w:w="15593" w:type="dxa"/>
            <w:gridSpan w:val="12"/>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方正小标宋_GBK" w:cs="宋体"/>
                <w:color w:val="0D0D0D" w:themeColor="text1" w:themeTint="F2"/>
                <w:kern w:val="0"/>
                <w:sz w:val="36"/>
                <w:szCs w:val="36"/>
                <w14:textFill>
                  <w14:solidFill>
                    <w14:schemeClr w14:val="tx1">
                      <w14:lumMod w14:val="95000"/>
                      <w14:lumOff w14:val="5000"/>
                    </w14:schemeClr>
                  </w14:solidFill>
                </w14:textFill>
              </w:rPr>
            </w:pPr>
            <w:r>
              <w:rPr>
                <w:rFonts w:hint="eastAsia" w:eastAsia="方正小标宋_GBK" w:cs="宋体"/>
                <w:color w:val="0D0D0D" w:themeColor="text1" w:themeTint="F2"/>
                <w:kern w:val="0"/>
                <w:sz w:val="36"/>
                <w:szCs w:val="36"/>
                <w14:textFill>
                  <w14:solidFill>
                    <w14:schemeClr w14:val="tx1">
                      <w14:lumMod w14:val="95000"/>
                      <w14:lumOff w14:val="5000"/>
                    </w14:schemeClr>
                  </w14:solidFill>
                </w14:textFill>
              </w:rPr>
              <w:t>2022年政府性基金预算收支执行表</w:t>
            </w:r>
          </w:p>
        </w:tc>
      </w:tr>
      <w:tr>
        <w:tblPrEx>
          <w:tblCellMar>
            <w:top w:w="0" w:type="dxa"/>
            <w:left w:w="108" w:type="dxa"/>
            <w:bottom w:w="0" w:type="dxa"/>
            <w:right w:w="108" w:type="dxa"/>
          </w:tblCellMar>
        </w:tblPrEx>
        <w:trPr>
          <w:trHeight w:val="405" w:hRule="atLeast"/>
          <w:tblHeader/>
        </w:trPr>
        <w:tc>
          <w:tcPr>
            <w:tcW w:w="9639" w:type="dxa"/>
            <w:gridSpan w:val="7"/>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center"/>
              <w:rPr>
                <w:rFonts w:eastAsia="等线" w:cs="Times New Roman"/>
                <w:color w:val="0D0D0D" w:themeColor="text1" w:themeTint="F2"/>
                <w:kern w:val="0"/>
                <w:sz w:val="22"/>
                <w14:textFill>
                  <w14:solidFill>
                    <w14:schemeClr w14:val="tx1">
                      <w14:lumMod w14:val="95000"/>
                      <w14:lumOff w14:val="5000"/>
                    </w14:schemeClr>
                  </w14:solidFill>
                </w14:textFill>
              </w:rPr>
            </w:pPr>
          </w:p>
        </w:tc>
        <w:tc>
          <w:tcPr>
            <w:tcW w:w="1134"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等线" w:cs="Times New Roman"/>
                <w:color w:val="0D0D0D" w:themeColor="text1" w:themeTint="F2"/>
                <w:kern w:val="0"/>
                <w:sz w:val="22"/>
                <w14:textFill>
                  <w14:solidFill>
                    <w14:schemeClr w14:val="tx1">
                      <w14:lumMod w14:val="95000"/>
                      <w14:lumOff w14:val="5000"/>
                    </w14:schemeClr>
                  </w14:solidFill>
                </w14:textFill>
              </w:rPr>
            </w:pPr>
          </w:p>
        </w:tc>
        <w:tc>
          <w:tcPr>
            <w:tcW w:w="1176"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176"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2468" w:type="dxa"/>
            <w:gridSpan w:val="2"/>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cs="Times New Roman"/>
                <w:color w:val="0D0D0D" w:themeColor="text1" w:themeTint="F2"/>
                <w:kern w:val="0"/>
                <w:sz w:val="22"/>
                <w14:textFill>
                  <w14:solidFill>
                    <w14:schemeClr w14:val="tx1">
                      <w14:lumMod w14:val="95000"/>
                      <w14:lumOff w14:val="5000"/>
                    </w14:schemeClr>
                  </w14:solidFill>
                </w14:textFill>
              </w:rPr>
              <w:t>单位：万元</w:t>
            </w:r>
          </w:p>
        </w:tc>
      </w:tr>
      <w:tr>
        <w:tblPrEx>
          <w:tblCellMar>
            <w:top w:w="0" w:type="dxa"/>
            <w:left w:w="108" w:type="dxa"/>
            <w:bottom w:w="0" w:type="dxa"/>
            <w:right w:w="108" w:type="dxa"/>
          </w:tblCellMar>
        </w:tblPrEx>
        <w:trPr>
          <w:trHeight w:val="648" w:hRule="atLeast"/>
          <w:tblHeader/>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收   入</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年初预算</w:t>
            </w:r>
          </w:p>
        </w:tc>
        <w:tc>
          <w:tcPr>
            <w:tcW w:w="11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调整</w:t>
            </w:r>
          </w:p>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预算数</w:t>
            </w:r>
          </w:p>
        </w:tc>
        <w:tc>
          <w:tcPr>
            <w:tcW w:w="11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执行数</w:t>
            </w:r>
          </w:p>
        </w:tc>
        <w:tc>
          <w:tcPr>
            <w:tcW w:w="119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执行数为调整预算数%</w:t>
            </w: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执行数为上年年决算数的%</w:t>
            </w:r>
          </w:p>
        </w:tc>
        <w:tc>
          <w:tcPr>
            <w:tcW w:w="184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支   出</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年初</w:t>
            </w:r>
          </w:p>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预算</w:t>
            </w:r>
          </w:p>
        </w:tc>
        <w:tc>
          <w:tcPr>
            <w:tcW w:w="11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调整</w:t>
            </w:r>
          </w:p>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预算数</w:t>
            </w:r>
          </w:p>
        </w:tc>
        <w:tc>
          <w:tcPr>
            <w:tcW w:w="11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执行数</w:t>
            </w:r>
          </w:p>
        </w:tc>
        <w:tc>
          <w:tcPr>
            <w:tcW w:w="119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执行数为调整预算数%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执行数为上年年决算数的%</w:t>
            </w:r>
          </w:p>
        </w:tc>
      </w:tr>
      <w:tr>
        <w:tblPrEx>
          <w:tblCellMar>
            <w:top w:w="0" w:type="dxa"/>
            <w:left w:w="108" w:type="dxa"/>
            <w:bottom w:w="0" w:type="dxa"/>
            <w:right w:w="108" w:type="dxa"/>
          </w:tblCellMar>
        </w:tblPrEx>
        <w:trPr>
          <w:trHeight w:val="405" w:hRule="atLeast"/>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b/>
                <w:bCs/>
                <w:color w:val="0D0D0D" w:themeColor="text1" w:themeTint="F2"/>
                <w:kern w:val="0"/>
                <w:sz w:val="24"/>
                <w:szCs w:val="24"/>
                <w14:textFill>
                  <w14:solidFill>
                    <w14:schemeClr w14:val="tx1">
                      <w14:lumMod w14:val="95000"/>
                      <w14:lumOff w14:val="5000"/>
                    </w14:schemeClr>
                  </w14:solidFill>
                </w14:textFill>
              </w:rPr>
              <w:t>总计</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931,117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2,518,634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2,605,207 </w:t>
            </w:r>
          </w:p>
        </w:tc>
        <w:tc>
          <w:tcPr>
            <w:tcW w:w="11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103.4 </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152.7 </w:t>
            </w:r>
          </w:p>
        </w:tc>
        <w:tc>
          <w:tcPr>
            <w:tcW w:w="184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b/>
                <w:bCs/>
                <w:color w:val="0D0D0D" w:themeColor="text1" w:themeTint="F2"/>
                <w:kern w:val="0"/>
                <w:sz w:val="24"/>
                <w:szCs w:val="24"/>
                <w14:textFill>
                  <w14:solidFill>
                    <w14:schemeClr w14:val="tx1">
                      <w14:lumMod w14:val="95000"/>
                      <w14:lumOff w14:val="5000"/>
                    </w14:schemeClr>
                  </w14:solidFill>
                </w14:textFill>
              </w:rPr>
              <w:t>总计</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931,117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2,518,634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2,605,207 </w:t>
            </w:r>
          </w:p>
        </w:tc>
        <w:tc>
          <w:tcPr>
            <w:tcW w:w="11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103.4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152.7 </w:t>
            </w:r>
          </w:p>
        </w:tc>
      </w:tr>
      <w:tr>
        <w:tblPrEx>
          <w:tblCellMar>
            <w:top w:w="0" w:type="dxa"/>
            <w:left w:w="108" w:type="dxa"/>
            <w:bottom w:w="0" w:type="dxa"/>
            <w:right w:w="108" w:type="dxa"/>
          </w:tblCellMar>
        </w:tblPrEx>
        <w:trPr>
          <w:trHeight w:val="840" w:hRule="atLeast"/>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b/>
                <w:bCs/>
                <w:color w:val="0D0D0D" w:themeColor="text1" w:themeTint="F2"/>
                <w:kern w:val="0"/>
                <w:sz w:val="24"/>
                <w:szCs w:val="24"/>
                <w14:textFill>
                  <w14:solidFill>
                    <w14:schemeClr w14:val="tx1">
                      <w14:lumMod w14:val="95000"/>
                      <w14:lumOff w14:val="5000"/>
                    </w14:schemeClr>
                  </w14:solidFill>
                </w14:textFill>
              </w:rPr>
              <w:t>本级收入合计</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84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b/>
                <w:bCs/>
                <w:color w:val="0D0D0D" w:themeColor="text1" w:themeTint="F2"/>
                <w:kern w:val="0"/>
                <w:sz w:val="24"/>
                <w:szCs w:val="24"/>
                <w14:textFill>
                  <w14:solidFill>
                    <w14:schemeClr w14:val="tx1">
                      <w14:lumMod w14:val="95000"/>
                      <w14:lumOff w14:val="5000"/>
                    </w14:schemeClr>
                  </w14:solidFill>
                </w14:textFill>
              </w:rPr>
              <w:t>本级支出合计</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709,964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2,351,112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2,278,011 </w:t>
            </w:r>
          </w:p>
        </w:tc>
        <w:tc>
          <w:tcPr>
            <w:tcW w:w="11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96.9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156.0 </w:t>
            </w:r>
          </w:p>
        </w:tc>
      </w:tr>
      <w:tr>
        <w:tblPrEx>
          <w:tblCellMar>
            <w:top w:w="0" w:type="dxa"/>
            <w:left w:w="108" w:type="dxa"/>
            <w:bottom w:w="0" w:type="dxa"/>
            <w:right w:w="108" w:type="dxa"/>
          </w:tblCellMar>
        </w:tblPrEx>
        <w:trPr>
          <w:trHeight w:val="690" w:hRule="atLeast"/>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84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一、文化旅游体育与传媒</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690" w:hRule="atLeast"/>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84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二、社会保障和就业支出</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3 </w:t>
            </w:r>
          </w:p>
        </w:tc>
        <w:tc>
          <w:tcPr>
            <w:tcW w:w="117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3 </w:t>
            </w:r>
          </w:p>
        </w:tc>
        <w:tc>
          <w:tcPr>
            <w:tcW w:w="117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3 </w:t>
            </w:r>
          </w:p>
        </w:tc>
        <w:tc>
          <w:tcPr>
            <w:tcW w:w="11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100.0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60.0 </w:t>
            </w:r>
          </w:p>
        </w:tc>
      </w:tr>
      <w:tr>
        <w:tblPrEx>
          <w:tblCellMar>
            <w:top w:w="0" w:type="dxa"/>
            <w:left w:w="108" w:type="dxa"/>
            <w:bottom w:w="0" w:type="dxa"/>
            <w:right w:w="108" w:type="dxa"/>
          </w:tblCellMar>
        </w:tblPrEx>
        <w:trPr>
          <w:trHeight w:val="558" w:hRule="atLeast"/>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84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三、城乡社区支出</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627,375 </w:t>
            </w:r>
          </w:p>
        </w:tc>
        <w:tc>
          <w:tcPr>
            <w:tcW w:w="117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875,423 </w:t>
            </w:r>
          </w:p>
        </w:tc>
        <w:tc>
          <w:tcPr>
            <w:tcW w:w="117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803,902 </w:t>
            </w:r>
          </w:p>
        </w:tc>
        <w:tc>
          <w:tcPr>
            <w:tcW w:w="11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91.8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242.6 </w:t>
            </w:r>
          </w:p>
        </w:tc>
      </w:tr>
      <w:tr>
        <w:tblPrEx>
          <w:tblCellMar>
            <w:top w:w="0" w:type="dxa"/>
            <w:left w:w="108" w:type="dxa"/>
            <w:bottom w:w="0" w:type="dxa"/>
            <w:right w:w="108" w:type="dxa"/>
          </w:tblCellMar>
        </w:tblPrEx>
        <w:trPr>
          <w:trHeight w:val="558" w:hRule="atLeast"/>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84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四、农林水支出</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13 </w:t>
            </w:r>
          </w:p>
        </w:tc>
        <w:tc>
          <w:tcPr>
            <w:tcW w:w="117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13 </w:t>
            </w:r>
          </w:p>
        </w:tc>
        <w:tc>
          <w:tcPr>
            <w:tcW w:w="117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2 </w:t>
            </w:r>
          </w:p>
        </w:tc>
        <w:tc>
          <w:tcPr>
            <w:tcW w:w="11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15.4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22.2 </w:t>
            </w:r>
          </w:p>
        </w:tc>
      </w:tr>
      <w:tr>
        <w:tblPrEx>
          <w:tblCellMar>
            <w:top w:w="0" w:type="dxa"/>
            <w:left w:w="108" w:type="dxa"/>
            <w:bottom w:w="0" w:type="dxa"/>
            <w:right w:w="108" w:type="dxa"/>
          </w:tblCellMar>
        </w:tblPrEx>
        <w:trPr>
          <w:trHeight w:val="558" w:hRule="atLeast"/>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84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五、其他支出</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5,573 </w:t>
            </w:r>
          </w:p>
        </w:tc>
        <w:tc>
          <w:tcPr>
            <w:tcW w:w="117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1,392,713 </w:t>
            </w:r>
          </w:p>
        </w:tc>
        <w:tc>
          <w:tcPr>
            <w:tcW w:w="117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1,391,140 </w:t>
            </w:r>
          </w:p>
        </w:tc>
        <w:tc>
          <w:tcPr>
            <w:tcW w:w="11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99.9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130.3 </w:t>
            </w:r>
          </w:p>
        </w:tc>
      </w:tr>
      <w:tr>
        <w:tblPrEx>
          <w:tblCellMar>
            <w:top w:w="0" w:type="dxa"/>
            <w:left w:w="108" w:type="dxa"/>
            <w:bottom w:w="0" w:type="dxa"/>
            <w:right w:w="108" w:type="dxa"/>
          </w:tblCellMar>
        </w:tblPrEx>
        <w:trPr>
          <w:trHeight w:val="558" w:hRule="atLeast"/>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84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六、债务付息支出</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77,000 </w:t>
            </w:r>
          </w:p>
        </w:tc>
        <w:tc>
          <w:tcPr>
            <w:tcW w:w="117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82,960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82,960 </w:t>
            </w:r>
          </w:p>
        </w:tc>
        <w:tc>
          <w:tcPr>
            <w:tcW w:w="11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100.0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325.9 </w:t>
            </w:r>
          </w:p>
        </w:tc>
      </w:tr>
      <w:tr>
        <w:tblPrEx>
          <w:tblCellMar>
            <w:top w:w="0" w:type="dxa"/>
            <w:left w:w="108" w:type="dxa"/>
            <w:bottom w:w="0" w:type="dxa"/>
            <w:right w:w="108" w:type="dxa"/>
          </w:tblCellMar>
        </w:tblPrEx>
        <w:trPr>
          <w:trHeight w:val="558" w:hRule="atLeast"/>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84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七、债务发行费用支出</w:t>
            </w:r>
          </w:p>
        </w:tc>
        <w:tc>
          <w:tcPr>
            <w:tcW w:w="1134"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7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4 </w:t>
            </w:r>
          </w:p>
        </w:tc>
        <w:tc>
          <w:tcPr>
            <w:tcW w:w="11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400.0 </w:t>
            </w:r>
          </w:p>
        </w:tc>
      </w:tr>
      <w:tr>
        <w:tblPrEx>
          <w:tblCellMar>
            <w:top w:w="0" w:type="dxa"/>
            <w:left w:w="108" w:type="dxa"/>
            <w:bottom w:w="0" w:type="dxa"/>
            <w:right w:w="108" w:type="dxa"/>
          </w:tblCellMar>
        </w:tblPrEx>
        <w:trPr>
          <w:trHeight w:val="348" w:hRule="atLeast"/>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b/>
                <w:bCs/>
                <w:color w:val="0D0D0D" w:themeColor="text1" w:themeTint="F2"/>
                <w:kern w:val="0"/>
                <w:sz w:val="24"/>
                <w:szCs w:val="24"/>
                <w14:textFill>
                  <w14:solidFill>
                    <w14:schemeClr w14:val="tx1">
                      <w14:lumMod w14:val="95000"/>
                      <w14:lumOff w14:val="5000"/>
                    </w14:schemeClr>
                  </w14:solidFill>
                </w14:textFill>
              </w:rPr>
              <w:t>转移性收入合计</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931,117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2,518,634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2,605,207 </w:t>
            </w:r>
          </w:p>
        </w:tc>
        <w:tc>
          <w:tcPr>
            <w:tcW w:w="11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103.4 </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152.7 </w:t>
            </w:r>
          </w:p>
        </w:tc>
        <w:tc>
          <w:tcPr>
            <w:tcW w:w="184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b/>
                <w:bCs/>
                <w:color w:val="0D0D0D" w:themeColor="text1" w:themeTint="F2"/>
                <w:kern w:val="0"/>
                <w:sz w:val="24"/>
                <w:szCs w:val="24"/>
                <w14:textFill>
                  <w14:solidFill>
                    <w14:schemeClr w14:val="tx1">
                      <w14:lumMod w14:val="95000"/>
                      <w14:lumOff w14:val="5000"/>
                    </w14:schemeClr>
                  </w14:solidFill>
                </w14:textFill>
              </w:rPr>
              <w:t>转移性支出合计</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221,153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167,522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327,196 </w:t>
            </w:r>
          </w:p>
        </w:tc>
        <w:tc>
          <w:tcPr>
            <w:tcW w:w="11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195.3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133.3 </w:t>
            </w:r>
          </w:p>
        </w:tc>
      </w:tr>
      <w:tr>
        <w:tblPrEx>
          <w:tblCellMar>
            <w:top w:w="0" w:type="dxa"/>
            <w:left w:w="108" w:type="dxa"/>
            <w:bottom w:w="0" w:type="dxa"/>
            <w:right w:w="108" w:type="dxa"/>
          </w:tblCellMar>
        </w:tblPrEx>
        <w:trPr>
          <w:trHeight w:val="558" w:hRule="atLeast"/>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一、上级补助收入</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801,319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1,001,836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1,088,409 </w:t>
            </w:r>
          </w:p>
        </w:tc>
        <w:tc>
          <w:tcPr>
            <w:tcW w:w="11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108.6 </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205.1 </w:t>
            </w:r>
          </w:p>
        </w:tc>
        <w:tc>
          <w:tcPr>
            <w:tcW w:w="184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一、上解上级支出</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1,473</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1,473</w:t>
            </w:r>
          </w:p>
        </w:tc>
        <w:tc>
          <w:tcPr>
            <w:tcW w:w="11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100.0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134.4 </w:t>
            </w:r>
          </w:p>
        </w:tc>
      </w:tr>
      <w:tr>
        <w:tblPrEx>
          <w:tblCellMar>
            <w:top w:w="0" w:type="dxa"/>
            <w:left w:w="108" w:type="dxa"/>
            <w:bottom w:w="0" w:type="dxa"/>
            <w:right w:w="108" w:type="dxa"/>
          </w:tblCellMar>
        </w:tblPrEx>
        <w:trPr>
          <w:trHeight w:val="558" w:hRule="atLeast"/>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二、债务转贷收入</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1,387,000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1,387,000 </w:t>
            </w:r>
          </w:p>
        </w:tc>
        <w:tc>
          <w:tcPr>
            <w:tcW w:w="11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100.0 </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129.6 </w:t>
            </w:r>
          </w:p>
        </w:tc>
        <w:tc>
          <w:tcPr>
            <w:tcW w:w="184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二、调出资金</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221,153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166,049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166,049 </w:t>
            </w:r>
          </w:p>
        </w:tc>
        <w:tc>
          <w:tcPr>
            <w:tcW w:w="11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100.0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145.0 </w:t>
            </w:r>
          </w:p>
        </w:tc>
      </w:tr>
      <w:tr>
        <w:tblPrEx>
          <w:tblCellMar>
            <w:top w:w="0" w:type="dxa"/>
            <w:left w:w="108" w:type="dxa"/>
            <w:bottom w:w="0" w:type="dxa"/>
            <w:right w:w="108" w:type="dxa"/>
          </w:tblCellMar>
        </w:tblPrEx>
        <w:trPr>
          <w:trHeight w:val="558" w:hRule="atLeast"/>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三、上年结转</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129,798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129,798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129,798 </w:t>
            </w:r>
          </w:p>
        </w:tc>
        <w:tc>
          <w:tcPr>
            <w:tcW w:w="11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100.0 </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123.8 </w:t>
            </w:r>
          </w:p>
        </w:tc>
        <w:tc>
          <w:tcPr>
            <w:tcW w:w="184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三、结转下年</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1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159,674 </w:t>
            </w:r>
          </w:p>
        </w:tc>
        <w:tc>
          <w:tcPr>
            <w:tcW w:w="11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123.0 </w:t>
            </w:r>
          </w:p>
        </w:tc>
      </w:tr>
      <w:tr>
        <w:tblPrEx>
          <w:tblCellMar>
            <w:top w:w="0" w:type="dxa"/>
            <w:left w:w="108" w:type="dxa"/>
            <w:bottom w:w="0" w:type="dxa"/>
            <w:right w:w="108" w:type="dxa"/>
          </w:tblCellMar>
        </w:tblPrEx>
        <w:trPr>
          <w:trHeight w:val="996" w:hRule="atLeast"/>
        </w:trPr>
        <w:tc>
          <w:tcPr>
            <w:tcW w:w="14317" w:type="dxa"/>
            <w:gridSpan w:val="11"/>
            <w:tcBorders>
              <w:top w:val="nil"/>
              <w:left w:val="nil"/>
              <w:bottom w:val="nil"/>
              <w:right w:val="nil"/>
            </w:tcBorders>
            <w:shd w:val="clear" w:color="000000" w:fill="FFFFFF"/>
            <w:vAlign w:val="center"/>
          </w:tcPr>
          <w:p>
            <w:pPr>
              <w:widowControl/>
              <w:adjustRightInd w:val="0"/>
              <w:snapToGrid w:val="0"/>
              <w:spacing w:line="240" w:lineRule="auto"/>
              <w:ind w:firstLine="0" w:firstLineChars="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注：1.本表直观反映2022年政府性基金预算收入与支出的平衡关系。</w:t>
            </w:r>
          </w:p>
          <w:p>
            <w:pPr>
              <w:widowControl/>
              <w:adjustRightInd w:val="0"/>
              <w:snapToGrid w:val="0"/>
              <w:spacing w:line="240" w:lineRule="auto"/>
              <w:ind w:firstLine="0" w:firstLineChars="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2.收入总计（本级收入合计+转移性收入合计）=支出总计（本级支出合计+转移性支出合计）。</w:t>
            </w:r>
          </w:p>
          <w:p>
            <w:pPr>
              <w:widowControl/>
              <w:adjustRightInd w:val="0"/>
              <w:snapToGrid w:val="0"/>
              <w:spacing w:line="240" w:lineRule="auto"/>
              <w:ind w:firstLine="0" w:firstLineChars="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3.按照我市市级对区县的财政体制，本年与上年无区级政府性基金预算收入，政府性基金收入均为上级补助收入。</w:t>
            </w:r>
          </w:p>
        </w:tc>
        <w:tc>
          <w:tcPr>
            <w:tcW w:w="1276" w:type="dxa"/>
            <w:tcBorders>
              <w:top w:val="nil"/>
              <w:left w:val="nil"/>
              <w:bottom w:val="nil"/>
              <w:right w:val="nil"/>
            </w:tcBorders>
            <w:shd w:val="clear" w:color="auto" w:fill="auto"/>
            <w:noWrap/>
            <w:vAlign w:val="bottom"/>
          </w:tcPr>
          <w:p>
            <w:pPr>
              <w:widowControl/>
              <w:adjustRightInd w:val="0"/>
              <w:snapToGrid w:val="0"/>
              <w:spacing w:line="240" w:lineRule="auto"/>
              <w:ind w:firstLine="0" w:firstLineChars="0"/>
              <w:jc w:val="left"/>
              <w:rPr>
                <w:rFonts w:cs="宋体"/>
                <w:color w:val="0D0D0D" w:themeColor="text1" w:themeTint="F2"/>
                <w:kern w:val="0"/>
                <w:sz w:val="24"/>
                <w:szCs w:val="24"/>
                <w14:textFill>
                  <w14:solidFill>
                    <w14:schemeClr w14:val="tx1">
                      <w14:lumMod w14:val="95000"/>
                      <w14:lumOff w14:val="5000"/>
                    </w14:schemeClr>
                  </w14:solidFill>
                </w14:textFill>
              </w:rPr>
            </w:pPr>
          </w:p>
        </w:tc>
      </w:tr>
    </w:tbl>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sectPr>
          <w:pgSz w:w="16838" w:h="11906" w:orient="landscape"/>
          <w:pgMar w:top="1531" w:right="2098" w:bottom="1531" w:left="1985" w:header="851" w:footer="1417" w:gutter="0"/>
          <w:cols w:space="425" w:num="1"/>
          <w:docGrid w:type="lines" w:linePitch="435" w:charSpace="0"/>
        </w:sectPr>
      </w:pPr>
      <w:r>
        <w:rPr>
          <w:rFonts w:eastAsia="方正楷体_GBK"/>
          <w:bCs/>
          <w:color w:val="0D0D0D" w:themeColor="text1" w:themeTint="F2"/>
          <w:kern w:val="44"/>
          <w:szCs w:val="44"/>
          <w14:textFill>
            <w14:solidFill>
              <w14:schemeClr w14:val="tx1">
                <w14:lumMod w14:val="95000"/>
                <w14:lumOff w14:val="5000"/>
              </w14:schemeClr>
            </w14:solidFill>
          </w14:textFill>
        </w:rPr>
        <w:br w:type="page"/>
      </w:r>
    </w:p>
    <w:p>
      <w:pPr>
        <w:widowControl/>
        <w:spacing w:line="240" w:lineRule="auto"/>
        <w:ind w:firstLine="0" w:firstLineChars="0"/>
        <w:rPr>
          <w:rFonts w:eastAsia="方正黑体_GBK"/>
          <w:bCs/>
          <w:color w:val="0D0D0D" w:themeColor="text1" w:themeTint="F2"/>
          <w:kern w:val="44"/>
          <w:szCs w:val="44"/>
          <w14:textFill>
            <w14:solidFill>
              <w14:schemeClr w14:val="tx1">
                <w14:lumMod w14:val="95000"/>
                <w14:lumOff w14:val="5000"/>
              </w14:schemeClr>
            </w14:solidFill>
          </w14:textFill>
        </w:rPr>
      </w:pPr>
      <w:r>
        <w:rPr>
          <w:rFonts w:hint="eastAsia" w:eastAsia="方正黑体_GBK"/>
          <w:bCs/>
          <w:color w:val="0D0D0D" w:themeColor="text1" w:themeTint="F2"/>
          <w:kern w:val="44"/>
          <w:szCs w:val="44"/>
          <w14:textFill>
            <w14:solidFill>
              <w14:schemeClr w14:val="tx1">
                <w14:lumMod w14:val="95000"/>
                <w14:lumOff w14:val="5000"/>
              </w14:schemeClr>
            </w14:solidFill>
          </w14:textFill>
        </w:rPr>
        <w:t>表5</w:t>
      </w:r>
    </w:p>
    <w:tbl>
      <w:tblPr>
        <w:tblStyle w:val="7"/>
        <w:tblW w:w="8820" w:type="dxa"/>
        <w:tblInd w:w="0" w:type="dxa"/>
        <w:tblLayout w:type="autofit"/>
        <w:tblCellMar>
          <w:top w:w="0" w:type="dxa"/>
          <w:left w:w="108" w:type="dxa"/>
          <w:bottom w:w="0" w:type="dxa"/>
          <w:right w:w="108" w:type="dxa"/>
        </w:tblCellMar>
      </w:tblPr>
      <w:tblGrid>
        <w:gridCol w:w="7488"/>
        <w:gridCol w:w="1332"/>
      </w:tblGrid>
      <w:tr>
        <w:tblPrEx>
          <w:tblCellMar>
            <w:top w:w="0" w:type="dxa"/>
            <w:left w:w="108" w:type="dxa"/>
            <w:bottom w:w="0" w:type="dxa"/>
            <w:right w:w="108" w:type="dxa"/>
          </w:tblCellMar>
        </w:tblPrEx>
        <w:trPr>
          <w:trHeight w:val="480" w:hRule="atLeast"/>
          <w:tblHeader/>
        </w:trPr>
        <w:tc>
          <w:tcPr>
            <w:tcW w:w="8820" w:type="dxa"/>
            <w:gridSpan w:val="2"/>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方正小标宋_GBK" w:cs="宋体"/>
                <w:color w:val="0D0D0D" w:themeColor="text1" w:themeTint="F2"/>
                <w:kern w:val="0"/>
                <w:sz w:val="36"/>
                <w:szCs w:val="36"/>
                <w14:textFill>
                  <w14:solidFill>
                    <w14:schemeClr w14:val="tx1">
                      <w14:lumMod w14:val="95000"/>
                      <w14:lumOff w14:val="5000"/>
                    </w14:schemeClr>
                  </w14:solidFill>
                </w14:textFill>
              </w:rPr>
            </w:pPr>
            <w:r>
              <w:rPr>
                <w:rFonts w:hint="eastAsia" w:eastAsia="方正小标宋_GBK" w:cs="宋体"/>
                <w:color w:val="0D0D0D" w:themeColor="text1" w:themeTint="F2"/>
                <w:kern w:val="0"/>
                <w:sz w:val="36"/>
                <w:szCs w:val="36"/>
                <w14:textFill>
                  <w14:solidFill>
                    <w14:schemeClr w14:val="tx1">
                      <w14:lumMod w14:val="95000"/>
                      <w14:lumOff w14:val="5000"/>
                    </w14:schemeClr>
                  </w14:solidFill>
                </w14:textFill>
              </w:rPr>
              <w:t>2022年政府性基金预算支出执行表</w:t>
            </w:r>
          </w:p>
        </w:tc>
      </w:tr>
      <w:tr>
        <w:tblPrEx>
          <w:tblCellMar>
            <w:top w:w="0" w:type="dxa"/>
            <w:left w:w="108" w:type="dxa"/>
            <w:bottom w:w="0" w:type="dxa"/>
            <w:right w:w="108" w:type="dxa"/>
          </w:tblCellMar>
        </w:tblPrEx>
        <w:trPr>
          <w:trHeight w:val="330" w:hRule="atLeast"/>
          <w:tblHeader/>
        </w:trPr>
        <w:tc>
          <w:tcPr>
            <w:tcW w:w="8820" w:type="dxa"/>
            <w:gridSpan w:val="2"/>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方正楷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楷体_GBK" w:cs="宋体"/>
                <w:color w:val="0D0D0D" w:themeColor="text1" w:themeTint="F2"/>
                <w:kern w:val="0"/>
                <w:sz w:val="28"/>
                <w:szCs w:val="28"/>
                <w14:textFill>
                  <w14:solidFill>
                    <w14:schemeClr w14:val="tx1">
                      <w14:lumMod w14:val="95000"/>
                      <w14:lumOff w14:val="5000"/>
                    </w14:schemeClr>
                  </w14:solidFill>
                </w14:textFill>
              </w:rPr>
              <w:t>（支出功能分类科目）</w:t>
            </w:r>
          </w:p>
        </w:tc>
      </w:tr>
      <w:tr>
        <w:tblPrEx>
          <w:tblCellMar>
            <w:top w:w="0" w:type="dxa"/>
            <w:left w:w="108" w:type="dxa"/>
            <w:bottom w:w="0" w:type="dxa"/>
            <w:right w:w="108" w:type="dxa"/>
          </w:tblCellMar>
        </w:tblPrEx>
        <w:trPr>
          <w:trHeight w:val="276" w:hRule="atLeast"/>
          <w:tblHeader/>
        </w:trPr>
        <w:tc>
          <w:tcPr>
            <w:tcW w:w="8820" w:type="dxa"/>
            <w:gridSpan w:val="2"/>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right"/>
              <w:rPr>
                <w:rFonts w:eastAsia="等线" w:cs="宋体"/>
                <w:color w:val="0D0D0D" w:themeColor="text1" w:themeTint="F2"/>
                <w:kern w:val="0"/>
                <w:sz w:val="22"/>
                <w14:textFill>
                  <w14:solidFill>
                    <w14:schemeClr w14:val="tx1">
                      <w14:lumMod w14:val="95000"/>
                      <w14:lumOff w14:val="5000"/>
                    </w14:schemeClr>
                  </w14:solidFill>
                </w14:textFill>
              </w:rPr>
            </w:pPr>
            <w:r>
              <w:rPr>
                <w:rFonts w:hint="eastAsia" w:eastAsia="等线" w:cs="宋体"/>
                <w:color w:val="0D0D0D" w:themeColor="text1" w:themeTint="F2"/>
                <w:kern w:val="0"/>
                <w:sz w:val="22"/>
                <w14:textFill>
                  <w14:solidFill>
                    <w14:schemeClr w14:val="tx1">
                      <w14:lumMod w14:val="95000"/>
                      <w14:lumOff w14:val="5000"/>
                    </w14:schemeClr>
                  </w14:solidFill>
                </w14:textFill>
              </w:rPr>
              <w:t>单位：万元</w:t>
            </w:r>
          </w:p>
        </w:tc>
      </w:tr>
      <w:tr>
        <w:tblPrEx>
          <w:tblCellMar>
            <w:top w:w="0" w:type="dxa"/>
            <w:left w:w="108" w:type="dxa"/>
            <w:bottom w:w="0" w:type="dxa"/>
            <w:right w:w="108" w:type="dxa"/>
          </w:tblCellMar>
        </w:tblPrEx>
        <w:trPr>
          <w:trHeight w:val="360" w:hRule="atLeast"/>
          <w:tblHeader/>
        </w:trPr>
        <w:tc>
          <w:tcPr>
            <w:tcW w:w="748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支        出</w:t>
            </w:r>
          </w:p>
        </w:tc>
        <w:tc>
          <w:tcPr>
            <w:tcW w:w="133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执行数</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b/>
                <w:bCs/>
                <w:color w:val="0D0D0D" w:themeColor="text1" w:themeTint="F2"/>
                <w:kern w:val="0"/>
                <w:sz w:val="20"/>
                <w:szCs w:val="20"/>
                <w14:textFill>
                  <w14:solidFill>
                    <w14:schemeClr w14:val="tx1">
                      <w14:lumMod w14:val="95000"/>
                      <w14:lumOff w14:val="5000"/>
                    </w14:schemeClr>
                  </w14:solidFill>
                </w14:textFill>
              </w:rPr>
              <w:t>政府性基金预算支出合计</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2,278,011</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b/>
                <w:bCs/>
                <w:color w:val="0D0D0D" w:themeColor="text1" w:themeTint="F2"/>
                <w:kern w:val="0"/>
                <w:sz w:val="20"/>
                <w:szCs w:val="20"/>
                <w14:textFill>
                  <w14:solidFill>
                    <w14:schemeClr w14:val="tx1">
                      <w14:lumMod w14:val="95000"/>
                      <w14:lumOff w14:val="5000"/>
                    </w14:schemeClr>
                  </w14:solidFill>
                </w14:textFill>
              </w:rPr>
              <w:t xml:space="preserve">  社会保障和就业支出</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3</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b/>
                <w:bCs/>
                <w:color w:val="0D0D0D" w:themeColor="text1" w:themeTint="F2"/>
                <w:kern w:val="0"/>
                <w:sz w:val="20"/>
                <w:szCs w:val="20"/>
                <w14:textFill>
                  <w14:solidFill>
                    <w14:schemeClr w14:val="tx1">
                      <w14:lumMod w14:val="95000"/>
                      <w14:lumOff w14:val="5000"/>
                    </w14:schemeClr>
                  </w14:solidFill>
                </w14:textFill>
              </w:rPr>
              <w:t xml:space="preserve">    大中型水库移民后期扶持基金支出</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3</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 xml:space="preserve">      移民补助</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3</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b/>
                <w:bCs/>
                <w:color w:val="0D0D0D" w:themeColor="text1" w:themeTint="F2"/>
                <w:kern w:val="0"/>
                <w:sz w:val="20"/>
                <w:szCs w:val="20"/>
                <w14:textFill>
                  <w14:solidFill>
                    <w14:schemeClr w14:val="tx1">
                      <w14:lumMod w14:val="95000"/>
                      <w14:lumOff w14:val="5000"/>
                    </w14:schemeClr>
                  </w14:solidFill>
                </w14:textFill>
              </w:rPr>
              <w:t xml:space="preserve">  城乡社区支出</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803,902</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b/>
                <w:bCs/>
                <w:color w:val="0D0D0D" w:themeColor="text1" w:themeTint="F2"/>
                <w:kern w:val="0"/>
                <w:sz w:val="20"/>
                <w:szCs w:val="20"/>
                <w14:textFill>
                  <w14:solidFill>
                    <w14:schemeClr w14:val="tx1">
                      <w14:lumMod w14:val="95000"/>
                      <w14:lumOff w14:val="5000"/>
                    </w14:schemeClr>
                  </w14:solidFill>
                </w14:textFill>
              </w:rPr>
              <w:t xml:space="preserve">    国有土地使用权出让收入安排的支出</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802,128</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 xml:space="preserve">      征地和拆迁补偿支出</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730,279</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 xml:space="preserve">      土地开发支出</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34,409</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 xml:space="preserve">      农村基础设施建设支出</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36,629</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 xml:space="preserve">      其他国有土地使用权出让收入安排的支出</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811</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b/>
                <w:bCs/>
                <w:color w:val="0D0D0D" w:themeColor="text1" w:themeTint="F2"/>
                <w:kern w:val="0"/>
                <w:sz w:val="20"/>
                <w:szCs w:val="20"/>
                <w14:textFill>
                  <w14:solidFill>
                    <w14:schemeClr w14:val="tx1">
                      <w14:lumMod w14:val="95000"/>
                      <w14:lumOff w14:val="5000"/>
                    </w14:schemeClr>
                  </w14:solidFill>
                </w14:textFill>
              </w:rPr>
              <w:t xml:space="preserve">    国有土地收益基金安排的支出</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2</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 xml:space="preserve">      其他国有土地收益基金支出</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2</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b/>
                <w:bCs/>
                <w:color w:val="0D0D0D" w:themeColor="text1" w:themeTint="F2"/>
                <w:kern w:val="0"/>
                <w:sz w:val="20"/>
                <w:szCs w:val="20"/>
                <w14:textFill>
                  <w14:solidFill>
                    <w14:schemeClr w14:val="tx1">
                      <w14:lumMod w14:val="95000"/>
                      <w14:lumOff w14:val="5000"/>
                    </w14:schemeClr>
                  </w14:solidFill>
                </w14:textFill>
              </w:rPr>
              <w:t xml:space="preserve">    城市基础设施配套费安排的支出</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1,772</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 xml:space="preserve">      城市公共设施</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1,463</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 xml:space="preserve">      其他城市基础设施配套费安排的支出</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309</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b/>
                <w:bCs/>
                <w:color w:val="0D0D0D" w:themeColor="text1" w:themeTint="F2"/>
                <w:kern w:val="0"/>
                <w:sz w:val="20"/>
                <w:szCs w:val="20"/>
                <w14:textFill>
                  <w14:solidFill>
                    <w14:schemeClr w14:val="tx1">
                      <w14:lumMod w14:val="95000"/>
                      <w14:lumOff w14:val="5000"/>
                    </w14:schemeClr>
                  </w14:solidFill>
                </w14:textFill>
              </w:rPr>
              <w:t xml:space="preserve">  农林水支出</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2</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b/>
                <w:bCs/>
                <w:color w:val="0D0D0D" w:themeColor="text1" w:themeTint="F2"/>
                <w:kern w:val="0"/>
                <w:sz w:val="20"/>
                <w:szCs w:val="20"/>
                <w14:textFill>
                  <w14:solidFill>
                    <w14:schemeClr w14:val="tx1">
                      <w14:lumMod w14:val="95000"/>
                      <w14:lumOff w14:val="5000"/>
                    </w14:schemeClr>
                  </w14:solidFill>
                </w14:textFill>
              </w:rPr>
              <w:t xml:space="preserve">    三峡水库库区基金支出</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2</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 xml:space="preserve">      解决移民遗留问题</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2</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b/>
                <w:bCs/>
                <w:color w:val="0D0D0D" w:themeColor="text1" w:themeTint="F2"/>
                <w:kern w:val="0"/>
                <w:sz w:val="20"/>
                <w:szCs w:val="20"/>
                <w14:textFill>
                  <w14:solidFill>
                    <w14:schemeClr w14:val="tx1">
                      <w14:lumMod w14:val="95000"/>
                      <w14:lumOff w14:val="5000"/>
                    </w14:schemeClr>
                  </w14:solidFill>
                </w14:textFill>
              </w:rPr>
              <w:t xml:space="preserve">  其他支出</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1,391,140</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b/>
                <w:bCs/>
                <w:color w:val="0D0D0D" w:themeColor="text1" w:themeTint="F2"/>
                <w:kern w:val="0"/>
                <w:sz w:val="20"/>
                <w:szCs w:val="20"/>
                <w14:textFill>
                  <w14:solidFill>
                    <w14:schemeClr w14:val="tx1">
                      <w14:lumMod w14:val="95000"/>
                      <w14:lumOff w14:val="5000"/>
                    </w14:schemeClr>
                  </w14:solidFill>
                </w14:textFill>
              </w:rPr>
              <w:t xml:space="preserve">    其他政府性基金及对应专项债务收入安排的支出</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1,390,294</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 xml:space="preserve">      其他地方自行试点项目收益专项债券收入安排的支出</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1,390,294</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b/>
                <w:bCs/>
                <w:color w:val="0D0D0D" w:themeColor="text1" w:themeTint="F2"/>
                <w:kern w:val="0"/>
                <w:sz w:val="20"/>
                <w:szCs w:val="20"/>
                <w14:textFill>
                  <w14:solidFill>
                    <w14:schemeClr w14:val="tx1">
                      <w14:lumMod w14:val="95000"/>
                      <w14:lumOff w14:val="5000"/>
                    </w14:schemeClr>
                  </w14:solidFill>
                </w14:textFill>
              </w:rPr>
              <w:t xml:space="preserve">    彩票公益金安排的支出</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846</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 xml:space="preserve">      用于社会福利的彩票公益金支出</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4</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 xml:space="preserve">      用于体育事业的彩票公益金支出</w:t>
            </w:r>
          </w:p>
        </w:tc>
        <w:tc>
          <w:tcPr>
            <w:tcW w:w="1332" w:type="dxa"/>
            <w:tcBorders>
              <w:top w:val="nil"/>
              <w:left w:val="single" w:color="auto" w:sz="4" w:space="0"/>
              <w:bottom w:val="nil"/>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367</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 xml:space="preserve">      用于教育事业的彩票公益金支出</w:t>
            </w:r>
          </w:p>
        </w:tc>
        <w:tc>
          <w:tcPr>
            <w:tcW w:w="13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62</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 xml:space="preserve">      用于残疾人事业的彩票公益金支出</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16</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 xml:space="preserve">      用于城乡医疗救助的彩票公益金支出</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25</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 xml:space="preserve">      用于其他社会公益事业的彩票公益金支出</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372</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b/>
                <w:bCs/>
                <w:color w:val="0D0D0D" w:themeColor="text1" w:themeTint="F2"/>
                <w:kern w:val="0"/>
                <w:sz w:val="20"/>
                <w:szCs w:val="20"/>
                <w14:textFill>
                  <w14:solidFill>
                    <w14:schemeClr w14:val="tx1">
                      <w14:lumMod w14:val="95000"/>
                      <w14:lumOff w14:val="5000"/>
                    </w14:schemeClr>
                  </w14:solidFill>
                </w14:textFill>
              </w:rPr>
              <w:t xml:space="preserve">  债务付息支出</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82,960</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b/>
                <w:bCs/>
                <w:color w:val="0D0D0D" w:themeColor="text1" w:themeTint="F2"/>
                <w:kern w:val="0"/>
                <w:sz w:val="20"/>
                <w:szCs w:val="20"/>
                <w14:textFill>
                  <w14:solidFill>
                    <w14:schemeClr w14:val="tx1">
                      <w14:lumMod w14:val="95000"/>
                      <w14:lumOff w14:val="5000"/>
                    </w14:schemeClr>
                  </w14:solidFill>
                </w14:textFill>
              </w:rPr>
              <w:t xml:space="preserve">    地方政府专项债务付息支出</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82,960</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 xml:space="preserve">      国有土地使用权出让金债务付息支出</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5,777</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 xml:space="preserve">      土地储备专项债券付息支出</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2,452</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 xml:space="preserve">      棚户区改造专项债券付息支出</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2,755</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 xml:space="preserve">      其他地方自行试点项目收益专项债券付息支出</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71,976</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b/>
                <w:bCs/>
                <w:color w:val="0D0D0D" w:themeColor="text1" w:themeTint="F2"/>
                <w:kern w:val="0"/>
                <w:sz w:val="20"/>
                <w:szCs w:val="20"/>
                <w14:textFill>
                  <w14:solidFill>
                    <w14:schemeClr w14:val="tx1">
                      <w14:lumMod w14:val="95000"/>
                      <w14:lumOff w14:val="5000"/>
                    </w14:schemeClr>
                  </w14:solidFill>
                </w14:textFill>
              </w:rPr>
              <w:t xml:space="preserve">  债务发行费用支出</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4</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b/>
                <w:bCs/>
                <w:color w:val="0D0D0D" w:themeColor="text1" w:themeTint="F2"/>
                <w:kern w:val="0"/>
                <w:sz w:val="20"/>
                <w:szCs w:val="20"/>
                <w14:textFill>
                  <w14:solidFill>
                    <w14:schemeClr w14:val="tx1">
                      <w14:lumMod w14:val="95000"/>
                      <w14:lumOff w14:val="5000"/>
                    </w14:schemeClr>
                  </w14:solidFill>
                </w14:textFill>
              </w:rPr>
              <w:t xml:space="preserve">    地方政府专项债务发行费用支出</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4</w:t>
            </w:r>
          </w:p>
        </w:tc>
      </w:tr>
      <w:tr>
        <w:tblPrEx>
          <w:tblCellMar>
            <w:top w:w="0" w:type="dxa"/>
            <w:left w:w="108" w:type="dxa"/>
            <w:bottom w:w="0" w:type="dxa"/>
            <w:right w:w="108" w:type="dxa"/>
          </w:tblCellMar>
        </w:tblPrEx>
        <w:trPr>
          <w:trHeight w:val="276" w:hRule="atLeast"/>
        </w:trPr>
        <w:tc>
          <w:tcPr>
            <w:tcW w:w="7488" w:type="dxa"/>
            <w:tcBorders>
              <w:top w:val="nil"/>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 xml:space="preserve">      其他地方自行试点项目收益专项债券发行费用支出</w:t>
            </w:r>
          </w:p>
        </w:tc>
        <w:tc>
          <w:tcPr>
            <w:tcW w:w="1332"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0"/>
                <w:szCs w:val="20"/>
                <w14:textFill>
                  <w14:solidFill>
                    <w14:schemeClr w14:val="tx1">
                      <w14:lumMod w14:val="95000"/>
                      <w14:lumOff w14:val="5000"/>
                    </w14:schemeClr>
                  </w14:solidFill>
                </w14:textFill>
              </w:rPr>
            </w:pPr>
            <w:r>
              <w:rPr>
                <w:rFonts w:hint="eastAsia" w:eastAsia="宋体" w:cs="宋体"/>
                <w:color w:val="0D0D0D" w:themeColor="text1" w:themeTint="F2"/>
                <w:kern w:val="0"/>
                <w:sz w:val="20"/>
                <w:szCs w:val="20"/>
                <w14:textFill>
                  <w14:solidFill>
                    <w14:schemeClr w14:val="tx1">
                      <w14:lumMod w14:val="95000"/>
                      <w14:lumOff w14:val="5000"/>
                    </w14:schemeClr>
                  </w14:solidFill>
                </w14:textFill>
              </w:rPr>
              <w:t>4</w:t>
            </w:r>
          </w:p>
        </w:tc>
      </w:tr>
    </w:tbl>
    <w:p>
      <w:pPr>
        <w:widowControl/>
        <w:spacing w:line="240" w:lineRule="auto"/>
        <w:ind w:firstLine="0" w:firstLineChars="0"/>
        <w:rPr>
          <w:rFonts w:eastAsia="方正楷体_GBK"/>
          <w:bCs/>
          <w:color w:val="0D0D0D" w:themeColor="text1" w:themeTint="F2"/>
          <w:kern w:val="44"/>
          <w:szCs w:val="44"/>
          <w14:textFill>
            <w14:solidFill>
              <w14:schemeClr w14:val="tx1">
                <w14:lumMod w14:val="95000"/>
                <w14:lumOff w14:val="5000"/>
              </w14:schemeClr>
            </w14:solidFill>
          </w14:textFill>
        </w:rPr>
      </w:pPr>
    </w:p>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pPr>
      <w:r>
        <w:rPr>
          <w:rFonts w:eastAsia="方正楷体_GBK"/>
          <w:bCs/>
          <w:color w:val="0D0D0D" w:themeColor="text1" w:themeTint="F2"/>
          <w:kern w:val="44"/>
          <w:szCs w:val="44"/>
          <w14:textFill>
            <w14:solidFill>
              <w14:schemeClr w14:val="tx1">
                <w14:lumMod w14:val="95000"/>
                <w14:lumOff w14:val="5000"/>
              </w14:schemeClr>
            </w14:solidFill>
          </w14:textFill>
        </w:rPr>
        <w:br w:type="page"/>
      </w:r>
    </w:p>
    <w:tbl>
      <w:tblPr>
        <w:tblStyle w:val="7"/>
        <w:tblW w:w="9923" w:type="dxa"/>
        <w:tblInd w:w="0" w:type="dxa"/>
        <w:tblLayout w:type="autofit"/>
        <w:tblCellMar>
          <w:top w:w="0" w:type="dxa"/>
          <w:left w:w="108" w:type="dxa"/>
          <w:bottom w:w="0" w:type="dxa"/>
          <w:right w:w="108" w:type="dxa"/>
        </w:tblCellMar>
      </w:tblPr>
      <w:tblGrid>
        <w:gridCol w:w="2694"/>
        <w:gridCol w:w="1134"/>
        <w:gridCol w:w="1336"/>
        <w:gridCol w:w="1640"/>
        <w:gridCol w:w="1701"/>
        <w:gridCol w:w="1418"/>
      </w:tblGrid>
      <w:tr>
        <w:tblPrEx>
          <w:tblCellMar>
            <w:top w:w="0" w:type="dxa"/>
            <w:left w:w="108" w:type="dxa"/>
            <w:bottom w:w="0" w:type="dxa"/>
            <w:right w:w="108" w:type="dxa"/>
          </w:tblCellMar>
        </w:tblPrEx>
        <w:trPr>
          <w:trHeight w:val="405" w:hRule="atLeast"/>
        </w:trPr>
        <w:tc>
          <w:tcPr>
            <w:tcW w:w="3828" w:type="dxa"/>
            <w:gridSpan w:val="2"/>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方正黑体_GBK" w:cs="宋体"/>
                <w:color w:val="0D0D0D" w:themeColor="text1" w:themeTint="F2"/>
                <w:kern w:val="0"/>
                <w:sz w:val="28"/>
                <w:szCs w:val="28"/>
                <w14:textFill>
                  <w14:solidFill>
                    <w14:schemeClr w14:val="tx1">
                      <w14:lumMod w14:val="95000"/>
                      <w14:lumOff w14:val="5000"/>
                    </w14:schemeClr>
                  </w14:solidFill>
                </w14:textFill>
              </w:rPr>
            </w:pPr>
            <w:bookmarkStart w:id="4" w:name="RANGE!A1:F13"/>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表6</w:t>
            </w:r>
            <w:bookmarkEnd w:id="4"/>
          </w:p>
        </w:tc>
        <w:tc>
          <w:tcPr>
            <w:tcW w:w="1336"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方正黑体_GBK" w:cs="宋体"/>
                <w:color w:val="0D0D0D" w:themeColor="text1" w:themeTint="F2"/>
                <w:kern w:val="0"/>
                <w:sz w:val="28"/>
                <w:szCs w:val="28"/>
                <w14:textFill>
                  <w14:solidFill>
                    <w14:schemeClr w14:val="tx1">
                      <w14:lumMod w14:val="95000"/>
                      <w14:lumOff w14:val="5000"/>
                    </w14:schemeClr>
                  </w14:solidFill>
                </w14:textFill>
              </w:rPr>
            </w:pPr>
          </w:p>
        </w:tc>
        <w:tc>
          <w:tcPr>
            <w:tcW w:w="1640"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701"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418"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80" w:hRule="atLeast"/>
        </w:trPr>
        <w:tc>
          <w:tcPr>
            <w:tcW w:w="9923" w:type="dxa"/>
            <w:gridSpan w:val="6"/>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方正小标宋_GBK" w:cs="宋体"/>
                <w:color w:val="0D0D0D" w:themeColor="text1" w:themeTint="F2"/>
                <w:kern w:val="0"/>
                <w:sz w:val="36"/>
                <w:szCs w:val="36"/>
                <w14:textFill>
                  <w14:solidFill>
                    <w14:schemeClr w14:val="tx1">
                      <w14:lumMod w14:val="95000"/>
                      <w14:lumOff w14:val="5000"/>
                    </w14:schemeClr>
                  </w14:solidFill>
                </w14:textFill>
              </w:rPr>
            </w:pPr>
            <w:r>
              <w:rPr>
                <w:rFonts w:hint="eastAsia" w:eastAsia="方正小标宋_GBK" w:cs="宋体"/>
                <w:color w:val="0D0D0D" w:themeColor="text1" w:themeTint="F2"/>
                <w:kern w:val="0"/>
                <w:sz w:val="36"/>
                <w:szCs w:val="36"/>
                <w14:textFill>
                  <w14:solidFill>
                    <w14:schemeClr w14:val="tx1">
                      <w14:lumMod w14:val="95000"/>
                      <w14:lumOff w14:val="5000"/>
                    </w14:schemeClr>
                  </w14:solidFill>
                </w14:textFill>
              </w:rPr>
              <w:t>2022年政府性基金转移支付收支执行表</w:t>
            </w:r>
          </w:p>
        </w:tc>
      </w:tr>
      <w:tr>
        <w:tblPrEx>
          <w:tblCellMar>
            <w:top w:w="0" w:type="dxa"/>
            <w:left w:w="108" w:type="dxa"/>
            <w:bottom w:w="0" w:type="dxa"/>
            <w:right w:w="108" w:type="dxa"/>
          </w:tblCellMar>
        </w:tblPrEx>
        <w:trPr>
          <w:trHeight w:val="405" w:hRule="atLeast"/>
        </w:trPr>
        <w:tc>
          <w:tcPr>
            <w:tcW w:w="2694" w:type="dxa"/>
            <w:tcBorders>
              <w:top w:val="nil"/>
              <w:left w:val="nil"/>
              <w:bottom w:val="nil"/>
              <w:right w:val="nil"/>
            </w:tcBorders>
            <w:shd w:val="clear" w:color="auto" w:fill="auto"/>
            <w:noWrap/>
            <w:vAlign w:val="bottom"/>
          </w:tcPr>
          <w:p>
            <w:pPr>
              <w:widowControl/>
              <w:adjustRightInd w:val="0"/>
              <w:snapToGrid w:val="0"/>
              <w:spacing w:line="240" w:lineRule="auto"/>
              <w:ind w:firstLine="0" w:firstLineChars="0"/>
              <w:jc w:val="center"/>
              <w:rPr>
                <w:rFonts w:eastAsia="方正小标宋_GBK" w:cs="宋体"/>
                <w:color w:val="0D0D0D" w:themeColor="text1" w:themeTint="F2"/>
                <w:kern w:val="0"/>
                <w:sz w:val="36"/>
                <w:szCs w:val="36"/>
                <w14:textFill>
                  <w14:solidFill>
                    <w14:schemeClr w14:val="tx1">
                      <w14:lumMod w14:val="95000"/>
                      <w14:lumOff w14:val="5000"/>
                    </w14:schemeClr>
                  </w14:solidFill>
                </w14:textFill>
              </w:rPr>
            </w:pPr>
          </w:p>
        </w:tc>
        <w:tc>
          <w:tcPr>
            <w:tcW w:w="1134" w:type="dxa"/>
            <w:tcBorders>
              <w:top w:val="nil"/>
              <w:left w:val="nil"/>
              <w:bottom w:val="nil"/>
              <w:right w:val="nil"/>
            </w:tcBorders>
            <w:shd w:val="clear" w:color="auto" w:fill="auto"/>
            <w:noWrap/>
            <w:vAlign w:val="bottom"/>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336" w:type="dxa"/>
            <w:tcBorders>
              <w:top w:val="nil"/>
              <w:left w:val="nil"/>
              <w:bottom w:val="nil"/>
              <w:right w:val="nil"/>
            </w:tcBorders>
            <w:shd w:val="clear" w:color="auto" w:fill="auto"/>
            <w:noWrap/>
            <w:vAlign w:val="bottom"/>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640" w:type="dxa"/>
            <w:tcBorders>
              <w:top w:val="nil"/>
              <w:left w:val="nil"/>
              <w:bottom w:val="nil"/>
              <w:right w:val="nil"/>
            </w:tcBorders>
            <w:shd w:val="clear" w:color="auto" w:fill="auto"/>
            <w:noWrap/>
            <w:vAlign w:val="bottom"/>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701" w:type="dxa"/>
            <w:tcBorders>
              <w:top w:val="nil"/>
              <w:left w:val="nil"/>
              <w:bottom w:val="nil"/>
              <w:right w:val="nil"/>
            </w:tcBorders>
            <w:shd w:val="clear" w:color="auto" w:fill="auto"/>
            <w:noWrap/>
            <w:vAlign w:val="bottom"/>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418" w:type="dxa"/>
            <w:tcBorders>
              <w:top w:val="nil"/>
              <w:left w:val="nil"/>
              <w:bottom w:val="nil"/>
              <w:right w:val="nil"/>
            </w:tcBorders>
            <w:shd w:val="clear" w:color="auto" w:fill="auto"/>
            <w:noWrap/>
            <w:vAlign w:val="bottom"/>
          </w:tcPr>
          <w:p>
            <w:pPr>
              <w:widowControl/>
              <w:adjustRightInd w:val="0"/>
              <w:snapToGrid w:val="0"/>
              <w:spacing w:line="240" w:lineRule="auto"/>
              <w:ind w:firstLine="0" w:firstLineChars="0"/>
              <w:jc w:val="center"/>
              <w:rPr>
                <w:rFonts w:eastAsia="方正楷体_GBK"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方正楷体_GBK" w:cs="Times New Roman"/>
                <w:color w:val="0D0D0D" w:themeColor="text1" w:themeTint="F2"/>
                <w:kern w:val="0"/>
                <w:sz w:val="24"/>
                <w:szCs w:val="24"/>
                <w14:textFill>
                  <w14:solidFill>
                    <w14:schemeClr w14:val="tx1">
                      <w14:lumMod w14:val="95000"/>
                      <w14:lumOff w14:val="5000"/>
                    </w14:schemeClr>
                  </w14:solidFill>
                </w14:textFill>
              </w:rPr>
              <w:t>单位：万元</w:t>
            </w:r>
          </w:p>
        </w:tc>
      </w:tr>
      <w:tr>
        <w:tblPrEx>
          <w:tblCellMar>
            <w:top w:w="0" w:type="dxa"/>
            <w:left w:w="108" w:type="dxa"/>
            <w:bottom w:w="0" w:type="dxa"/>
            <w:right w:w="108" w:type="dxa"/>
          </w:tblCellMar>
        </w:tblPrEx>
        <w:trPr>
          <w:trHeight w:val="372" w:hRule="atLeast"/>
        </w:trPr>
        <w:tc>
          <w:tcPr>
            <w:tcW w:w="26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收   入</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上年决算数</w:t>
            </w:r>
          </w:p>
        </w:tc>
        <w:tc>
          <w:tcPr>
            <w:tcW w:w="133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执行数</w:t>
            </w:r>
          </w:p>
        </w:tc>
        <w:tc>
          <w:tcPr>
            <w:tcW w:w="164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支   出</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上年决算数</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执行数</w:t>
            </w:r>
          </w:p>
        </w:tc>
      </w:tr>
      <w:tr>
        <w:tblPrEx>
          <w:tblCellMar>
            <w:top w:w="0" w:type="dxa"/>
            <w:left w:w="108" w:type="dxa"/>
            <w:bottom w:w="0" w:type="dxa"/>
            <w:right w:w="108" w:type="dxa"/>
          </w:tblCellMar>
        </w:tblPrEx>
        <w:trPr>
          <w:trHeight w:val="705" w:hRule="atLeast"/>
        </w:trPr>
        <w:tc>
          <w:tcPr>
            <w:tcW w:w="269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8"/>
                <w:szCs w:val="28"/>
                <w14:textFill>
                  <w14:solidFill>
                    <w14:schemeClr w14:val="tx1">
                      <w14:lumMod w14:val="95000"/>
                      <w14:lumOff w14:val="5000"/>
                    </w14:schemeClr>
                  </w14:solidFill>
                </w14:textFill>
              </w:rPr>
            </w:pPr>
            <w:r>
              <w:rPr>
                <w:rFonts w:hint="eastAsia" w:cs="Times New Roman"/>
                <w:b/>
                <w:bCs/>
                <w:color w:val="0D0D0D" w:themeColor="text1" w:themeTint="F2"/>
                <w:kern w:val="0"/>
                <w:sz w:val="28"/>
                <w:szCs w:val="28"/>
                <w14:textFill>
                  <w14:solidFill>
                    <w14:schemeClr w14:val="tx1">
                      <w14:lumMod w14:val="95000"/>
                      <w14:lumOff w14:val="5000"/>
                    </w14:schemeClr>
                  </w14:solidFill>
                </w14:textFill>
              </w:rPr>
              <w:t>上级补助收入</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8"/>
                <w:szCs w:val="28"/>
                <w14:textFill>
                  <w14:solidFill>
                    <w14:schemeClr w14:val="tx1">
                      <w14:lumMod w14:val="95000"/>
                      <w14:lumOff w14:val="5000"/>
                    </w14:schemeClr>
                  </w14:solidFill>
                </w14:textFill>
              </w:rPr>
            </w:pPr>
            <w:r>
              <w:rPr>
                <w:rFonts w:eastAsia="等线" w:cs="Times New Roman"/>
                <w:b/>
                <w:bCs/>
                <w:color w:val="0D0D0D" w:themeColor="text1" w:themeTint="F2"/>
                <w:kern w:val="0"/>
                <w:sz w:val="28"/>
                <w:szCs w:val="28"/>
                <w14:textFill>
                  <w14:solidFill>
                    <w14:schemeClr w14:val="tx1">
                      <w14:lumMod w14:val="95000"/>
                      <w14:lumOff w14:val="5000"/>
                    </w14:schemeClr>
                  </w14:solidFill>
                </w14:textFill>
              </w:rPr>
              <w:t xml:space="preserve">530,703 </w:t>
            </w:r>
          </w:p>
        </w:tc>
        <w:tc>
          <w:tcPr>
            <w:tcW w:w="133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8"/>
                <w:szCs w:val="28"/>
                <w14:textFill>
                  <w14:solidFill>
                    <w14:schemeClr w14:val="tx1">
                      <w14:lumMod w14:val="95000"/>
                      <w14:lumOff w14:val="5000"/>
                    </w14:schemeClr>
                  </w14:solidFill>
                </w14:textFill>
              </w:rPr>
            </w:pPr>
            <w:r>
              <w:rPr>
                <w:rFonts w:eastAsia="等线" w:cs="Times New Roman"/>
                <w:b/>
                <w:bCs/>
                <w:color w:val="0D0D0D" w:themeColor="text1" w:themeTint="F2"/>
                <w:kern w:val="0"/>
                <w:sz w:val="28"/>
                <w:szCs w:val="28"/>
                <w14:textFill>
                  <w14:solidFill>
                    <w14:schemeClr w14:val="tx1">
                      <w14:lumMod w14:val="95000"/>
                      <w14:lumOff w14:val="5000"/>
                    </w14:schemeClr>
                  </w14:solidFill>
                </w14:textFill>
              </w:rPr>
              <w:t xml:space="preserve">1,088,409 </w:t>
            </w:r>
          </w:p>
        </w:tc>
        <w:tc>
          <w:tcPr>
            <w:tcW w:w="164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cs="宋体"/>
                <w:b/>
                <w:bCs/>
                <w:color w:val="0D0D0D" w:themeColor="text1" w:themeTint="F2"/>
                <w:kern w:val="0"/>
                <w:sz w:val="28"/>
                <w:szCs w:val="28"/>
                <w14:textFill>
                  <w14:solidFill>
                    <w14:schemeClr w14:val="tx1">
                      <w14:lumMod w14:val="95000"/>
                      <w14:lumOff w14:val="5000"/>
                    </w14:schemeClr>
                  </w14:solidFill>
                </w14:textFill>
              </w:rPr>
            </w:pPr>
            <w:r>
              <w:rPr>
                <w:rFonts w:hint="eastAsia" w:cs="宋体"/>
                <w:b/>
                <w:bCs/>
                <w:color w:val="0D0D0D" w:themeColor="text1" w:themeTint="F2"/>
                <w:kern w:val="0"/>
                <w:sz w:val="28"/>
                <w:szCs w:val="28"/>
                <w14:textFill>
                  <w14:solidFill>
                    <w14:schemeClr w14:val="tx1">
                      <w14:lumMod w14:val="95000"/>
                      <w14:lumOff w14:val="5000"/>
                    </w14:schemeClr>
                  </w14:solidFill>
                </w14:textFill>
              </w:rPr>
              <w:t>转移性支出</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8"/>
                <w:szCs w:val="28"/>
                <w14:textFill>
                  <w14:solidFill>
                    <w14:schemeClr w14:val="tx1">
                      <w14:lumMod w14:val="95000"/>
                      <w14:lumOff w14:val="5000"/>
                    </w14:schemeClr>
                  </w14:solidFill>
                </w14:textFill>
              </w:rPr>
            </w:pPr>
            <w:r>
              <w:rPr>
                <w:rFonts w:eastAsia="等线" w:cs="Times New Roman"/>
                <w:b/>
                <w:bCs/>
                <w:color w:val="0D0D0D" w:themeColor="text1" w:themeTint="F2"/>
                <w:kern w:val="0"/>
                <w:sz w:val="28"/>
                <w:szCs w:val="28"/>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8"/>
                <w:szCs w:val="28"/>
                <w14:textFill>
                  <w14:solidFill>
                    <w14:schemeClr w14:val="tx1">
                      <w14:lumMod w14:val="95000"/>
                      <w14:lumOff w14:val="5000"/>
                    </w14:schemeClr>
                  </w14:solidFill>
                </w14:textFill>
              </w:rPr>
            </w:pPr>
            <w:r>
              <w:rPr>
                <w:rFonts w:eastAsia="等线" w:cs="Times New Roman"/>
                <w:b/>
                <w:bCs/>
                <w:color w:val="0D0D0D" w:themeColor="text1" w:themeTint="F2"/>
                <w:kern w:val="0"/>
                <w:sz w:val="28"/>
                <w:szCs w:val="28"/>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705" w:hRule="atLeast"/>
        </w:trPr>
        <w:tc>
          <w:tcPr>
            <w:tcW w:w="2694"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大中型水库移民后期扶持基金收入</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3 </w:t>
            </w:r>
          </w:p>
        </w:tc>
        <w:tc>
          <w:tcPr>
            <w:tcW w:w="133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3 </w:t>
            </w:r>
          </w:p>
        </w:tc>
        <w:tc>
          <w:tcPr>
            <w:tcW w:w="164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705" w:hRule="atLeast"/>
        </w:trPr>
        <w:tc>
          <w:tcPr>
            <w:tcW w:w="2694"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国有土地使用权出让相关收入</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529,261 </w:t>
            </w:r>
          </w:p>
        </w:tc>
        <w:tc>
          <w:tcPr>
            <w:tcW w:w="133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1,084,739 </w:t>
            </w:r>
          </w:p>
        </w:tc>
        <w:tc>
          <w:tcPr>
            <w:tcW w:w="164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705" w:hRule="atLeast"/>
        </w:trPr>
        <w:tc>
          <w:tcPr>
            <w:tcW w:w="2694"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国有土地收益基金相关收入</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13 </w:t>
            </w:r>
          </w:p>
        </w:tc>
        <w:tc>
          <w:tcPr>
            <w:tcW w:w="133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64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705" w:hRule="atLeast"/>
        </w:trPr>
        <w:tc>
          <w:tcPr>
            <w:tcW w:w="2694"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城市基础设施配套费相关收入</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33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2,477 </w:t>
            </w:r>
          </w:p>
        </w:tc>
        <w:tc>
          <w:tcPr>
            <w:tcW w:w="164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705" w:hRule="atLeast"/>
        </w:trPr>
        <w:tc>
          <w:tcPr>
            <w:tcW w:w="2694"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三峡水库库区基金收入</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33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3 </w:t>
            </w:r>
          </w:p>
        </w:tc>
        <w:tc>
          <w:tcPr>
            <w:tcW w:w="164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705" w:hRule="atLeast"/>
        </w:trPr>
        <w:tc>
          <w:tcPr>
            <w:tcW w:w="2694"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国家重大水利工程建设基金相关收入</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33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等线" w:cs="Times New Roman"/>
                <w:color w:val="0D0D0D" w:themeColor="text1" w:themeTint="F2"/>
                <w:kern w:val="0"/>
                <w:sz w:val="24"/>
                <w:szCs w:val="24"/>
                <w14:textFill>
                  <w14:solidFill>
                    <w14:schemeClr w14:val="tx1">
                      <w14:lumMod w14:val="95000"/>
                      <w14:lumOff w14:val="5000"/>
                    </w14:schemeClr>
                  </w14:solidFill>
                </w14:textFill>
              </w:rPr>
              <w:t>6</w:t>
            </w: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64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705" w:hRule="atLeast"/>
        </w:trPr>
        <w:tc>
          <w:tcPr>
            <w:tcW w:w="2694"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彩票发行机构和彩票销售机构的业务费用</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33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64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705" w:hRule="atLeast"/>
        </w:trPr>
        <w:tc>
          <w:tcPr>
            <w:tcW w:w="2694"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彩票公益金收入</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1,426 </w:t>
            </w:r>
          </w:p>
        </w:tc>
        <w:tc>
          <w:tcPr>
            <w:tcW w:w="133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1,181 </w:t>
            </w:r>
          </w:p>
        </w:tc>
        <w:tc>
          <w:tcPr>
            <w:tcW w:w="164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r>
    </w:tbl>
    <w:p>
      <w:pPr>
        <w:widowControl/>
        <w:spacing w:line="240" w:lineRule="auto"/>
        <w:ind w:firstLine="0" w:firstLineChars="0"/>
        <w:rPr>
          <w:rFonts w:eastAsia="方正楷体_GBK"/>
          <w:bCs/>
          <w:color w:val="0D0D0D" w:themeColor="text1" w:themeTint="F2"/>
          <w:kern w:val="44"/>
          <w:szCs w:val="44"/>
          <w14:textFill>
            <w14:solidFill>
              <w14:schemeClr w14:val="tx1">
                <w14:lumMod w14:val="95000"/>
                <w14:lumOff w14:val="5000"/>
              </w14:schemeClr>
            </w14:solidFill>
          </w14:textFill>
        </w:rPr>
      </w:pPr>
    </w:p>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sectPr>
          <w:pgSz w:w="11906" w:h="16838"/>
          <w:pgMar w:top="2098" w:right="1531" w:bottom="1985" w:left="1531" w:header="851" w:footer="1417" w:gutter="0"/>
          <w:cols w:space="425" w:num="1"/>
          <w:docGrid w:type="lines" w:linePitch="435" w:charSpace="0"/>
        </w:sectPr>
      </w:pPr>
      <w:r>
        <w:rPr>
          <w:rFonts w:eastAsia="方正楷体_GBK"/>
          <w:bCs/>
          <w:color w:val="0D0D0D" w:themeColor="text1" w:themeTint="F2"/>
          <w:kern w:val="44"/>
          <w:szCs w:val="44"/>
          <w14:textFill>
            <w14:solidFill>
              <w14:schemeClr w14:val="tx1">
                <w14:lumMod w14:val="95000"/>
                <w14:lumOff w14:val="5000"/>
              </w14:schemeClr>
            </w14:solidFill>
          </w14:textFill>
        </w:rPr>
        <w:br w:type="page"/>
      </w:r>
    </w:p>
    <w:tbl>
      <w:tblPr>
        <w:tblStyle w:val="7"/>
        <w:tblW w:w="15593" w:type="dxa"/>
        <w:tblInd w:w="-1276" w:type="dxa"/>
        <w:tblLayout w:type="autofit"/>
        <w:tblCellMar>
          <w:top w:w="0" w:type="dxa"/>
          <w:left w:w="108" w:type="dxa"/>
          <w:bottom w:w="0" w:type="dxa"/>
          <w:right w:w="108" w:type="dxa"/>
        </w:tblCellMar>
      </w:tblPr>
      <w:tblGrid>
        <w:gridCol w:w="3119"/>
        <w:gridCol w:w="992"/>
        <w:gridCol w:w="993"/>
        <w:gridCol w:w="992"/>
        <w:gridCol w:w="756"/>
        <w:gridCol w:w="803"/>
        <w:gridCol w:w="3119"/>
        <w:gridCol w:w="992"/>
        <w:gridCol w:w="992"/>
        <w:gridCol w:w="992"/>
        <w:gridCol w:w="851"/>
        <w:gridCol w:w="992"/>
      </w:tblGrid>
      <w:tr>
        <w:tblPrEx>
          <w:tblCellMar>
            <w:top w:w="0" w:type="dxa"/>
            <w:left w:w="108" w:type="dxa"/>
            <w:bottom w:w="0" w:type="dxa"/>
            <w:right w:w="108" w:type="dxa"/>
          </w:tblCellMar>
        </w:tblPrEx>
        <w:trPr>
          <w:trHeight w:val="375" w:hRule="atLeast"/>
          <w:tblHeader/>
        </w:trPr>
        <w:tc>
          <w:tcPr>
            <w:tcW w:w="10774" w:type="dxa"/>
            <w:gridSpan w:val="7"/>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方正黑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表7</w:t>
            </w:r>
          </w:p>
        </w:tc>
        <w:tc>
          <w:tcPr>
            <w:tcW w:w="992"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方正黑体_GBK" w:cs="宋体"/>
                <w:color w:val="0D0D0D" w:themeColor="text1" w:themeTint="F2"/>
                <w:kern w:val="0"/>
                <w:sz w:val="28"/>
                <w:szCs w:val="28"/>
                <w14:textFill>
                  <w14:solidFill>
                    <w14:schemeClr w14:val="tx1">
                      <w14:lumMod w14:val="95000"/>
                      <w14:lumOff w14:val="5000"/>
                    </w14:schemeClr>
                  </w14:solidFill>
                </w14:textFill>
              </w:rPr>
            </w:pPr>
          </w:p>
        </w:tc>
        <w:tc>
          <w:tcPr>
            <w:tcW w:w="992"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992"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851"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992" w:type="dxa"/>
            <w:tcBorders>
              <w:top w:val="nil"/>
              <w:left w:val="nil"/>
              <w:bottom w:val="nil"/>
              <w:right w:val="nil"/>
            </w:tcBorders>
            <w:shd w:val="clear" w:color="auto" w:fill="auto"/>
            <w:noWrap/>
            <w:vAlign w:val="bottom"/>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555" w:hRule="atLeast"/>
          <w:tblHeader/>
        </w:trPr>
        <w:tc>
          <w:tcPr>
            <w:tcW w:w="15593" w:type="dxa"/>
            <w:gridSpan w:val="12"/>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方正小标宋_GBK" w:cs="宋体"/>
                <w:color w:val="0D0D0D" w:themeColor="text1" w:themeTint="F2"/>
                <w:kern w:val="0"/>
                <w:sz w:val="36"/>
                <w:szCs w:val="36"/>
                <w14:textFill>
                  <w14:solidFill>
                    <w14:schemeClr w14:val="tx1">
                      <w14:lumMod w14:val="95000"/>
                      <w14:lumOff w14:val="5000"/>
                    </w14:schemeClr>
                  </w14:solidFill>
                </w14:textFill>
              </w:rPr>
            </w:pPr>
            <w:r>
              <w:rPr>
                <w:rFonts w:hint="eastAsia" w:eastAsia="方正小标宋_GBK" w:cs="宋体"/>
                <w:color w:val="0D0D0D" w:themeColor="text1" w:themeTint="F2"/>
                <w:kern w:val="0"/>
                <w:sz w:val="36"/>
                <w:szCs w:val="36"/>
                <w14:textFill>
                  <w14:solidFill>
                    <w14:schemeClr w14:val="tx1">
                      <w14:lumMod w14:val="95000"/>
                      <w14:lumOff w14:val="5000"/>
                    </w14:schemeClr>
                  </w14:solidFill>
                </w14:textFill>
              </w:rPr>
              <w:t>2022年国有资本经营预算收支执行表</w:t>
            </w:r>
          </w:p>
        </w:tc>
      </w:tr>
      <w:tr>
        <w:tblPrEx>
          <w:tblCellMar>
            <w:top w:w="0" w:type="dxa"/>
            <w:left w:w="108" w:type="dxa"/>
            <w:bottom w:w="0" w:type="dxa"/>
            <w:right w:w="108" w:type="dxa"/>
          </w:tblCellMar>
        </w:tblPrEx>
        <w:trPr>
          <w:trHeight w:val="450" w:hRule="atLeast"/>
          <w:tblHeader/>
        </w:trPr>
        <w:tc>
          <w:tcPr>
            <w:tcW w:w="3119" w:type="dxa"/>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center"/>
              <w:rPr>
                <w:rFonts w:eastAsia="方正小标宋_GBK" w:cs="宋体"/>
                <w:color w:val="0D0D0D" w:themeColor="text1" w:themeTint="F2"/>
                <w:kern w:val="0"/>
                <w:sz w:val="36"/>
                <w:szCs w:val="36"/>
                <w14:textFill>
                  <w14:solidFill>
                    <w14:schemeClr w14:val="tx1">
                      <w14:lumMod w14:val="95000"/>
                      <w14:lumOff w14:val="5000"/>
                    </w14:schemeClr>
                  </w14:solidFill>
                </w14:textFill>
              </w:rPr>
            </w:pPr>
          </w:p>
        </w:tc>
        <w:tc>
          <w:tcPr>
            <w:tcW w:w="992" w:type="dxa"/>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993" w:type="dxa"/>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992" w:type="dxa"/>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756" w:type="dxa"/>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803" w:type="dxa"/>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3119" w:type="dxa"/>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992" w:type="dxa"/>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992" w:type="dxa"/>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992" w:type="dxa"/>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center"/>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843" w:type="dxa"/>
            <w:gridSpan w:val="2"/>
            <w:tcBorders>
              <w:top w:val="nil"/>
              <w:left w:val="nil"/>
              <w:bottom w:val="single" w:color="auto" w:sz="4" w:space="0"/>
              <w:right w:val="nil"/>
            </w:tcBorders>
            <w:shd w:val="clear" w:color="auto" w:fill="auto"/>
            <w:noWrap/>
            <w:vAlign w:val="bottom"/>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cs="Times New Roman"/>
                <w:color w:val="0D0D0D" w:themeColor="text1" w:themeTint="F2"/>
                <w:kern w:val="0"/>
                <w:sz w:val="22"/>
                <w14:textFill>
                  <w14:solidFill>
                    <w14:schemeClr w14:val="tx1">
                      <w14:lumMod w14:val="95000"/>
                      <w14:lumOff w14:val="5000"/>
                    </w14:schemeClr>
                  </w14:solidFill>
                </w14:textFill>
              </w:rPr>
              <w:t>单位：万元</w:t>
            </w:r>
          </w:p>
        </w:tc>
      </w:tr>
      <w:tr>
        <w:tblPrEx>
          <w:tblCellMar>
            <w:top w:w="0" w:type="dxa"/>
            <w:left w:w="108" w:type="dxa"/>
            <w:bottom w:w="0" w:type="dxa"/>
            <w:right w:w="108" w:type="dxa"/>
          </w:tblCellMar>
        </w:tblPrEx>
        <w:trPr>
          <w:trHeight w:val="648" w:hRule="atLeast"/>
          <w:tblHeader/>
        </w:trPr>
        <w:tc>
          <w:tcPr>
            <w:tcW w:w="31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收      入</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预算数</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调整</w:t>
            </w:r>
          </w:p>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预算数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执行数</w:t>
            </w:r>
          </w:p>
        </w:tc>
        <w:tc>
          <w:tcPr>
            <w:tcW w:w="75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执行数为调整预算数%</w:t>
            </w:r>
          </w:p>
        </w:tc>
        <w:tc>
          <w:tcPr>
            <w:tcW w:w="80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执行数为上年年决算数的%</w:t>
            </w:r>
          </w:p>
        </w:tc>
        <w:tc>
          <w:tcPr>
            <w:tcW w:w="3119"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支       出</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预算数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调整</w:t>
            </w:r>
          </w:p>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预算数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执行数</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执行数为调整预算数%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执行数为上年年决算数的%</w:t>
            </w:r>
          </w:p>
        </w:tc>
      </w:tr>
      <w:tr>
        <w:tblPrEx>
          <w:tblCellMar>
            <w:top w:w="0" w:type="dxa"/>
            <w:left w:w="108" w:type="dxa"/>
            <w:bottom w:w="0" w:type="dxa"/>
            <w:right w:w="108" w:type="dxa"/>
          </w:tblCellMar>
        </w:tblPrEx>
        <w:trPr>
          <w:trHeight w:val="705" w:hRule="atLeast"/>
        </w:trPr>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cs="Times New Roman"/>
                <w:b/>
                <w:bCs/>
                <w:color w:val="0D0D0D" w:themeColor="text1" w:themeTint="F2"/>
                <w:kern w:val="0"/>
                <w:sz w:val="24"/>
                <w:szCs w:val="24"/>
                <w14:textFill>
                  <w14:solidFill>
                    <w14:schemeClr w14:val="tx1">
                      <w14:lumMod w14:val="95000"/>
                      <w14:lumOff w14:val="5000"/>
                    </w14:schemeClr>
                  </w14:solidFill>
                </w14:textFill>
              </w:rPr>
              <w:t>总计</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22,038 </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11,838 </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11,838 </w:t>
            </w:r>
          </w:p>
        </w:tc>
        <w:tc>
          <w:tcPr>
            <w:tcW w:w="75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100.0 </w:t>
            </w:r>
          </w:p>
        </w:tc>
        <w:tc>
          <w:tcPr>
            <w:tcW w:w="80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54.7 </w:t>
            </w:r>
          </w:p>
        </w:tc>
        <w:tc>
          <w:tcPr>
            <w:tcW w:w="311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cs="Times New Roman"/>
                <w:b/>
                <w:bCs/>
                <w:color w:val="0D0D0D" w:themeColor="text1" w:themeTint="F2"/>
                <w:kern w:val="0"/>
                <w:sz w:val="24"/>
                <w:szCs w:val="24"/>
                <w14:textFill>
                  <w14:solidFill>
                    <w14:schemeClr w14:val="tx1">
                      <w14:lumMod w14:val="95000"/>
                      <w14:lumOff w14:val="5000"/>
                    </w14:schemeClr>
                  </w14:solidFill>
                </w14:textFill>
              </w:rPr>
              <w:t>总计</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22,038 </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11,838 </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11,838 </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100.0 </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54.7</w:t>
            </w:r>
          </w:p>
        </w:tc>
      </w:tr>
      <w:tr>
        <w:tblPrEx>
          <w:tblCellMar>
            <w:top w:w="0" w:type="dxa"/>
            <w:left w:w="108" w:type="dxa"/>
            <w:bottom w:w="0" w:type="dxa"/>
            <w:right w:w="108" w:type="dxa"/>
          </w:tblCellMar>
        </w:tblPrEx>
        <w:trPr>
          <w:trHeight w:val="705" w:hRule="atLeast"/>
        </w:trPr>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cs="Times New Roman"/>
                <w:b/>
                <w:bCs/>
                <w:color w:val="0D0D0D" w:themeColor="text1" w:themeTint="F2"/>
                <w:kern w:val="0"/>
                <w:sz w:val="24"/>
                <w:szCs w:val="24"/>
                <w14:textFill>
                  <w14:solidFill>
                    <w14:schemeClr w14:val="tx1">
                      <w14:lumMod w14:val="95000"/>
                      <w14:lumOff w14:val="5000"/>
                    </w14:schemeClr>
                  </w14:solidFill>
                </w14:textFill>
              </w:rPr>
              <w:t>本级收入合计</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22,000 </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11,800 </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11,800 </w:t>
            </w:r>
          </w:p>
        </w:tc>
        <w:tc>
          <w:tcPr>
            <w:tcW w:w="75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100.0 </w:t>
            </w:r>
          </w:p>
        </w:tc>
        <w:tc>
          <w:tcPr>
            <w:tcW w:w="80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54.6 </w:t>
            </w:r>
          </w:p>
        </w:tc>
        <w:tc>
          <w:tcPr>
            <w:tcW w:w="311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cs="Times New Roman"/>
                <w:b/>
                <w:bCs/>
                <w:color w:val="0D0D0D" w:themeColor="text1" w:themeTint="F2"/>
                <w:kern w:val="0"/>
                <w:sz w:val="24"/>
                <w:szCs w:val="24"/>
                <w14:textFill>
                  <w14:solidFill>
                    <w14:schemeClr w14:val="tx1">
                      <w14:lumMod w14:val="95000"/>
                      <w14:lumOff w14:val="5000"/>
                    </w14:schemeClr>
                  </w14:solidFill>
                </w14:textFill>
              </w:rPr>
              <w:t>本级支出合计</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3,538 </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3,538 </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       3,510 </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99.2 </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174.5</w:t>
            </w:r>
          </w:p>
        </w:tc>
      </w:tr>
      <w:tr>
        <w:tblPrEx>
          <w:tblCellMar>
            <w:top w:w="0" w:type="dxa"/>
            <w:left w:w="108" w:type="dxa"/>
            <w:bottom w:w="0" w:type="dxa"/>
            <w:right w:w="108" w:type="dxa"/>
          </w:tblCellMar>
        </w:tblPrEx>
        <w:trPr>
          <w:trHeight w:val="705" w:hRule="atLeast"/>
        </w:trPr>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一、国有资本经营预算收入</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22,000 </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11,800 </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11,800 </w:t>
            </w:r>
          </w:p>
        </w:tc>
        <w:tc>
          <w:tcPr>
            <w:tcW w:w="75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100.0 </w:t>
            </w:r>
          </w:p>
        </w:tc>
        <w:tc>
          <w:tcPr>
            <w:tcW w:w="80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54.6 </w:t>
            </w:r>
          </w:p>
        </w:tc>
        <w:tc>
          <w:tcPr>
            <w:tcW w:w="311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一、国有资本经营预算支出</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3,538</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3,538</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3,510</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99.2</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174.5</w:t>
            </w:r>
          </w:p>
        </w:tc>
      </w:tr>
      <w:tr>
        <w:tblPrEx>
          <w:tblCellMar>
            <w:top w:w="0" w:type="dxa"/>
            <w:left w:w="108" w:type="dxa"/>
            <w:bottom w:w="0" w:type="dxa"/>
            <w:right w:w="108" w:type="dxa"/>
          </w:tblCellMar>
        </w:tblPrEx>
        <w:trPr>
          <w:trHeight w:val="705" w:hRule="atLeast"/>
        </w:trPr>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75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w:t>
            </w:r>
          </w:p>
        </w:tc>
        <w:tc>
          <w:tcPr>
            <w:tcW w:w="80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w:t>
            </w:r>
          </w:p>
        </w:tc>
        <w:tc>
          <w:tcPr>
            <w:tcW w:w="311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 xml:space="preserve">   解决历史遗留问题及改革成本支出</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38</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38</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10</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26.3</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83.3</w:t>
            </w:r>
          </w:p>
        </w:tc>
      </w:tr>
      <w:tr>
        <w:tblPrEx>
          <w:tblCellMar>
            <w:top w:w="0" w:type="dxa"/>
            <w:left w:w="108" w:type="dxa"/>
            <w:bottom w:w="0" w:type="dxa"/>
            <w:right w:w="108" w:type="dxa"/>
          </w:tblCellMar>
        </w:tblPrEx>
        <w:trPr>
          <w:trHeight w:val="705" w:hRule="atLeast"/>
        </w:trPr>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75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w:t>
            </w:r>
          </w:p>
        </w:tc>
        <w:tc>
          <w:tcPr>
            <w:tcW w:w="80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w:t>
            </w:r>
          </w:p>
        </w:tc>
        <w:tc>
          <w:tcPr>
            <w:tcW w:w="311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 xml:space="preserve">   国有企业资本金注入</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3,500</w:t>
            </w:r>
          </w:p>
        </w:tc>
        <w:tc>
          <w:tcPr>
            <w:tcW w:w="992"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3,500</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3,500</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100.0</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175.0</w:t>
            </w:r>
          </w:p>
        </w:tc>
      </w:tr>
      <w:tr>
        <w:tblPrEx>
          <w:tblCellMar>
            <w:top w:w="0" w:type="dxa"/>
            <w:left w:w="108" w:type="dxa"/>
            <w:bottom w:w="0" w:type="dxa"/>
            <w:right w:w="108" w:type="dxa"/>
          </w:tblCellMar>
        </w:tblPrEx>
        <w:trPr>
          <w:trHeight w:val="705" w:hRule="atLeast"/>
        </w:trPr>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cs="Times New Roman"/>
                <w:b/>
                <w:bCs/>
                <w:color w:val="0D0D0D" w:themeColor="text1" w:themeTint="F2"/>
                <w:kern w:val="0"/>
                <w:sz w:val="24"/>
                <w:szCs w:val="24"/>
                <w14:textFill>
                  <w14:solidFill>
                    <w14:schemeClr w14:val="tx1">
                      <w14:lumMod w14:val="95000"/>
                      <w14:lumOff w14:val="5000"/>
                    </w14:schemeClr>
                  </w14:solidFill>
                </w14:textFill>
              </w:rPr>
              <w:t>转移性收入合计</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38 </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38 </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38 </w:t>
            </w:r>
          </w:p>
        </w:tc>
        <w:tc>
          <w:tcPr>
            <w:tcW w:w="75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100.0 </w:t>
            </w:r>
          </w:p>
        </w:tc>
        <w:tc>
          <w:tcPr>
            <w:tcW w:w="80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76.0 </w:t>
            </w:r>
          </w:p>
        </w:tc>
        <w:tc>
          <w:tcPr>
            <w:tcW w:w="311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cs="Times New Roman"/>
                <w:b/>
                <w:bCs/>
                <w:color w:val="0D0D0D" w:themeColor="text1" w:themeTint="F2"/>
                <w:kern w:val="0"/>
                <w:sz w:val="24"/>
                <w:szCs w:val="24"/>
                <w14:textFill>
                  <w14:solidFill>
                    <w14:schemeClr w14:val="tx1">
                      <w14:lumMod w14:val="95000"/>
                      <w14:lumOff w14:val="5000"/>
                    </w14:schemeClr>
                  </w14:solidFill>
                </w14:textFill>
              </w:rPr>
              <w:t>转移性支出合计</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18,500 </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8,300 </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8,328 </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100.3 </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42.4</w:t>
            </w:r>
          </w:p>
        </w:tc>
      </w:tr>
      <w:tr>
        <w:tblPrEx>
          <w:tblCellMar>
            <w:top w:w="0" w:type="dxa"/>
            <w:left w:w="108" w:type="dxa"/>
            <w:bottom w:w="0" w:type="dxa"/>
            <w:right w:w="108" w:type="dxa"/>
          </w:tblCellMar>
        </w:tblPrEx>
        <w:trPr>
          <w:trHeight w:val="705" w:hRule="atLeast"/>
        </w:trPr>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一、上级补助收入</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75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w:t>
            </w:r>
          </w:p>
        </w:tc>
        <w:tc>
          <w:tcPr>
            <w:tcW w:w="80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w:t>
            </w:r>
          </w:p>
        </w:tc>
        <w:tc>
          <w:tcPr>
            <w:tcW w:w="311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一、调出资金</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18,500 </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8,300 </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8,300 </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100.0 </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42.3</w:t>
            </w:r>
          </w:p>
        </w:tc>
      </w:tr>
      <w:tr>
        <w:tblPrEx>
          <w:tblCellMar>
            <w:top w:w="0" w:type="dxa"/>
            <w:left w:w="108" w:type="dxa"/>
            <w:bottom w:w="0" w:type="dxa"/>
            <w:right w:w="108" w:type="dxa"/>
          </w:tblCellMar>
        </w:tblPrEx>
        <w:trPr>
          <w:trHeight w:val="705" w:hRule="atLeast"/>
        </w:trPr>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二、上年结转</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38 </w:t>
            </w:r>
          </w:p>
        </w:tc>
        <w:tc>
          <w:tcPr>
            <w:tcW w:w="99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38 </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38 </w:t>
            </w:r>
          </w:p>
        </w:tc>
        <w:tc>
          <w:tcPr>
            <w:tcW w:w="75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xml:space="preserve">100.0 </w:t>
            </w:r>
          </w:p>
        </w:tc>
        <w:tc>
          <w:tcPr>
            <w:tcW w:w="80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w:t>
            </w:r>
          </w:p>
        </w:tc>
        <w:tc>
          <w:tcPr>
            <w:tcW w:w="311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hint="eastAsia" w:cs="Times New Roman"/>
                <w:color w:val="0D0D0D" w:themeColor="text1" w:themeTint="F2"/>
                <w:kern w:val="0"/>
                <w:sz w:val="24"/>
                <w:szCs w:val="24"/>
                <w14:textFill>
                  <w14:solidFill>
                    <w14:schemeClr w14:val="tx1">
                      <w14:lumMod w14:val="95000"/>
                      <w14:lumOff w14:val="5000"/>
                    </w14:schemeClr>
                  </w14:solidFill>
                </w14:textFill>
              </w:rPr>
              <w:t>二、结转下年</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xml:space="preserve">28 </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等线" w:cs="Times New Roman"/>
                <w:b/>
                <w:bCs/>
                <w:color w:val="0D0D0D" w:themeColor="text1" w:themeTint="F2"/>
                <w:kern w:val="0"/>
                <w:sz w:val="24"/>
                <w:szCs w:val="24"/>
                <w14:textFill>
                  <w14:solidFill>
                    <w14:schemeClr w14:val="tx1">
                      <w14:lumMod w14:val="95000"/>
                      <w14:lumOff w14:val="5000"/>
                    </w14:schemeClr>
                  </w14:solidFill>
                </w14:textFill>
              </w:rPr>
            </w:pPr>
            <w:r>
              <w:rPr>
                <w:rFonts w:eastAsia="等线" w:cs="Times New Roman"/>
                <w:b/>
                <w:bCs/>
                <w:color w:val="0D0D0D" w:themeColor="text1" w:themeTint="F2"/>
                <w:kern w:val="0"/>
                <w:sz w:val="24"/>
                <w:szCs w:val="24"/>
                <w14:textFill>
                  <w14:solidFill>
                    <w14:schemeClr w14:val="tx1">
                      <w14:lumMod w14:val="95000"/>
                      <w14:lumOff w14:val="5000"/>
                    </w14:schemeClr>
                  </w14:solidFill>
                </w14:textFill>
              </w:rPr>
              <w:t>　</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73.7</w:t>
            </w:r>
          </w:p>
        </w:tc>
      </w:tr>
      <w:tr>
        <w:tblPrEx>
          <w:tblCellMar>
            <w:top w:w="0" w:type="dxa"/>
            <w:left w:w="108" w:type="dxa"/>
            <w:bottom w:w="0" w:type="dxa"/>
            <w:right w:w="108" w:type="dxa"/>
          </w:tblCellMar>
        </w:tblPrEx>
        <w:trPr>
          <w:trHeight w:val="888" w:hRule="atLeast"/>
        </w:trPr>
        <w:tc>
          <w:tcPr>
            <w:tcW w:w="15593" w:type="dxa"/>
            <w:gridSpan w:val="12"/>
            <w:tcBorders>
              <w:top w:val="single" w:color="auto" w:sz="4" w:space="0"/>
              <w:left w:val="nil"/>
              <w:bottom w:val="nil"/>
              <w:right w:val="nil"/>
            </w:tcBorders>
            <w:shd w:val="clear" w:color="000000" w:fill="FFFFFF"/>
            <w:vAlign w:val="center"/>
          </w:tcPr>
          <w:p>
            <w:pPr>
              <w:widowControl/>
              <w:adjustRightInd w:val="0"/>
              <w:snapToGrid w:val="0"/>
              <w:spacing w:line="240" w:lineRule="auto"/>
              <w:ind w:firstLine="0" w:firstLineChars="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注：1.本表直观反映2022年国有资本经营预算收入与支出的平衡关系。</w:t>
            </w:r>
          </w:p>
          <w:p>
            <w:pPr>
              <w:widowControl/>
              <w:adjustRightInd w:val="0"/>
              <w:snapToGrid w:val="0"/>
              <w:spacing w:line="240" w:lineRule="auto"/>
              <w:ind w:firstLine="0" w:firstLineChars="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2.收入总计（本级收入合计+转移性收入合计）=支出总计（本级支出合计+转移性支出合计）。</w:t>
            </w:r>
          </w:p>
        </w:tc>
      </w:tr>
    </w:tbl>
    <w:p>
      <w:pPr>
        <w:widowControl/>
        <w:spacing w:line="240" w:lineRule="auto"/>
        <w:ind w:firstLine="0" w:firstLineChars="0"/>
        <w:rPr>
          <w:rFonts w:eastAsia="方正楷体_GBK"/>
          <w:bCs/>
          <w:color w:val="0D0D0D" w:themeColor="text1" w:themeTint="F2"/>
          <w:kern w:val="44"/>
          <w:szCs w:val="44"/>
          <w14:textFill>
            <w14:solidFill>
              <w14:schemeClr w14:val="tx1">
                <w14:lumMod w14:val="95000"/>
                <w14:lumOff w14:val="5000"/>
              </w14:schemeClr>
            </w14:solidFill>
          </w14:textFill>
        </w:rPr>
      </w:pPr>
    </w:p>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sectPr>
          <w:pgSz w:w="16838" w:h="11906" w:orient="landscape"/>
          <w:pgMar w:top="1531" w:right="2098" w:bottom="1531" w:left="1985" w:header="851" w:footer="1417" w:gutter="0"/>
          <w:cols w:space="425" w:num="1"/>
          <w:docGrid w:type="lines" w:linePitch="435" w:charSpace="0"/>
        </w:sectPr>
      </w:pPr>
      <w:r>
        <w:rPr>
          <w:rFonts w:eastAsia="方正楷体_GBK"/>
          <w:bCs/>
          <w:color w:val="0D0D0D" w:themeColor="text1" w:themeTint="F2"/>
          <w:kern w:val="44"/>
          <w:szCs w:val="44"/>
          <w14:textFill>
            <w14:solidFill>
              <w14:schemeClr w14:val="tx1">
                <w14:lumMod w14:val="95000"/>
                <w14:lumOff w14:val="5000"/>
              </w14:schemeClr>
            </w14:solidFill>
          </w14:textFill>
        </w:rPr>
        <w:br w:type="page"/>
      </w:r>
    </w:p>
    <w:tbl>
      <w:tblPr>
        <w:tblStyle w:val="7"/>
        <w:tblW w:w="9214" w:type="dxa"/>
        <w:tblInd w:w="0" w:type="dxa"/>
        <w:tblLayout w:type="autofit"/>
        <w:tblCellMar>
          <w:top w:w="0" w:type="dxa"/>
          <w:left w:w="108" w:type="dxa"/>
          <w:bottom w:w="0" w:type="dxa"/>
          <w:right w:w="108" w:type="dxa"/>
        </w:tblCellMar>
      </w:tblPr>
      <w:tblGrid>
        <w:gridCol w:w="2410"/>
        <w:gridCol w:w="1843"/>
        <w:gridCol w:w="3685"/>
        <w:gridCol w:w="1276"/>
      </w:tblGrid>
      <w:tr>
        <w:tblPrEx>
          <w:tblCellMar>
            <w:top w:w="0" w:type="dxa"/>
            <w:left w:w="108" w:type="dxa"/>
            <w:bottom w:w="0" w:type="dxa"/>
            <w:right w:w="108" w:type="dxa"/>
          </w:tblCellMar>
        </w:tblPrEx>
        <w:trPr>
          <w:trHeight w:val="372" w:hRule="atLeast"/>
          <w:tblHeader/>
        </w:trPr>
        <w:tc>
          <w:tcPr>
            <w:tcW w:w="2410"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方正黑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表8</w:t>
            </w:r>
          </w:p>
        </w:tc>
        <w:tc>
          <w:tcPr>
            <w:tcW w:w="1843"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方正黑体_GBK" w:cs="宋体"/>
                <w:color w:val="0D0D0D" w:themeColor="text1" w:themeTint="F2"/>
                <w:kern w:val="0"/>
                <w:sz w:val="28"/>
                <w:szCs w:val="28"/>
                <w14:textFill>
                  <w14:solidFill>
                    <w14:schemeClr w14:val="tx1">
                      <w14:lumMod w14:val="95000"/>
                      <w14:lumOff w14:val="5000"/>
                    </w14:schemeClr>
                  </w14:solidFill>
                </w14:textFill>
              </w:rPr>
            </w:pPr>
          </w:p>
        </w:tc>
        <w:tc>
          <w:tcPr>
            <w:tcW w:w="3685"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276"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504" w:hRule="atLeast"/>
          <w:tblHeader/>
        </w:trPr>
        <w:tc>
          <w:tcPr>
            <w:tcW w:w="9214" w:type="dxa"/>
            <w:gridSpan w:val="4"/>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方正小标宋_GBK" w:cs="宋体"/>
                <w:color w:val="0D0D0D" w:themeColor="text1" w:themeTint="F2"/>
                <w:kern w:val="0"/>
                <w:sz w:val="38"/>
                <w:szCs w:val="38"/>
                <w14:textFill>
                  <w14:solidFill>
                    <w14:schemeClr w14:val="tx1">
                      <w14:lumMod w14:val="95000"/>
                      <w14:lumOff w14:val="5000"/>
                    </w14:schemeClr>
                  </w14:solidFill>
                </w14:textFill>
              </w:rPr>
            </w:pPr>
            <w:r>
              <w:rPr>
                <w:rFonts w:hint="eastAsia" w:eastAsia="方正小标宋_GBK" w:cs="宋体"/>
                <w:color w:val="0D0D0D" w:themeColor="text1" w:themeTint="F2"/>
                <w:kern w:val="0"/>
                <w:sz w:val="38"/>
                <w:szCs w:val="38"/>
                <w14:textFill>
                  <w14:solidFill>
                    <w14:schemeClr w14:val="tx1">
                      <w14:lumMod w14:val="95000"/>
                      <w14:lumOff w14:val="5000"/>
                    </w14:schemeClr>
                  </w14:solidFill>
                </w14:textFill>
              </w:rPr>
              <w:t>2023年一般公共预算收支预算表</w:t>
            </w:r>
          </w:p>
        </w:tc>
      </w:tr>
      <w:tr>
        <w:tblPrEx>
          <w:tblCellMar>
            <w:top w:w="0" w:type="dxa"/>
            <w:left w:w="108" w:type="dxa"/>
            <w:bottom w:w="0" w:type="dxa"/>
            <w:right w:w="108" w:type="dxa"/>
          </w:tblCellMar>
        </w:tblPrEx>
        <w:trPr>
          <w:trHeight w:val="288" w:hRule="atLeast"/>
          <w:tblHeader/>
        </w:trPr>
        <w:tc>
          <w:tcPr>
            <w:tcW w:w="2410"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方正小标宋_GBK" w:cs="宋体"/>
                <w:color w:val="0D0D0D" w:themeColor="text1" w:themeTint="F2"/>
                <w:kern w:val="0"/>
                <w:sz w:val="21"/>
                <w:szCs w:val="21"/>
                <w14:textFill>
                  <w14:solidFill>
                    <w14:schemeClr w14:val="tx1">
                      <w14:lumMod w14:val="95000"/>
                      <w14:lumOff w14:val="5000"/>
                    </w14:schemeClr>
                  </w14:solidFill>
                </w14:textFill>
              </w:rPr>
            </w:pPr>
          </w:p>
        </w:tc>
        <w:tc>
          <w:tcPr>
            <w:tcW w:w="1843"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1"/>
                <w:szCs w:val="21"/>
                <w14:textFill>
                  <w14:solidFill>
                    <w14:schemeClr w14:val="tx1">
                      <w14:lumMod w14:val="95000"/>
                      <w14:lumOff w14:val="5000"/>
                    </w14:schemeClr>
                  </w14:solidFill>
                </w14:textFill>
              </w:rPr>
            </w:pPr>
          </w:p>
        </w:tc>
        <w:tc>
          <w:tcPr>
            <w:tcW w:w="4961" w:type="dxa"/>
            <w:gridSpan w:val="2"/>
            <w:tcBorders>
              <w:top w:val="nil"/>
              <w:left w:val="nil"/>
              <w:bottom w:val="nil"/>
              <w:right w:val="nil"/>
            </w:tcBorders>
            <w:shd w:val="clear" w:color="auto" w:fill="auto"/>
            <w:noWrap/>
            <w:vAlign w:val="center"/>
          </w:tcPr>
          <w:p>
            <w:pPr>
              <w:widowControl/>
              <w:adjustRightInd w:val="0"/>
              <w:snapToGrid w:val="0"/>
              <w:spacing w:line="240" w:lineRule="auto"/>
              <w:ind w:right="10" w:firstLine="0" w:firstLineChars="0"/>
              <w:jc w:val="right"/>
              <w:rPr>
                <w:rFonts w:eastAsia="方正楷体_GBK" w:cs="Times New Roman"/>
                <w:color w:val="0D0D0D" w:themeColor="text1" w:themeTint="F2"/>
                <w:kern w:val="0"/>
                <w:sz w:val="21"/>
                <w:szCs w:val="21"/>
                <w14:textFill>
                  <w14:solidFill>
                    <w14:schemeClr w14:val="tx1">
                      <w14:lumMod w14:val="95000"/>
                      <w14:lumOff w14:val="5000"/>
                    </w14:schemeClr>
                  </w14:solidFill>
                </w14:textFill>
              </w:rPr>
            </w:pPr>
            <w:r>
              <w:rPr>
                <w:rFonts w:hint="eastAsia" w:eastAsia="方正楷体_GBK" w:cs="Times New Roman"/>
                <w:color w:val="0D0D0D" w:themeColor="text1" w:themeTint="F2"/>
                <w:kern w:val="0"/>
                <w:sz w:val="21"/>
                <w:szCs w:val="21"/>
                <w14:textFill>
                  <w14:solidFill>
                    <w14:schemeClr w14:val="tx1">
                      <w14:lumMod w14:val="95000"/>
                      <w14:lumOff w14:val="5000"/>
                    </w14:schemeClr>
                  </w14:solidFill>
                </w14:textFill>
              </w:rPr>
              <w:t>单位：万元</w:t>
            </w:r>
          </w:p>
        </w:tc>
      </w:tr>
      <w:tr>
        <w:tblPrEx>
          <w:tblCellMar>
            <w:top w:w="0" w:type="dxa"/>
            <w:left w:w="108" w:type="dxa"/>
            <w:bottom w:w="0" w:type="dxa"/>
            <w:right w:w="108" w:type="dxa"/>
          </w:tblCellMar>
        </w:tblPrEx>
        <w:trPr>
          <w:trHeight w:val="432" w:hRule="atLeast"/>
          <w:tblHeader/>
        </w:trPr>
        <w:tc>
          <w:tcPr>
            <w:tcW w:w="2410" w:type="dxa"/>
            <w:tcBorders>
              <w:top w:val="single" w:color="auto" w:sz="4" w:space="0"/>
              <w:left w:val="single" w:color="auto" w:sz="4" w:space="0"/>
              <w:bottom w:val="nil"/>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Cs w:val="32"/>
                <w14:textFill>
                  <w14:solidFill>
                    <w14:schemeClr w14:val="tx1">
                      <w14:lumMod w14:val="95000"/>
                      <w14:lumOff w14:val="5000"/>
                    </w14:schemeClr>
                  </w14:solidFill>
                </w14:textFill>
              </w:rPr>
            </w:pPr>
            <w:r>
              <w:rPr>
                <w:rFonts w:hint="eastAsia" w:eastAsia="方正黑体_GBK" w:cs="宋体"/>
                <w:color w:val="0D0D0D" w:themeColor="text1" w:themeTint="F2"/>
                <w:kern w:val="0"/>
                <w:szCs w:val="32"/>
                <w14:textFill>
                  <w14:solidFill>
                    <w14:schemeClr w14:val="tx1">
                      <w14:lumMod w14:val="95000"/>
                      <w14:lumOff w14:val="5000"/>
                    </w14:schemeClr>
                  </w14:solidFill>
                </w14:textFill>
              </w:rPr>
              <w:t>收   入</w:t>
            </w:r>
          </w:p>
        </w:tc>
        <w:tc>
          <w:tcPr>
            <w:tcW w:w="1843" w:type="dxa"/>
            <w:tcBorders>
              <w:top w:val="single" w:color="auto" w:sz="4" w:space="0"/>
              <w:left w:val="nil"/>
              <w:bottom w:val="nil"/>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Cs w:val="32"/>
                <w14:textFill>
                  <w14:solidFill>
                    <w14:schemeClr w14:val="tx1">
                      <w14:lumMod w14:val="95000"/>
                      <w14:lumOff w14:val="5000"/>
                    </w14:schemeClr>
                  </w14:solidFill>
                </w14:textFill>
              </w:rPr>
            </w:pPr>
            <w:r>
              <w:rPr>
                <w:rFonts w:hint="eastAsia" w:eastAsia="方正黑体_GBK" w:cs="宋体"/>
                <w:color w:val="0D0D0D" w:themeColor="text1" w:themeTint="F2"/>
                <w:kern w:val="0"/>
                <w:szCs w:val="32"/>
                <w14:textFill>
                  <w14:solidFill>
                    <w14:schemeClr w14:val="tx1">
                      <w14:lumMod w14:val="95000"/>
                      <w14:lumOff w14:val="5000"/>
                    </w14:schemeClr>
                  </w14:solidFill>
                </w14:textFill>
              </w:rPr>
              <w:t>预算数</w:t>
            </w:r>
          </w:p>
        </w:tc>
        <w:tc>
          <w:tcPr>
            <w:tcW w:w="3685" w:type="dxa"/>
            <w:tcBorders>
              <w:top w:val="single" w:color="auto" w:sz="4" w:space="0"/>
              <w:left w:val="nil"/>
              <w:bottom w:val="nil"/>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Cs w:val="32"/>
                <w14:textFill>
                  <w14:solidFill>
                    <w14:schemeClr w14:val="tx1">
                      <w14:lumMod w14:val="95000"/>
                      <w14:lumOff w14:val="5000"/>
                    </w14:schemeClr>
                  </w14:solidFill>
                </w14:textFill>
              </w:rPr>
            </w:pPr>
            <w:r>
              <w:rPr>
                <w:rFonts w:hint="eastAsia" w:eastAsia="方正黑体_GBK" w:cs="宋体"/>
                <w:color w:val="0D0D0D" w:themeColor="text1" w:themeTint="F2"/>
                <w:kern w:val="0"/>
                <w:szCs w:val="32"/>
                <w14:textFill>
                  <w14:solidFill>
                    <w14:schemeClr w14:val="tx1">
                      <w14:lumMod w14:val="95000"/>
                      <w14:lumOff w14:val="5000"/>
                    </w14:schemeClr>
                  </w14:solidFill>
                </w14:textFill>
              </w:rPr>
              <w:t>支   出</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Cs w:val="32"/>
                <w14:textFill>
                  <w14:solidFill>
                    <w14:schemeClr w14:val="tx1">
                      <w14:lumMod w14:val="95000"/>
                      <w14:lumOff w14:val="5000"/>
                    </w14:schemeClr>
                  </w14:solidFill>
                </w14:textFill>
              </w:rPr>
            </w:pPr>
            <w:r>
              <w:rPr>
                <w:rFonts w:hint="eastAsia" w:eastAsia="方正黑体_GBK" w:cs="宋体"/>
                <w:color w:val="0D0D0D" w:themeColor="text1" w:themeTint="F2"/>
                <w:kern w:val="0"/>
                <w:szCs w:val="32"/>
                <w14:textFill>
                  <w14:solidFill>
                    <w14:schemeClr w14:val="tx1">
                      <w14:lumMod w14:val="95000"/>
                      <w14:lumOff w14:val="5000"/>
                    </w14:schemeClr>
                  </w14:solidFill>
                </w14:textFill>
              </w:rPr>
              <w:t>预算数</w:t>
            </w:r>
          </w:p>
        </w:tc>
      </w:tr>
      <w:tr>
        <w:tblPrEx>
          <w:tblCellMar>
            <w:top w:w="0" w:type="dxa"/>
            <w:left w:w="108" w:type="dxa"/>
            <w:bottom w:w="0" w:type="dxa"/>
            <w:right w:w="108" w:type="dxa"/>
          </w:tblCellMar>
        </w:tblPrEx>
        <w:trPr>
          <w:trHeight w:val="324" w:hRule="atLeast"/>
        </w:trPr>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总    计</w:t>
            </w:r>
          </w:p>
        </w:tc>
        <w:tc>
          <w:tcPr>
            <w:tcW w:w="1843" w:type="dxa"/>
            <w:tcBorders>
              <w:top w:val="single" w:color="auto" w:sz="4" w:space="0"/>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86</w:t>
            </w:r>
            <w:r>
              <w:rPr>
                <w:rFonts w:eastAsia="宋体" w:cs="宋体"/>
                <w:b/>
                <w:bCs/>
                <w:color w:val="0D0D0D" w:themeColor="text1" w:themeTint="F2"/>
                <w:kern w:val="0"/>
                <w:sz w:val="24"/>
                <w:szCs w:val="24"/>
                <w14:textFill>
                  <w14:solidFill>
                    <w14:schemeClr w14:val="tx1">
                      <w14:lumMod w14:val="95000"/>
                      <w14:lumOff w14:val="5000"/>
                    </w14:schemeClr>
                  </w14:solidFill>
                </w14:textFill>
              </w:rPr>
              <w:t>6</w:t>
            </w: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,0</w:t>
            </w:r>
            <w:r>
              <w:rPr>
                <w:rFonts w:eastAsia="宋体" w:cs="宋体"/>
                <w:b/>
                <w:bCs/>
                <w:color w:val="0D0D0D" w:themeColor="text1" w:themeTint="F2"/>
                <w:kern w:val="0"/>
                <w:sz w:val="24"/>
                <w:szCs w:val="24"/>
                <w14:textFill>
                  <w14:solidFill>
                    <w14:schemeClr w14:val="tx1">
                      <w14:lumMod w14:val="95000"/>
                      <w14:lumOff w14:val="5000"/>
                    </w14:schemeClr>
                  </w14:solidFill>
                </w14:textFill>
              </w:rPr>
              <w:t>75</w:t>
            </w:r>
          </w:p>
        </w:tc>
        <w:tc>
          <w:tcPr>
            <w:tcW w:w="368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总     计</w:t>
            </w:r>
          </w:p>
        </w:tc>
        <w:tc>
          <w:tcPr>
            <w:tcW w:w="127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86</w:t>
            </w:r>
            <w:r>
              <w:rPr>
                <w:rFonts w:eastAsia="宋体" w:cs="宋体"/>
                <w:b/>
                <w:bCs/>
                <w:color w:val="0D0D0D" w:themeColor="text1" w:themeTint="F2"/>
                <w:kern w:val="0"/>
                <w:sz w:val="24"/>
                <w:szCs w:val="24"/>
                <w14:textFill>
                  <w14:solidFill>
                    <w14:schemeClr w14:val="tx1">
                      <w14:lumMod w14:val="95000"/>
                      <w14:lumOff w14:val="5000"/>
                    </w14:schemeClr>
                  </w14:solidFill>
                </w14:textFill>
              </w:rPr>
              <w:t>6</w:t>
            </w: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,0</w:t>
            </w:r>
            <w:r>
              <w:rPr>
                <w:rFonts w:eastAsia="宋体" w:cs="宋体"/>
                <w:b/>
                <w:bCs/>
                <w:color w:val="0D0D0D" w:themeColor="text1" w:themeTint="F2"/>
                <w:kern w:val="0"/>
                <w:sz w:val="24"/>
                <w:szCs w:val="24"/>
                <w14:textFill>
                  <w14:solidFill>
                    <w14:schemeClr w14:val="tx1">
                      <w14:lumMod w14:val="95000"/>
                      <w14:lumOff w14:val="5000"/>
                    </w14:schemeClr>
                  </w14:solidFill>
                </w14:textFill>
              </w:rPr>
              <w:t>75</w:t>
            </w:r>
          </w:p>
        </w:tc>
      </w:tr>
      <w:tr>
        <w:tblPrEx>
          <w:tblCellMar>
            <w:top w:w="0" w:type="dxa"/>
            <w:left w:w="108" w:type="dxa"/>
            <w:bottom w:w="0" w:type="dxa"/>
            <w:right w:w="108" w:type="dxa"/>
          </w:tblCellMar>
        </w:tblPrEx>
        <w:trPr>
          <w:trHeight w:val="324" w:hRule="atLeast"/>
        </w:trPr>
        <w:tc>
          <w:tcPr>
            <w:tcW w:w="2410" w:type="dxa"/>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本级收入合计</w:t>
            </w:r>
          </w:p>
        </w:tc>
        <w:tc>
          <w:tcPr>
            <w:tcW w:w="184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323,900</w:t>
            </w:r>
          </w:p>
        </w:tc>
        <w:tc>
          <w:tcPr>
            <w:tcW w:w="368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本级支出合计</w:t>
            </w:r>
          </w:p>
        </w:tc>
        <w:tc>
          <w:tcPr>
            <w:tcW w:w="127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83</w:t>
            </w:r>
            <w:r>
              <w:rPr>
                <w:rFonts w:eastAsia="宋体" w:cs="宋体"/>
                <w:b/>
                <w:bCs/>
                <w:color w:val="0D0D0D" w:themeColor="text1" w:themeTint="F2"/>
                <w:kern w:val="0"/>
                <w:sz w:val="24"/>
                <w:szCs w:val="24"/>
                <w14:textFill>
                  <w14:solidFill>
                    <w14:schemeClr w14:val="tx1">
                      <w14:lumMod w14:val="95000"/>
                      <w14:lumOff w14:val="5000"/>
                    </w14:schemeClr>
                  </w14:solidFill>
                </w14:textFill>
              </w:rPr>
              <w:t>5</w:t>
            </w: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,6</w:t>
            </w:r>
            <w:r>
              <w:rPr>
                <w:rFonts w:eastAsia="宋体" w:cs="宋体"/>
                <w:b/>
                <w:bCs/>
                <w:color w:val="0D0D0D" w:themeColor="text1" w:themeTint="F2"/>
                <w:kern w:val="0"/>
                <w:sz w:val="24"/>
                <w:szCs w:val="24"/>
                <w14:textFill>
                  <w14:solidFill>
                    <w14:schemeClr w14:val="tx1">
                      <w14:lumMod w14:val="95000"/>
                      <w14:lumOff w14:val="5000"/>
                    </w14:schemeClr>
                  </w14:solidFill>
                </w14:textFill>
              </w:rPr>
              <w:t>23</w:t>
            </w:r>
          </w:p>
        </w:tc>
      </w:tr>
      <w:tr>
        <w:tblPrEx>
          <w:tblCellMar>
            <w:top w:w="0" w:type="dxa"/>
            <w:left w:w="108" w:type="dxa"/>
            <w:bottom w:w="0" w:type="dxa"/>
            <w:right w:w="108" w:type="dxa"/>
          </w:tblCellMar>
        </w:tblPrEx>
        <w:trPr>
          <w:trHeight w:val="324" w:hRule="atLeast"/>
        </w:trPr>
        <w:tc>
          <w:tcPr>
            <w:tcW w:w="2410" w:type="dxa"/>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（一）税收收入</w:t>
            </w:r>
          </w:p>
        </w:tc>
        <w:tc>
          <w:tcPr>
            <w:tcW w:w="184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270,900</w:t>
            </w:r>
          </w:p>
        </w:tc>
        <w:tc>
          <w:tcPr>
            <w:tcW w:w="368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一、一般公共服务支出</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110,70</w:t>
            </w:r>
            <w:r>
              <w:rPr>
                <w:rFonts w:eastAsia="宋体" w:cs="宋体"/>
                <w:color w:val="0D0D0D" w:themeColor="text1" w:themeTint="F2"/>
                <w:kern w:val="0"/>
                <w:sz w:val="24"/>
                <w:szCs w:val="24"/>
                <w14:textFill>
                  <w14:solidFill>
                    <w14:schemeClr w14:val="tx1">
                      <w14:lumMod w14:val="95000"/>
                      <w14:lumOff w14:val="5000"/>
                    </w14:schemeClr>
                  </w14:solidFill>
                </w14:textFill>
              </w:rPr>
              <w:t>4</w:t>
            </w:r>
          </w:p>
        </w:tc>
      </w:tr>
      <w:tr>
        <w:tblPrEx>
          <w:tblCellMar>
            <w:top w:w="0" w:type="dxa"/>
            <w:left w:w="108" w:type="dxa"/>
            <w:bottom w:w="0" w:type="dxa"/>
            <w:right w:w="108" w:type="dxa"/>
          </w:tblCellMar>
        </w:tblPrEx>
        <w:trPr>
          <w:trHeight w:val="324" w:hRule="atLeast"/>
        </w:trPr>
        <w:tc>
          <w:tcPr>
            <w:tcW w:w="241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增值税</w:t>
            </w:r>
          </w:p>
        </w:tc>
        <w:tc>
          <w:tcPr>
            <w:tcW w:w="184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50,000</w:t>
            </w:r>
          </w:p>
        </w:tc>
        <w:tc>
          <w:tcPr>
            <w:tcW w:w="368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二、外交支出</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241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企业所得税</w:t>
            </w:r>
          </w:p>
        </w:tc>
        <w:tc>
          <w:tcPr>
            <w:tcW w:w="184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31,500</w:t>
            </w:r>
          </w:p>
        </w:tc>
        <w:tc>
          <w:tcPr>
            <w:tcW w:w="368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三、国防支出</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40</w:t>
            </w:r>
          </w:p>
        </w:tc>
      </w:tr>
      <w:tr>
        <w:tblPrEx>
          <w:tblCellMar>
            <w:top w:w="0" w:type="dxa"/>
            <w:left w:w="108" w:type="dxa"/>
            <w:bottom w:w="0" w:type="dxa"/>
            <w:right w:w="108" w:type="dxa"/>
          </w:tblCellMar>
        </w:tblPrEx>
        <w:trPr>
          <w:trHeight w:val="324" w:hRule="atLeast"/>
        </w:trPr>
        <w:tc>
          <w:tcPr>
            <w:tcW w:w="241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个人所得税</w:t>
            </w:r>
          </w:p>
        </w:tc>
        <w:tc>
          <w:tcPr>
            <w:tcW w:w="184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11,000</w:t>
            </w:r>
          </w:p>
        </w:tc>
        <w:tc>
          <w:tcPr>
            <w:tcW w:w="368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四、公共安全支出</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40,584</w:t>
            </w:r>
          </w:p>
        </w:tc>
      </w:tr>
      <w:tr>
        <w:tblPrEx>
          <w:tblCellMar>
            <w:top w:w="0" w:type="dxa"/>
            <w:left w:w="108" w:type="dxa"/>
            <w:bottom w:w="0" w:type="dxa"/>
            <w:right w:w="108" w:type="dxa"/>
          </w:tblCellMar>
        </w:tblPrEx>
        <w:trPr>
          <w:trHeight w:val="324" w:hRule="atLeast"/>
        </w:trPr>
        <w:tc>
          <w:tcPr>
            <w:tcW w:w="241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资源税</w:t>
            </w:r>
          </w:p>
        </w:tc>
        <w:tc>
          <w:tcPr>
            <w:tcW w:w="184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w:t>
            </w:r>
          </w:p>
        </w:tc>
        <w:tc>
          <w:tcPr>
            <w:tcW w:w="368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五、教育支出</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148,836</w:t>
            </w:r>
          </w:p>
        </w:tc>
      </w:tr>
      <w:tr>
        <w:tblPrEx>
          <w:tblCellMar>
            <w:top w:w="0" w:type="dxa"/>
            <w:left w:w="108" w:type="dxa"/>
            <w:bottom w:w="0" w:type="dxa"/>
            <w:right w:w="108" w:type="dxa"/>
          </w:tblCellMar>
        </w:tblPrEx>
        <w:trPr>
          <w:trHeight w:val="324" w:hRule="atLeast"/>
        </w:trPr>
        <w:tc>
          <w:tcPr>
            <w:tcW w:w="241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城市维护建设税</w:t>
            </w:r>
          </w:p>
        </w:tc>
        <w:tc>
          <w:tcPr>
            <w:tcW w:w="184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13,000</w:t>
            </w:r>
          </w:p>
        </w:tc>
        <w:tc>
          <w:tcPr>
            <w:tcW w:w="368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六、科学技术支出</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208,907</w:t>
            </w:r>
          </w:p>
        </w:tc>
      </w:tr>
      <w:tr>
        <w:tblPrEx>
          <w:tblCellMar>
            <w:top w:w="0" w:type="dxa"/>
            <w:left w:w="108" w:type="dxa"/>
            <w:bottom w:w="0" w:type="dxa"/>
            <w:right w:w="108" w:type="dxa"/>
          </w:tblCellMar>
        </w:tblPrEx>
        <w:trPr>
          <w:trHeight w:val="324" w:hRule="atLeast"/>
        </w:trPr>
        <w:tc>
          <w:tcPr>
            <w:tcW w:w="241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房产税</w:t>
            </w:r>
          </w:p>
        </w:tc>
        <w:tc>
          <w:tcPr>
            <w:tcW w:w="184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14,000</w:t>
            </w:r>
          </w:p>
        </w:tc>
        <w:tc>
          <w:tcPr>
            <w:tcW w:w="368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七、文化旅游体育与传媒支出</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3,165</w:t>
            </w:r>
          </w:p>
        </w:tc>
      </w:tr>
      <w:tr>
        <w:tblPrEx>
          <w:tblCellMar>
            <w:top w:w="0" w:type="dxa"/>
            <w:left w:w="108" w:type="dxa"/>
            <w:bottom w:w="0" w:type="dxa"/>
            <w:right w:w="108" w:type="dxa"/>
          </w:tblCellMar>
        </w:tblPrEx>
        <w:trPr>
          <w:trHeight w:val="324" w:hRule="atLeast"/>
        </w:trPr>
        <w:tc>
          <w:tcPr>
            <w:tcW w:w="241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印花税</w:t>
            </w:r>
          </w:p>
        </w:tc>
        <w:tc>
          <w:tcPr>
            <w:tcW w:w="184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12,000</w:t>
            </w:r>
          </w:p>
        </w:tc>
        <w:tc>
          <w:tcPr>
            <w:tcW w:w="368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八、社会保障和就业支出</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52,106</w:t>
            </w:r>
          </w:p>
        </w:tc>
      </w:tr>
      <w:tr>
        <w:tblPrEx>
          <w:tblCellMar>
            <w:top w:w="0" w:type="dxa"/>
            <w:left w:w="108" w:type="dxa"/>
            <w:bottom w:w="0" w:type="dxa"/>
            <w:right w:w="108" w:type="dxa"/>
          </w:tblCellMar>
        </w:tblPrEx>
        <w:trPr>
          <w:trHeight w:val="324" w:hRule="atLeast"/>
        </w:trPr>
        <w:tc>
          <w:tcPr>
            <w:tcW w:w="241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城镇土地使用税</w:t>
            </w:r>
          </w:p>
        </w:tc>
        <w:tc>
          <w:tcPr>
            <w:tcW w:w="184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26,000</w:t>
            </w:r>
          </w:p>
        </w:tc>
        <w:tc>
          <w:tcPr>
            <w:tcW w:w="368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九、卫生健康支出</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29,586</w:t>
            </w:r>
          </w:p>
        </w:tc>
      </w:tr>
      <w:tr>
        <w:tblPrEx>
          <w:tblCellMar>
            <w:top w:w="0" w:type="dxa"/>
            <w:left w:w="108" w:type="dxa"/>
            <w:bottom w:w="0" w:type="dxa"/>
            <w:right w:w="108" w:type="dxa"/>
          </w:tblCellMar>
        </w:tblPrEx>
        <w:trPr>
          <w:trHeight w:val="324" w:hRule="atLeast"/>
        </w:trPr>
        <w:tc>
          <w:tcPr>
            <w:tcW w:w="241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土地增值税</w:t>
            </w:r>
          </w:p>
        </w:tc>
        <w:tc>
          <w:tcPr>
            <w:tcW w:w="184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45,000</w:t>
            </w:r>
          </w:p>
        </w:tc>
        <w:tc>
          <w:tcPr>
            <w:tcW w:w="368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十、节能环保支出</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18,668</w:t>
            </w:r>
          </w:p>
        </w:tc>
      </w:tr>
      <w:tr>
        <w:tblPrEx>
          <w:tblCellMar>
            <w:top w:w="0" w:type="dxa"/>
            <w:left w:w="108" w:type="dxa"/>
            <w:bottom w:w="0" w:type="dxa"/>
            <w:right w:w="108" w:type="dxa"/>
          </w:tblCellMar>
        </w:tblPrEx>
        <w:trPr>
          <w:trHeight w:val="324" w:hRule="atLeast"/>
        </w:trPr>
        <w:tc>
          <w:tcPr>
            <w:tcW w:w="241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耕地占用税</w:t>
            </w:r>
          </w:p>
        </w:tc>
        <w:tc>
          <w:tcPr>
            <w:tcW w:w="184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13,000</w:t>
            </w:r>
          </w:p>
        </w:tc>
        <w:tc>
          <w:tcPr>
            <w:tcW w:w="368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十一、城乡社区支出</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w:t>
            </w:r>
            <w:r>
              <w:rPr>
                <w:rFonts w:eastAsia="宋体" w:cs="宋体"/>
                <w:color w:val="0D0D0D" w:themeColor="text1" w:themeTint="F2"/>
                <w:kern w:val="0"/>
                <w:sz w:val="24"/>
                <w:szCs w:val="24"/>
                <w14:textFill>
                  <w14:solidFill>
                    <w14:schemeClr w14:val="tx1">
                      <w14:lumMod w14:val="95000"/>
                      <w14:lumOff w14:val="5000"/>
                    </w14:schemeClr>
                  </w14:solidFill>
                </w14:textFill>
              </w:rPr>
              <w:t>22</w:t>
            </w:r>
            <w:r>
              <w:rPr>
                <w:rFonts w:hint="eastAsia" w:eastAsia="宋体" w:cs="宋体"/>
                <w:color w:val="0D0D0D" w:themeColor="text1" w:themeTint="F2"/>
                <w:kern w:val="0"/>
                <w:sz w:val="24"/>
                <w:szCs w:val="24"/>
                <w14:textFill>
                  <w14:solidFill>
                    <w14:schemeClr w14:val="tx1">
                      <w14:lumMod w14:val="95000"/>
                      <w14:lumOff w14:val="5000"/>
                    </w14:schemeClr>
                  </w14:solidFill>
                </w14:textFill>
              </w:rPr>
              <w:t>,5</w:t>
            </w:r>
            <w:r>
              <w:rPr>
                <w:rFonts w:eastAsia="宋体" w:cs="宋体"/>
                <w:color w:val="0D0D0D" w:themeColor="text1" w:themeTint="F2"/>
                <w:kern w:val="0"/>
                <w:sz w:val="24"/>
                <w:szCs w:val="24"/>
                <w14:textFill>
                  <w14:solidFill>
                    <w14:schemeClr w14:val="tx1">
                      <w14:lumMod w14:val="95000"/>
                      <w14:lumOff w14:val="5000"/>
                    </w14:schemeClr>
                  </w14:solidFill>
                </w14:textFill>
              </w:rPr>
              <w:t>46</w:t>
            </w:r>
          </w:p>
        </w:tc>
      </w:tr>
      <w:tr>
        <w:tblPrEx>
          <w:tblCellMar>
            <w:top w:w="0" w:type="dxa"/>
            <w:left w:w="108" w:type="dxa"/>
            <w:bottom w:w="0" w:type="dxa"/>
            <w:right w:w="108" w:type="dxa"/>
          </w:tblCellMar>
        </w:tblPrEx>
        <w:trPr>
          <w:trHeight w:val="324" w:hRule="atLeast"/>
        </w:trPr>
        <w:tc>
          <w:tcPr>
            <w:tcW w:w="241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契税</w:t>
            </w:r>
          </w:p>
        </w:tc>
        <w:tc>
          <w:tcPr>
            <w:tcW w:w="184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55,000</w:t>
            </w:r>
          </w:p>
        </w:tc>
        <w:tc>
          <w:tcPr>
            <w:tcW w:w="368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十二、农林水支出</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12,528</w:t>
            </w:r>
          </w:p>
        </w:tc>
      </w:tr>
      <w:tr>
        <w:tblPrEx>
          <w:tblCellMar>
            <w:top w:w="0" w:type="dxa"/>
            <w:left w:w="108" w:type="dxa"/>
            <w:bottom w:w="0" w:type="dxa"/>
            <w:right w:w="108" w:type="dxa"/>
          </w:tblCellMar>
        </w:tblPrEx>
        <w:trPr>
          <w:trHeight w:val="324" w:hRule="atLeast"/>
        </w:trPr>
        <w:tc>
          <w:tcPr>
            <w:tcW w:w="241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环境保护税</w:t>
            </w:r>
          </w:p>
        </w:tc>
        <w:tc>
          <w:tcPr>
            <w:tcW w:w="184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400</w:t>
            </w:r>
          </w:p>
        </w:tc>
        <w:tc>
          <w:tcPr>
            <w:tcW w:w="368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十三、交通运输支出</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4,233</w:t>
            </w:r>
          </w:p>
        </w:tc>
      </w:tr>
      <w:tr>
        <w:tblPrEx>
          <w:tblCellMar>
            <w:top w:w="0" w:type="dxa"/>
            <w:left w:w="108" w:type="dxa"/>
            <w:bottom w:w="0" w:type="dxa"/>
            <w:right w:w="108" w:type="dxa"/>
          </w:tblCellMar>
        </w:tblPrEx>
        <w:trPr>
          <w:trHeight w:val="324" w:hRule="atLeast"/>
        </w:trPr>
        <w:tc>
          <w:tcPr>
            <w:tcW w:w="2410" w:type="dxa"/>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其他税收收入</w:t>
            </w:r>
          </w:p>
        </w:tc>
        <w:tc>
          <w:tcPr>
            <w:tcW w:w="184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0</w:t>
            </w:r>
          </w:p>
        </w:tc>
        <w:tc>
          <w:tcPr>
            <w:tcW w:w="368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十四、资源勘探工业信息等支出</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17,492</w:t>
            </w:r>
          </w:p>
        </w:tc>
      </w:tr>
      <w:tr>
        <w:tblPrEx>
          <w:tblCellMar>
            <w:top w:w="0" w:type="dxa"/>
            <w:left w:w="108" w:type="dxa"/>
            <w:bottom w:w="0" w:type="dxa"/>
            <w:right w:w="108" w:type="dxa"/>
          </w:tblCellMar>
        </w:tblPrEx>
        <w:trPr>
          <w:trHeight w:val="324" w:hRule="atLeast"/>
        </w:trPr>
        <w:tc>
          <w:tcPr>
            <w:tcW w:w="2410" w:type="dxa"/>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（二）非税收入</w:t>
            </w:r>
          </w:p>
        </w:tc>
        <w:tc>
          <w:tcPr>
            <w:tcW w:w="184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53,000</w:t>
            </w:r>
          </w:p>
        </w:tc>
        <w:tc>
          <w:tcPr>
            <w:tcW w:w="368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十五、商业服务业等支出</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4,832</w:t>
            </w:r>
          </w:p>
        </w:tc>
      </w:tr>
      <w:tr>
        <w:tblPrEx>
          <w:tblCellMar>
            <w:top w:w="0" w:type="dxa"/>
            <w:left w:w="108" w:type="dxa"/>
            <w:bottom w:w="0" w:type="dxa"/>
            <w:right w:w="108" w:type="dxa"/>
          </w:tblCellMar>
        </w:tblPrEx>
        <w:trPr>
          <w:trHeight w:val="324" w:hRule="atLeast"/>
        </w:trPr>
        <w:tc>
          <w:tcPr>
            <w:tcW w:w="2410" w:type="dxa"/>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专项收入</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26,000</w:t>
            </w:r>
          </w:p>
        </w:tc>
        <w:tc>
          <w:tcPr>
            <w:tcW w:w="368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十六、金融支出</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2410" w:type="dxa"/>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行政事业性收费收入</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1,500</w:t>
            </w:r>
          </w:p>
        </w:tc>
        <w:tc>
          <w:tcPr>
            <w:tcW w:w="368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十七、自然资源海洋气象等支出</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9,606</w:t>
            </w:r>
          </w:p>
        </w:tc>
      </w:tr>
      <w:tr>
        <w:tblPrEx>
          <w:tblCellMar>
            <w:top w:w="0" w:type="dxa"/>
            <w:left w:w="108" w:type="dxa"/>
            <w:bottom w:w="0" w:type="dxa"/>
            <w:right w:w="108" w:type="dxa"/>
          </w:tblCellMar>
        </w:tblPrEx>
        <w:trPr>
          <w:trHeight w:val="324" w:hRule="atLeast"/>
        </w:trPr>
        <w:tc>
          <w:tcPr>
            <w:tcW w:w="2410" w:type="dxa"/>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罚没收入</w:t>
            </w:r>
          </w:p>
        </w:tc>
        <w:tc>
          <w:tcPr>
            <w:tcW w:w="184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4,000</w:t>
            </w:r>
          </w:p>
        </w:tc>
        <w:tc>
          <w:tcPr>
            <w:tcW w:w="368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十八、住房保障支出</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14,866</w:t>
            </w:r>
          </w:p>
        </w:tc>
      </w:tr>
      <w:tr>
        <w:tblPrEx>
          <w:tblCellMar>
            <w:top w:w="0" w:type="dxa"/>
            <w:left w:w="108" w:type="dxa"/>
            <w:bottom w:w="0" w:type="dxa"/>
            <w:right w:w="108" w:type="dxa"/>
          </w:tblCellMar>
        </w:tblPrEx>
        <w:trPr>
          <w:trHeight w:val="324" w:hRule="atLeast"/>
        </w:trPr>
        <w:tc>
          <w:tcPr>
            <w:tcW w:w="2410" w:type="dxa"/>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国有资源（资产）有偿使用收入</w:t>
            </w:r>
          </w:p>
        </w:tc>
        <w:tc>
          <w:tcPr>
            <w:tcW w:w="184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21,500</w:t>
            </w:r>
          </w:p>
        </w:tc>
        <w:tc>
          <w:tcPr>
            <w:tcW w:w="368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十九、粮油物资储备支出</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220</w:t>
            </w:r>
          </w:p>
        </w:tc>
      </w:tr>
      <w:tr>
        <w:tblPrEx>
          <w:tblCellMar>
            <w:top w:w="0" w:type="dxa"/>
            <w:left w:w="108" w:type="dxa"/>
            <w:bottom w:w="0" w:type="dxa"/>
            <w:right w:w="108" w:type="dxa"/>
          </w:tblCellMar>
        </w:tblPrEx>
        <w:trPr>
          <w:trHeight w:val="324" w:hRule="atLeast"/>
        </w:trPr>
        <w:tc>
          <w:tcPr>
            <w:tcW w:w="2410" w:type="dxa"/>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捐赠收入</w:t>
            </w:r>
          </w:p>
        </w:tc>
        <w:tc>
          <w:tcPr>
            <w:tcW w:w="184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368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二十、灾害防治及应急管理支出</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1,704</w:t>
            </w:r>
          </w:p>
        </w:tc>
      </w:tr>
      <w:tr>
        <w:tblPrEx>
          <w:tblCellMar>
            <w:top w:w="0" w:type="dxa"/>
            <w:left w:w="108" w:type="dxa"/>
            <w:bottom w:w="0" w:type="dxa"/>
            <w:right w:w="108" w:type="dxa"/>
          </w:tblCellMar>
        </w:tblPrEx>
        <w:trPr>
          <w:trHeight w:val="324" w:hRule="atLeast"/>
        </w:trPr>
        <w:tc>
          <w:tcPr>
            <w:tcW w:w="2410" w:type="dxa"/>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其他收入</w:t>
            </w:r>
          </w:p>
        </w:tc>
        <w:tc>
          <w:tcPr>
            <w:tcW w:w="184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368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二十一、预备费</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10,000</w:t>
            </w:r>
          </w:p>
        </w:tc>
      </w:tr>
      <w:tr>
        <w:tblPrEx>
          <w:tblCellMar>
            <w:top w:w="0" w:type="dxa"/>
            <w:left w:w="108" w:type="dxa"/>
            <w:bottom w:w="0" w:type="dxa"/>
            <w:right w:w="108" w:type="dxa"/>
          </w:tblCellMar>
        </w:tblPrEx>
        <w:trPr>
          <w:trHeight w:val="324" w:hRule="atLeast"/>
        </w:trPr>
        <w:tc>
          <w:tcPr>
            <w:tcW w:w="2410" w:type="dxa"/>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84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368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二十二、其他支出</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2410" w:type="dxa"/>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84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368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二十三、债务付息支出</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25,000</w:t>
            </w:r>
          </w:p>
        </w:tc>
      </w:tr>
      <w:tr>
        <w:tblPrEx>
          <w:tblCellMar>
            <w:top w:w="0" w:type="dxa"/>
            <w:left w:w="108" w:type="dxa"/>
            <w:bottom w:w="0" w:type="dxa"/>
            <w:right w:w="108" w:type="dxa"/>
          </w:tblCellMar>
        </w:tblPrEx>
        <w:trPr>
          <w:trHeight w:val="324" w:hRule="atLeast"/>
        </w:trPr>
        <w:tc>
          <w:tcPr>
            <w:tcW w:w="2410" w:type="dxa"/>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84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368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二十四、债务发行费用支出</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2410" w:type="dxa"/>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转移性收入合计</w:t>
            </w:r>
          </w:p>
        </w:tc>
        <w:tc>
          <w:tcPr>
            <w:tcW w:w="1843"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5</w:t>
            </w:r>
            <w:r>
              <w:rPr>
                <w:rFonts w:eastAsia="宋体" w:cs="宋体"/>
                <w:b/>
                <w:bCs/>
                <w:color w:val="0D0D0D" w:themeColor="text1" w:themeTint="F2"/>
                <w:kern w:val="0"/>
                <w:sz w:val="24"/>
                <w:szCs w:val="24"/>
                <w14:textFill>
                  <w14:solidFill>
                    <w14:schemeClr w14:val="tx1">
                      <w14:lumMod w14:val="95000"/>
                      <w14:lumOff w14:val="5000"/>
                    </w14:schemeClr>
                  </w14:solidFill>
                </w14:textFill>
              </w:rPr>
              <w:t>42</w:t>
            </w: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,1</w:t>
            </w:r>
            <w:r>
              <w:rPr>
                <w:rFonts w:eastAsia="宋体" w:cs="宋体"/>
                <w:b/>
                <w:bCs/>
                <w:color w:val="0D0D0D" w:themeColor="text1" w:themeTint="F2"/>
                <w:kern w:val="0"/>
                <w:sz w:val="24"/>
                <w:szCs w:val="24"/>
                <w14:textFill>
                  <w14:solidFill>
                    <w14:schemeClr w14:val="tx1">
                      <w14:lumMod w14:val="95000"/>
                      <w14:lumOff w14:val="5000"/>
                    </w14:schemeClr>
                  </w14:solidFill>
                </w14:textFill>
              </w:rPr>
              <w:t>75</w:t>
            </w:r>
          </w:p>
        </w:tc>
        <w:tc>
          <w:tcPr>
            <w:tcW w:w="368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转移性支出合计</w:t>
            </w:r>
          </w:p>
        </w:tc>
        <w:tc>
          <w:tcPr>
            <w:tcW w:w="127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30,452</w:t>
            </w:r>
          </w:p>
        </w:tc>
      </w:tr>
      <w:tr>
        <w:tblPrEx>
          <w:tblCellMar>
            <w:top w:w="0" w:type="dxa"/>
            <w:left w:w="108" w:type="dxa"/>
            <w:bottom w:w="0" w:type="dxa"/>
            <w:right w:w="108" w:type="dxa"/>
          </w:tblCellMar>
        </w:tblPrEx>
        <w:trPr>
          <w:trHeight w:val="324" w:hRule="atLeast"/>
        </w:trPr>
        <w:tc>
          <w:tcPr>
            <w:tcW w:w="241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一、上级补助收入</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13</w:t>
            </w:r>
            <w:r>
              <w:rPr>
                <w:rFonts w:eastAsia="宋体" w:cs="宋体"/>
                <w:color w:val="0D0D0D" w:themeColor="text1" w:themeTint="F2"/>
                <w:kern w:val="0"/>
                <w:sz w:val="24"/>
                <w:szCs w:val="24"/>
                <w14:textFill>
                  <w14:solidFill>
                    <w14:schemeClr w14:val="tx1">
                      <w14:lumMod w14:val="95000"/>
                      <w14:lumOff w14:val="5000"/>
                    </w14:schemeClr>
                  </w14:solidFill>
                </w14:textFill>
              </w:rPr>
              <w:t>5</w:t>
            </w:r>
            <w:r>
              <w:rPr>
                <w:rFonts w:hint="eastAsia" w:eastAsia="宋体" w:cs="宋体"/>
                <w:color w:val="0D0D0D" w:themeColor="text1" w:themeTint="F2"/>
                <w:kern w:val="0"/>
                <w:sz w:val="24"/>
                <w:szCs w:val="24"/>
                <w14:textFill>
                  <w14:solidFill>
                    <w14:schemeClr w14:val="tx1">
                      <w14:lumMod w14:val="95000"/>
                      <w14:lumOff w14:val="5000"/>
                    </w14:schemeClr>
                  </w14:solidFill>
                </w14:textFill>
              </w:rPr>
              <w:t>,</w:t>
            </w:r>
            <w:r>
              <w:rPr>
                <w:rFonts w:eastAsia="宋体" w:cs="宋体"/>
                <w:color w:val="0D0D0D" w:themeColor="text1" w:themeTint="F2"/>
                <w:kern w:val="0"/>
                <w:sz w:val="24"/>
                <w:szCs w:val="24"/>
                <w14:textFill>
                  <w14:solidFill>
                    <w14:schemeClr w14:val="tx1">
                      <w14:lumMod w14:val="95000"/>
                      <w14:lumOff w14:val="5000"/>
                    </w14:schemeClr>
                  </w14:solidFill>
                </w14:textFill>
              </w:rPr>
              <w:t>697</w:t>
            </w:r>
          </w:p>
        </w:tc>
        <w:tc>
          <w:tcPr>
            <w:tcW w:w="36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一、上解上级支出</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10,452</w:t>
            </w:r>
          </w:p>
        </w:tc>
      </w:tr>
      <w:tr>
        <w:tblPrEx>
          <w:tblCellMar>
            <w:top w:w="0" w:type="dxa"/>
            <w:left w:w="108" w:type="dxa"/>
            <w:bottom w:w="0" w:type="dxa"/>
            <w:right w:w="108" w:type="dxa"/>
          </w:tblCellMar>
        </w:tblPrEx>
        <w:trPr>
          <w:trHeight w:val="324" w:hRule="atLeast"/>
        </w:trPr>
        <w:tc>
          <w:tcPr>
            <w:tcW w:w="241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二、动用预算稳定调节基金</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51,</w:t>
            </w:r>
            <w:r>
              <w:rPr>
                <w:rFonts w:eastAsia="宋体" w:cs="宋体"/>
                <w:color w:val="0D0D0D" w:themeColor="text1" w:themeTint="F2"/>
                <w:kern w:val="0"/>
                <w:sz w:val="24"/>
                <w:szCs w:val="24"/>
                <w14:textFill>
                  <w14:solidFill>
                    <w14:schemeClr w14:val="tx1">
                      <w14:lumMod w14:val="95000"/>
                      <w14:lumOff w14:val="5000"/>
                    </w14:schemeClr>
                  </w14:solidFill>
                </w14:textFill>
              </w:rPr>
              <w:t>740</w:t>
            </w:r>
          </w:p>
        </w:tc>
        <w:tc>
          <w:tcPr>
            <w:tcW w:w="36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二、债务还本支出</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20,000</w:t>
            </w:r>
          </w:p>
        </w:tc>
      </w:tr>
      <w:tr>
        <w:tblPrEx>
          <w:tblCellMar>
            <w:top w:w="0" w:type="dxa"/>
            <w:left w:w="108" w:type="dxa"/>
            <w:bottom w:w="0" w:type="dxa"/>
            <w:right w:w="108" w:type="dxa"/>
          </w:tblCellMar>
        </w:tblPrEx>
        <w:trPr>
          <w:trHeight w:val="324" w:hRule="atLeast"/>
        </w:trPr>
        <w:tc>
          <w:tcPr>
            <w:tcW w:w="241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三、调入资金</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295,228</w:t>
            </w:r>
          </w:p>
        </w:tc>
        <w:tc>
          <w:tcPr>
            <w:tcW w:w="36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241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四、债务转贷收入</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20,000</w:t>
            </w:r>
          </w:p>
        </w:tc>
        <w:tc>
          <w:tcPr>
            <w:tcW w:w="36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241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五、上年结转</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39,</w:t>
            </w:r>
            <w:r>
              <w:rPr>
                <w:rFonts w:eastAsia="宋体" w:cs="宋体"/>
                <w:color w:val="0D0D0D" w:themeColor="text1" w:themeTint="F2"/>
                <w:kern w:val="0"/>
                <w:sz w:val="24"/>
                <w:szCs w:val="24"/>
                <w14:textFill>
                  <w14:solidFill>
                    <w14:schemeClr w14:val="tx1">
                      <w14:lumMod w14:val="95000"/>
                      <w14:lumOff w14:val="5000"/>
                    </w14:schemeClr>
                  </w14:solidFill>
                </w14:textFill>
              </w:rPr>
              <w:t>510</w:t>
            </w:r>
          </w:p>
        </w:tc>
        <w:tc>
          <w:tcPr>
            <w:tcW w:w="36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72" w:hRule="atLeast"/>
        </w:trPr>
        <w:tc>
          <w:tcPr>
            <w:tcW w:w="2410"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cs="宋体"/>
                <w:color w:val="0D0D0D" w:themeColor="text1" w:themeTint="F2"/>
                <w:kern w:val="0"/>
                <w:sz w:val="24"/>
                <w:szCs w:val="24"/>
                <w14:textFill>
                  <w14:solidFill>
                    <w14:schemeClr w14:val="tx1">
                      <w14:lumMod w14:val="95000"/>
                      <w14:lumOff w14:val="5000"/>
                    </w14:schemeClr>
                  </w14:solidFill>
                </w14:textFill>
              </w:rPr>
            </w:pPr>
          </w:p>
        </w:tc>
        <w:tc>
          <w:tcPr>
            <w:tcW w:w="1843"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3685"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276"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288" w:hRule="atLeast"/>
        </w:trPr>
        <w:tc>
          <w:tcPr>
            <w:tcW w:w="9214" w:type="dxa"/>
            <w:gridSpan w:val="4"/>
            <w:tcBorders>
              <w:top w:val="nil"/>
              <w:left w:val="nil"/>
              <w:bottom w:val="nil"/>
              <w:right w:val="nil"/>
            </w:tcBorders>
            <w:shd w:val="clear" w:color="auto" w:fill="auto"/>
            <w:vAlign w:val="center"/>
          </w:tcPr>
          <w:p>
            <w:pPr>
              <w:widowControl/>
              <w:adjustRightInd w:val="0"/>
              <w:snapToGrid w:val="0"/>
              <w:spacing w:line="240" w:lineRule="auto"/>
              <w:ind w:firstLine="0" w:firstLineChars="0"/>
              <w:jc w:val="left"/>
              <w:rPr>
                <w:rFonts w:cs="宋体"/>
                <w:color w:val="0D0D0D" w:themeColor="text1" w:themeTint="F2"/>
                <w:kern w:val="0"/>
                <w:sz w:val="22"/>
                <w14:textFill>
                  <w14:solidFill>
                    <w14:schemeClr w14:val="tx1">
                      <w14:lumMod w14:val="95000"/>
                      <w14:lumOff w14:val="5000"/>
                    </w14:schemeClr>
                  </w14:solidFill>
                </w14:textFill>
              </w:rPr>
            </w:pPr>
            <w:r>
              <w:rPr>
                <w:rFonts w:hint="eastAsia" w:cs="宋体"/>
                <w:color w:val="0D0D0D" w:themeColor="text1" w:themeTint="F2"/>
                <w:kern w:val="0"/>
                <w:sz w:val="22"/>
                <w14:textFill>
                  <w14:solidFill>
                    <w14:schemeClr w14:val="tx1">
                      <w14:lumMod w14:val="95000"/>
                      <w14:lumOff w14:val="5000"/>
                    </w14:schemeClr>
                  </w14:solidFill>
                </w14:textFill>
              </w:rPr>
              <w:t>注：1.本表直观反映2023年一般公共预算收入与支出的平衡关系。</w:t>
            </w:r>
          </w:p>
        </w:tc>
      </w:tr>
      <w:tr>
        <w:tblPrEx>
          <w:tblCellMar>
            <w:top w:w="0" w:type="dxa"/>
            <w:left w:w="108" w:type="dxa"/>
            <w:bottom w:w="0" w:type="dxa"/>
            <w:right w:w="108" w:type="dxa"/>
          </w:tblCellMar>
        </w:tblPrEx>
        <w:trPr>
          <w:trHeight w:val="288" w:hRule="atLeast"/>
        </w:trPr>
        <w:tc>
          <w:tcPr>
            <w:tcW w:w="9214" w:type="dxa"/>
            <w:gridSpan w:val="4"/>
            <w:tcBorders>
              <w:top w:val="nil"/>
              <w:left w:val="nil"/>
              <w:bottom w:val="nil"/>
              <w:right w:val="nil"/>
            </w:tcBorders>
            <w:shd w:val="clear" w:color="auto" w:fill="auto"/>
            <w:vAlign w:val="center"/>
          </w:tcPr>
          <w:p>
            <w:pPr>
              <w:widowControl/>
              <w:adjustRightInd w:val="0"/>
              <w:snapToGrid w:val="0"/>
              <w:spacing w:line="240" w:lineRule="auto"/>
              <w:ind w:firstLine="0" w:firstLineChars="0"/>
              <w:jc w:val="left"/>
              <w:rPr>
                <w:rFonts w:cs="宋体"/>
                <w:color w:val="0D0D0D" w:themeColor="text1" w:themeTint="F2"/>
                <w:kern w:val="0"/>
                <w:sz w:val="22"/>
                <w14:textFill>
                  <w14:solidFill>
                    <w14:schemeClr w14:val="tx1">
                      <w14:lumMod w14:val="95000"/>
                      <w14:lumOff w14:val="5000"/>
                    </w14:schemeClr>
                  </w14:solidFill>
                </w14:textFill>
              </w:rPr>
            </w:pPr>
            <w:r>
              <w:rPr>
                <w:rFonts w:hint="eastAsia" w:cs="宋体"/>
                <w:color w:val="0D0D0D" w:themeColor="text1" w:themeTint="F2"/>
                <w:kern w:val="0"/>
                <w:sz w:val="22"/>
                <w14:textFill>
                  <w14:solidFill>
                    <w14:schemeClr w14:val="tx1">
                      <w14:lumMod w14:val="95000"/>
                      <w14:lumOff w14:val="5000"/>
                    </w14:schemeClr>
                  </w14:solidFill>
                </w14:textFill>
              </w:rPr>
              <w:t xml:space="preserve">2.收入总计（本级收入合计+转移性收入合计）=支出总计（本级支出合计+转移性支出合计）    </w:t>
            </w:r>
          </w:p>
        </w:tc>
      </w:tr>
    </w:tbl>
    <w:p>
      <w:pPr>
        <w:widowControl/>
        <w:spacing w:line="240" w:lineRule="auto"/>
        <w:ind w:firstLine="0" w:firstLineChars="0"/>
        <w:rPr>
          <w:rFonts w:eastAsia="方正楷体_GBK"/>
          <w:bCs/>
          <w:color w:val="0D0D0D" w:themeColor="text1" w:themeTint="F2"/>
          <w:kern w:val="44"/>
          <w:szCs w:val="44"/>
          <w14:textFill>
            <w14:solidFill>
              <w14:schemeClr w14:val="tx1">
                <w14:lumMod w14:val="95000"/>
                <w14:lumOff w14:val="5000"/>
              </w14:schemeClr>
            </w14:solidFill>
          </w14:textFill>
        </w:rPr>
      </w:pPr>
    </w:p>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pPr>
      <w:r>
        <w:rPr>
          <w:rFonts w:eastAsia="方正楷体_GBK"/>
          <w:bCs/>
          <w:color w:val="0D0D0D" w:themeColor="text1" w:themeTint="F2"/>
          <w:kern w:val="44"/>
          <w:szCs w:val="44"/>
          <w14:textFill>
            <w14:solidFill>
              <w14:schemeClr w14:val="tx1">
                <w14:lumMod w14:val="95000"/>
                <w14:lumOff w14:val="5000"/>
              </w14:schemeClr>
            </w14:solidFill>
          </w14:textFill>
        </w:rPr>
        <w:br w:type="page"/>
      </w:r>
    </w:p>
    <w:tbl>
      <w:tblPr>
        <w:tblStyle w:val="7"/>
        <w:tblW w:w="9652" w:type="dxa"/>
        <w:tblInd w:w="0" w:type="dxa"/>
        <w:tblLayout w:type="autofit"/>
        <w:tblCellMar>
          <w:top w:w="0" w:type="dxa"/>
          <w:left w:w="108" w:type="dxa"/>
          <w:bottom w:w="0" w:type="dxa"/>
          <w:right w:w="108" w:type="dxa"/>
        </w:tblCellMar>
      </w:tblPr>
      <w:tblGrid>
        <w:gridCol w:w="5670"/>
        <w:gridCol w:w="1134"/>
        <w:gridCol w:w="996"/>
        <w:gridCol w:w="1852"/>
      </w:tblGrid>
      <w:tr>
        <w:tblPrEx>
          <w:tblCellMar>
            <w:top w:w="0" w:type="dxa"/>
            <w:left w:w="108" w:type="dxa"/>
            <w:bottom w:w="0" w:type="dxa"/>
            <w:right w:w="108" w:type="dxa"/>
          </w:tblCellMar>
        </w:tblPrEx>
        <w:trPr>
          <w:trHeight w:val="390" w:hRule="atLeast"/>
        </w:trPr>
        <w:tc>
          <w:tcPr>
            <w:tcW w:w="5670"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方正黑体_GBK" w:cs="宋体"/>
                <w:color w:val="0D0D0D" w:themeColor="text1" w:themeTint="F2"/>
                <w:kern w:val="0"/>
                <w:sz w:val="28"/>
                <w:szCs w:val="28"/>
                <w14:textFill>
                  <w14:solidFill>
                    <w14:schemeClr w14:val="tx1">
                      <w14:lumMod w14:val="95000"/>
                      <w14:lumOff w14:val="5000"/>
                    </w14:schemeClr>
                  </w14:solidFill>
                </w14:textFill>
              </w:rPr>
            </w:pPr>
            <w:bookmarkStart w:id="5" w:name="RANGE!A1:D26"/>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表9</w:t>
            </w:r>
            <w:bookmarkEnd w:id="5"/>
          </w:p>
        </w:tc>
        <w:tc>
          <w:tcPr>
            <w:tcW w:w="1134" w:type="dxa"/>
            <w:tcBorders>
              <w:top w:val="nil"/>
              <w:left w:val="nil"/>
              <w:bottom w:val="nil"/>
              <w:right w:val="nil"/>
            </w:tcBorders>
            <w:shd w:val="clear" w:color="auto" w:fill="auto"/>
            <w:noWrap/>
            <w:vAlign w:val="bottom"/>
          </w:tcPr>
          <w:p>
            <w:pPr>
              <w:widowControl/>
              <w:adjustRightInd w:val="0"/>
              <w:snapToGrid w:val="0"/>
              <w:spacing w:line="240" w:lineRule="auto"/>
              <w:ind w:firstLine="0" w:firstLineChars="0"/>
              <w:jc w:val="left"/>
              <w:rPr>
                <w:rFonts w:eastAsia="方正黑体_GBK" w:cs="宋体"/>
                <w:color w:val="0D0D0D" w:themeColor="text1" w:themeTint="F2"/>
                <w:kern w:val="0"/>
                <w:sz w:val="28"/>
                <w:szCs w:val="28"/>
                <w14:textFill>
                  <w14:solidFill>
                    <w14:schemeClr w14:val="tx1">
                      <w14:lumMod w14:val="95000"/>
                      <w14:lumOff w14:val="5000"/>
                    </w14:schemeClr>
                  </w14:solidFill>
                </w14:textFill>
              </w:rPr>
            </w:pPr>
          </w:p>
        </w:tc>
        <w:tc>
          <w:tcPr>
            <w:tcW w:w="996" w:type="dxa"/>
            <w:tcBorders>
              <w:top w:val="nil"/>
              <w:left w:val="nil"/>
              <w:bottom w:val="nil"/>
              <w:right w:val="nil"/>
            </w:tcBorders>
            <w:shd w:val="clear" w:color="auto" w:fill="auto"/>
            <w:noWrap/>
            <w:vAlign w:val="bottom"/>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852" w:type="dxa"/>
            <w:tcBorders>
              <w:top w:val="nil"/>
              <w:left w:val="nil"/>
              <w:bottom w:val="nil"/>
              <w:right w:val="nil"/>
            </w:tcBorders>
            <w:shd w:val="clear" w:color="auto" w:fill="auto"/>
            <w:noWrap/>
            <w:vAlign w:val="bottom"/>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690" w:hRule="atLeast"/>
        </w:trPr>
        <w:tc>
          <w:tcPr>
            <w:tcW w:w="9652" w:type="dxa"/>
            <w:gridSpan w:val="4"/>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方正小标宋_GBK" w:cs="宋体"/>
                <w:color w:val="0D0D0D" w:themeColor="text1" w:themeTint="F2"/>
                <w:kern w:val="0"/>
                <w:szCs w:val="32"/>
                <w14:textFill>
                  <w14:solidFill>
                    <w14:schemeClr w14:val="tx1">
                      <w14:lumMod w14:val="95000"/>
                      <w14:lumOff w14:val="5000"/>
                    </w14:schemeClr>
                  </w14:solidFill>
                </w14:textFill>
              </w:rPr>
            </w:pPr>
            <w:r>
              <w:rPr>
                <w:rFonts w:hint="eastAsia" w:eastAsia="方正小标宋_GBK" w:cs="宋体"/>
                <w:color w:val="0D0D0D" w:themeColor="text1" w:themeTint="F2"/>
                <w:kern w:val="0"/>
                <w:szCs w:val="32"/>
                <w14:textFill>
                  <w14:solidFill>
                    <w14:schemeClr w14:val="tx1">
                      <w14:lumMod w14:val="95000"/>
                      <w14:lumOff w14:val="5000"/>
                    </w14:schemeClr>
                  </w14:solidFill>
                </w14:textFill>
              </w:rPr>
              <w:t>2023年一般公共预算收入预算表</w:t>
            </w:r>
          </w:p>
        </w:tc>
      </w:tr>
      <w:tr>
        <w:tblPrEx>
          <w:tblCellMar>
            <w:top w:w="0" w:type="dxa"/>
            <w:left w:w="108" w:type="dxa"/>
            <w:bottom w:w="0" w:type="dxa"/>
            <w:right w:w="108" w:type="dxa"/>
          </w:tblCellMar>
        </w:tblPrEx>
        <w:trPr>
          <w:trHeight w:val="171" w:hRule="atLeast"/>
        </w:trPr>
        <w:tc>
          <w:tcPr>
            <w:tcW w:w="5670" w:type="dxa"/>
            <w:tcBorders>
              <w:top w:val="nil"/>
              <w:left w:val="nil"/>
              <w:bottom w:val="nil"/>
              <w:right w:val="nil"/>
            </w:tcBorders>
            <w:shd w:val="clear" w:color="auto" w:fill="auto"/>
            <w:noWrap/>
            <w:vAlign w:val="bottom"/>
          </w:tcPr>
          <w:p>
            <w:pPr>
              <w:widowControl/>
              <w:adjustRightInd w:val="0"/>
              <w:snapToGrid w:val="0"/>
              <w:spacing w:line="240" w:lineRule="auto"/>
              <w:ind w:firstLine="0" w:firstLineChars="0"/>
              <w:jc w:val="center"/>
              <w:rPr>
                <w:rFonts w:eastAsia="方正小标宋_GBK" w:cs="宋体"/>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nil"/>
              <w:right w:val="nil"/>
            </w:tcBorders>
            <w:shd w:val="clear" w:color="auto" w:fill="auto"/>
            <w:noWrap/>
            <w:vAlign w:val="bottom"/>
          </w:tcPr>
          <w:p>
            <w:pPr>
              <w:widowControl/>
              <w:adjustRightInd w:val="0"/>
              <w:snapToGrid w:val="0"/>
              <w:spacing w:line="240" w:lineRule="auto"/>
              <w:ind w:firstLine="0" w:firstLineChars="0"/>
              <w:jc w:val="left"/>
              <w:rPr>
                <w:rFonts w:eastAsia="Times New Roman" w:cs="Times New Roman"/>
                <w:color w:val="0D0D0D" w:themeColor="text1" w:themeTint="F2"/>
                <w:kern w:val="0"/>
                <w:sz w:val="24"/>
                <w:szCs w:val="24"/>
                <w14:textFill>
                  <w14:solidFill>
                    <w14:schemeClr w14:val="tx1">
                      <w14:lumMod w14:val="95000"/>
                      <w14:lumOff w14:val="5000"/>
                    </w14:schemeClr>
                  </w14:solidFill>
                </w14:textFill>
              </w:rPr>
            </w:pPr>
          </w:p>
        </w:tc>
        <w:tc>
          <w:tcPr>
            <w:tcW w:w="996" w:type="dxa"/>
            <w:tcBorders>
              <w:top w:val="nil"/>
              <w:left w:val="nil"/>
              <w:bottom w:val="nil"/>
              <w:right w:val="nil"/>
            </w:tcBorders>
            <w:shd w:val="clear" w:color="auto" w:fill="auto"/>
            <w:noWrap/>
            <w:vAlign w:val="bottom"/>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c>
          <w:tcPr>
            <w:tcW w:w="1852" w:type="dxa"/>
            <w:tcBorders>
              <w:top w:val="nil"/>
              <w:left w:val="nil"/>
              <w:bottom w:val="nil"/>
              <w:right w:val="nil"/>
            </w:tcBorders>
            <w:shd w:val="clear" w:color="auto" w:fill="auto"/>
            <w:noWrap/>
            <w:vAlign w:val="bottom"/>
          </w:tcPr>
          <w:p>
            <w:pPr>
              <w:widowControl/>
              <w:adjustRightInd w:val="0"/>
              <w:snapToGrid w:val="0"/>
              <w:spacing w:line="240" w:lineRule="auto"/>
              <w:ind w:firstLine="0" w:firstLineChars="0"/>
              <w:jc w:val="right"/>
              <w:rPr>
                <w:rFonts w:eastAsia="方正楷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楷体_GBK" w:cs="宋体"/>
                <w:color w:val="0D0D0D" w:themeColor="text1" w:themeTint="F2"/>
                <w:kern w:val="0"/>
                <w:sz w:val="24"/>
                <w:szCs w:val="24"/>
                <w14:textFill>
                  <w14:solidFill>
                    <w14:schemeClr w14:val="tx1">
                      <w14:lumMod w14:val="95000"/>
                      <w14:lumOff w14:val="5000"/>
                    </w14:schemeClr>
                  </w14:solidFill>
                </w14:textFill>
              </w:rPr>
              <w:t xml:space="preserve"> 单位：万元</w:t>
            </w:r>
          </w:p>
        </w:tc>
      </w:tr>
      <w:tr>
        <w:tblPrEx>
          <w:tblCellMar>
            <w:top w:w="0" w:type="dxa"/>
            <w:left w:w="108" w:type="dxa"/>
            <w:bottom w:w="0" w:type="dxa"/>
            <w:right w:w="108" w:type="dxa"/>
          </w:tblCellMar>
        </w:tblPrEx>
        <w:trPr>
          <w:trHeight w:val="648" w:hRule="atLeast"/>
        </w:trPr>
        <w:tc>
          <w:tcPr>
            <w:tcW w:w="56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项    目</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2022年执行数</w:t>
            </w:r>
          </w:p>
        </w:tc>
        <w:tc>
          <w:tcPr>
            <w:tcW w:w="99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2023年预算数</w:t>
            </w:r>
          </w:p>
        </w:tc>
        <w:tc>
          <w:tcPr>
            <w:tcW w:w="185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预算数为上年</w:t>
            </w:r>
          </w:p>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执行数的%</w:t>
            </w:r>
          </w:p>
        </w:tc>
      </w:tr>
      <w:tr>
        <w:tblPrEx>
          <w:tblCellMar>
            <w:top w:w="0" w:type="dxa"/>
            <w:left w:w="108" w:type="dxa"/>
            <w:bottom w:w="0" w:type="dxa"/>
            <w:right w:w="108" w:type="dxa"/>
          </w:tblCellMar>
        </w:tblPrEx>
        <w:trPr>
          <w:trHeight w:val="438" w:hRule="atLeast"/>
        </w:trPr>
        <w:tc>
          <w:tcPr>
            <w:tcW w:w="567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b/>
                <w:bCs/>
                <w:color w:val="0D0D0D" w:themeColor="text1" w:themeTint="F2"/>
                <w:kern w:val="0"/>
                <w:sz w:val="24"/>
                <w:szCs w:val="24"/>
                <w14:textFill>
                  <w14:solidFill>
                    <w14:schemeClr w14:val="tx1">
                      <w14:lumMod w14:val="95000"/>
                      <w14:lumOff w14:val="5000"/>
                    </w14:schemeClr>
                  </w14:solidFill>
                </w14:textFill>
              </w:rPr>
              <w:t>收入合计</w:t>
            </w: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eastAsia="宋体" w:cs="Times New Roman"/>
                <w:b/>
                <w:bCs/>
                <w:color w:val="0D0D0D" w:themeColor="text1" w:themeTint="F2"/>
                <w:kern w:val="0"/>
                <w:sz w:val="24"/>
                <w:szCs w:val="24"/>
                <w14:textFill>
                  <w14:solidFill>
                    <w14:schemeClr w14:val="tx1">
                      <w14:lumMod w14:val="95000"/>
                      <w14:lumOff w14:val="5000"/>
                    </w14:schemeClr>
                  </w14:solidFill>
                </w14:textFill>
              </w:rPr>
              <w:t xml:space="preserve">293,968 </w:t>
            </w:r>
          </w:p>
        </w:tc>
        <w:tc>
          <w:tcPr>
            <w:tcW w:w="9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eastAsia="宋体" w:cs="Times New Roman"/>
                <w:b/>
                <w:bCs/>
                <w:color w:val="0D0D0D" w:themeColor="text1" w:themeTint="F2"/>
                <w:kern w:val="0"/>
                <w:sz w:val="24"/>
                <w:szCs w:val="24"/>
                <w14:textFill>
                  <w14:solidFill>
                    <w14:schemeClr w14:val="tx1">
                      <w14:lumMod w14:val="95000"/>
                      <w14:lumOff w14:val="5000"/>
                    </w14:schemeClr>
                  </w14:solidFill>
                </w14:textFill>
              </w:rPr>
              <w:t xml:space="preserve">323,900 </w:t>
            </w:r>
          </w:p>
        </w:tc>
        <w:tc>
          <w:tcPr>
            <w:tcW w:w="185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eastAsia="宋体" w:cs="Times New Roman"/>
                <w:b/>
                <w:bCs/>
                <w:color w:val="0D0D0D" w:themeColor="text1" w:themeTint="F2"/>
                <w:kern w:val="0"/>
                <w:sz w:val="24"/>
                <w:szCs w:val="24"/>
                <w14:textFill>
                  <w14:solidFill>
                    <w14:schemeClr w14:val="tx1">
                      <w14:lumMod w14:val="95000"/>
                      <w14:lumOff w14:val="5000"/>
                    </w14:schemeClr>
                  </w14:solidFill>
                </w14:textFill>
              </w:rPr>
              <w:t xml:space="preserve">110.2 </w:t>
            </w:r>
          </w:p>
        </w:tc>
      </w:tr>
      <w:tr>
        <w:tblPrEx>
          <w:tblCellMar>
            <w:top w:w="0" w:type="dxa"/>
            <w:left w:w="108" w:type="dxa"/>
            <w:bottom w:w="0" w:type="dxa"/>
            <w:right w:w="108" w:type="dxa"/>
          </w:tblCellMar>
        </w:tblPrEx>
        <w:trPr>
          <w:trHeight w:val="438" w:hRule="atLeast"/>
        </w:trPr>
        <w:tc>
          <w:tcPr>
            <w:tcW w:w="567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b/>
                <w:bCs/>
                <w:color w:val="0D0D0D" w:themeColor="text1" w:themeTint="F2"/>
                <w:kern w:val="0"/>
                <w:sz w:val="24"/>
                <w:szCs w:val="24"/>
                <w14:textFill>
                  <w14:solidFill>
                    <w14:schemeClr w14:val="tx1">
                      <w14:lumMod w14:val="95000"/>
                      <w14:lumOff w14:val="5000"/>
                    </w14:schemeClr>
                  </w14:solidFill>
                </w14:textFill>
              </w:rPr>
              <w:t>一、税收收入</w:t>
            </w:r>
          </w:p>
        </w:tc>
        <w:tc>
          <w:tcPr>
            <w:tcW w:w="11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eastAsia="宋体" w:cs="Times New Roman"/>
                <w:b/>
                <w:bCs/>
                <w:color w:val="0D0D0D" w:themeColor="text1" w:themeTint="F2"/>
                <w:kern w:val="0"/>
                <w:sz w:val="24"/>
                <w:szCs w:val="24"/>
                <w14:textFill>
                  <w14:solidFill>
                    <w14:schemeClr w14:val="tx1">
                      <w14:lumMod w14:val="95000"/>
                      <w14:lumOff w14:val="5000"/>
                    </w14:schemeClr>
                  </w14:solidFill>
                </w14:textFill>
              </w:rPr>
              <w:t xml:space="preserve">226,025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eastAsia="宋体" w:cs="Times New Roman"/>
                <w:b/>
                <w:bCs/>
                <w:color w:val="0D0D0D" w:themeColor="text1" w:themeTint="F2"/>
                <w:kern w:val="0"/>
                <w:sz w:val="24"/>
                <w:szCs w:val="24"/>
                <w14:textFill>
                  <w14:solidFill>
                    <w14:schemeClr w14:val="tx1">
                      <w14:lumMod w14:val="95000"/>
                      <w14:lumOff w14:val="5000"/>
                    </w14:schemeClr>
                  </w14:solidFill>
                </w14:textFill>
              </w:rPr>
              <w:t xml:space="preserve">270,900 </w:t>
            </w:r>
          </w:p>
        </w:tc>
        <w:tc>
          <w:tcPr>
            <w:tcW w:w="185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eastAsia="宋体" w:cs="Times New Roman"/>
                <w:b/>
                <w:bCs/>
                <w:color w:val="0D0D0D" w:themeColor="text1" w:themeTint="F2"/>
                <w:kern w:val="0"/>
                <w:sz w:val="24"/>
                <w:szCs w:val="24"/>
                <w14:textFill>
                  <w14:solidFill>
                    <w14:schemeClr w14:val="tx1">
                      <w14:lumMod w14:val="95000"/>
                      <w14:lumOff w14:val="5000"/>
                    </w14:schemeClr>
                  </w14:solidFill>
                </w14:textFill>
              </w:rPr>
              <w:t xml:space="preserve">119.9 </w:t>
            </w:r>
          </w:p>
        </w:tc>
      </w:tr>
      <w:tr>
        <w:tblPrEx>
          <w:tblCellMar>
            <w:top w:w="0" w:type="dxa"/>
            <w:left w:w="108" w:type="dxa"/>
            <w:bottom w:w="0" w:type="dxa"/>
            <w:right w:w="108" w:type="dxa"/>
          </w:tblCellMar>
        </w:tblPrEx>
        <w:trPr>
          <w:trHeight w:val="438" w:hRule="atLeast"/>
        </w:trPr>
        <w:tc>
          <w:tcPr>
            <w:tcW w:w="567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增值税</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30,196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50,000 </w:t>
            </w:r>
          </w:p>
        </w:tc>
        <w:tc>
          <w:tcPr>
            <w:tcW w:w="185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165.6 </w:t>
            </w:r>
          </w:p>
        </w:tc>
      </w:tr>
      <w:tr>
        <w:tblPrEx>
          <w:tblCellMar>
            <w:top w:w="0" w:type="dxa"/>
            <w:left w:w="108" w:type="dxa"/>
            <w:bottom w:w="0" w:type="dxa"/>
            <w:right w:w="108" w:type="dxa"/>
          </w:tblCellMar>
        </w:tblPrEx>
        <w:trPr>
          <w:trHeight w:val="438" w:hRule="atLeast"/>
        </w:trPr>
        <w:tc>
          <w:tcPr>
            <w:tcW w:w="567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企业所得税</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17,427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31,500 </w:t>
            </w:r>
          </w:p>
        </w:tc>
        <w:tc>
          <w:tcPr>
            <w:tcW w:w="185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180.8 </w:t>
            </w:r>
          </w:p>
        </w:tc>
      </w:tr>
      <w:tr>
        <w:tblPrEx>
          <w:tblCellMar>
            <w:top w:w="0" w:type="dxa"/>
            <w:left w:w="108" w:type="dxa"/>
            <w:bottom w:w="0" w:type="dxa"/>
            <w:right w:w="108" w:type="dxa"/>
          </w:tblCellMar>
        </w:tblPrEx>
        <w:trPr>
          <w:trHeight w:val="438" w:hRule="atLeast"/>
        </w:trPr>
        <w:tc>
          <w:tcPr>
            <w:tcW w:w="567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个人所得税</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7,155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11,000 </w:t>
            </w:r>
          </w:p>
        </w:tc>
        <w:tc>
          <w:tcPr>
            <w:tcW w:w="185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153.7 </w:t>
            </w:r>
          </w:p>
        </w:tc>
      </w:tr>
      <w:tr>
        <w:tblPrEx>
          <w:tblCellMar>
            <w:top w:w="0" w:type="dxa"/>
            <w:left w:w="108" w:type="dxa"/>
            <w:bottom w:w="0" w:type="dxa"/>
            <w:right w:w="108" w:type="dxa"/>
          </w:tblCellMar>
        </w:tblPrEx>
        <w:trPr>
          <w:trHeight w:val="438" w:hRule="atLeast"/>
        </w:trPr>
        <w:tc>
          <w:tcPr>
            <w:tcW w:w="567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资源税</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46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w:t>
            </w:r>
          </w:p>
        </w:tc>
        <w:tc>
          <w:tcPr>
            <w:tcW w:w="185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438" w:hRule="atLeast"/>
        </w:trPr>
        <w:tc>
          <w:tcPr>
            <w:tcW w:w="567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城市维护建设税</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6,326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13,000 </w:t>
            </w:r>
          </w:p>
        </w:tc>
        <w:tc>
          <w:tcPr>
            <w:tcW w:w="185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205.5 </w:t>
            </w:r>
          </w:p>
        </w:tc>
      </w:tr>
      <w:tr>
        <w:tblPrEx>
          <w:tblCellMar>
            <w:top w:w="0" w:type="dxa"/>
            <w:left w:w="108" w:type="dxa"/>
            <w:bottom w:w="0" w:type="dxa"/>
            <w:right w:w="108" w:type="dxa"/>
          </w:tblCellMar>
        </w:tblPrEx>
        <w:trPr>
          <w:trHeight w:val="438" w:hRule="atLeast"/>
        </w:trPr>
        <w:tc>
          <w:tcPr>
            <w:tcW w:w="567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房产税</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16,600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14,000 </w:t>
            </w:r>
          </w:p>
        </w:tc>
        <w:tc>
          <w:tcPr>
            <w:tcW w:w="185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84.3 </w:t>
            </w:r>
          </w:p>
        </w:tc>
      </w:tr>
      <w:tr>
        <w:tblPrEx>
          <w:tblCellMar>
            <w:top w:w="0" w:type="dxa"/>
            <w:left w:w="108" w:type="dxa"/>
            <w:bottom w:w="0" w:type="dxa"/>
            <w:right w:w="108" w:type="dxa"/>
          </w:tblCellMar>
        </w:tblPrEx>
        <w:trPr>
          <w:trHeight w:val="438" w:hRule="atLeast"/>
        </w:trPr>
        <w:tc>
          <w:tcPr>
            <w:tcW w:w="567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印花税</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7,912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12,000 </w:t>
            </w:r>
          </w:p>
        </w:tc>
        <w:tc>
          <w:tcPr>
            <w:tcW w:w="185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151.7 </w:t>
            </w:r>
          </w:p>
        </w:tc>
      </w:tr>
      <w:tr>
        <w:tblPrEx>
          <w:tblCellMar>
            <w:top w:w="0" w:type="dxa"/>
            <w:left w:w="108" w:type="dxa"/>
            <w:bottom w:w="0" w:type="dxa"/>
            <w:right w:w="108" w:type="dxa"/>
          </w:tblCellMar>
        </w:tblPrEx>
        <w:trPr>
          <w:trHeight w:val="438" w:hRule="atLeast"/>
        </w:trPr>
        <w:tc>
          <w:tcPr>
            <w:tcW w:w="567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城镇土地使用税</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36,369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26,000 </w:t>
            </w:r>
          </w:p>
        </w:tc>
        <w:tc>
          <w:tcPr>
            <w:tcW w:w="185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71.5 </w:t>
            </w:r>
          </w:p>
        </w:tc>
      </w:tr>
      <w:tr>
        <w:tblPrEx>
          <w:tblCellMar>
            <w:top w:w="0" w:type="dxa"/>
            <w:left w:w="108" w:type="dxa"/>
            <w:bottom w:w="0" w:type="dxa"/>
            <w:right w:w="108" w:type="dxa"/>
          </w:tblCellMar>
        </w:tblPrEx>
        <w:trPr>
          <w:trHeight w:val="438" w:hRule="atLeast"/>
        </w:trPr>
        <w:tc>
          <w:tcPr>
            <w:tcW w:w="567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土地增值税</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9,091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45,000 </w:t>
            </w:r>
          </w:p>
        </w:tc>
        <w:tc>
          <w:tcPr>
            <w:tcW w:w="185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495.0 </w:t>
            </w:r>
          </w:p>
        </w:tc>
      </w:tr>
      <w:tr>
        <w:tblPrEx>
          <w:tblCellMar>
            <w:top w:w="0" w:type="dxa"/>
            <w:left w:w="108" w:type="dxa"/>
            <w:bottom w:w="0" w:type="dxa"/>
            <w:right w:w="108" w:type="dxa"/>
          </w:tblCellMar>
        </w:tblPrEx>
        <w:trPr>
          <w:trHeight w:val="438" w:hRule="atLeast"/>
        </w:trPr>
        <w:tc>
          <w:tcPr>
            <w:tcW w:w="567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耕地占用税</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34,078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13,000 </w:t>
            </w:r>
          </w:p>
        </w:tc>
        <w:tc>
          <w:tcPr>
            <w:tcW w:w="185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38.1 </w:t>
            </w:r>
          </w:p>
        </w:tc>
      </w:tr>
      <w:tr>
        <w:tblPrEx>
          <w:tblCellMar>
            <w:top w:w="0" w:type="dxa"/>
            <w:left w:w="108" w:type="dxa"/>
            <w:bottom w:w="0" w:type="dxa"/>
            <w:right w:w="108" w:type="dxa"/>
          </w:tblCellMar>
        </w:tblPrEx>
        <w:trPr>
          <w:trHeight w:val="438" w:hRule="atLeast"/>
        </w:trPr>
        <w:tc>
          <w:tcPr>
            <w:tcW w:w="567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契税</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60,595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55,000 </w:t>
            </w:r>
          </w:p>
        </w:tc>
        <w:tc>
          <w:tcPr>
            <w:tcW w:w="185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90.8 </w:t>
            </w:r>
          </w:p>
        </w:tc>
      </w:tr>
      <w:tr>
        <w:tblPrEx>
          <w:tblCellMar>
            <w:top w:w="0" w:type="dxa"/>
            <w:left w:w="108" w:type="dxa"/>
            <w:bottom w:w="0" w:type="dxa"/>
            <w:right w:w="108" w:type="dxa"/>
          </w:tblCellMar>
        </w:tblPrEx>
        <w:trPr>
          <w:trHeight w:val="438" w:hRule="atLeast"/>
        </w:trPr>
        <w:tc>
          <w:tcPr>
            <w:tcW w:w="567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环境保护税</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227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400 </w:t>
            </w:r>
          </w:p>
        </w:tc>
        <w:tc>
          <w:tcPr>
            <w:tcW w:w="185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176.2 </w:t>
            </w:r>
          </w:p>
        </w:tc>
      </w:tr>
      <w:tr>
        <w:tblPrEx>
          <w:tblCellMar>
            <w:top w:w="0" w:type="dxa"/>
            <w:left w:w="108" w:type="dxa"/>
            <w:bottom w:w="0" w:type="dxa"/>
            <w:right w:w="108" w:type="dxa"/>
          </w:tblCellMar>
        </w:tblPrEx>
        <w:trPr>
          <w:trHeight w:val="438" w:hRule="atLeast"/>
        </w:trPr>
        <w:tc>
          <w:tcPr>
            <w:tcW w:w="567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其他税收收入</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3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w:t>
            </w:r>
          </w:p>
        </w:tc>
        <w:tc>
          <w:tcPr>
            <w:tcW w:w="185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438" w:hRule="atLeast"/>
        </w:trPr>
        <w:tc>
          <w:tcPr>
            <w:tcW w:w="567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b/>
                <w:bCs/>
                <w:color w:val="0D0D0D" w:themeColor="text1" w:themeTint="F2"/>
                <w:kern w:val="0"/>
                <w:sz w:val="24"/>
                <w:szCs w:val="24"/>
                <w14:textFill>
                  <w14:solidFill>
                    <w14:schemeClr w14:val="tx1">
                      <w14:lumMod w14:val="95000"/>
                      <w14:lumOff w14:val="5000"/>
                    </w14:schemeClr>
                  </w14:solidFill>
                </w14:textFill>
              </w:rPr>
              <w:t>二、非税收入</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eastAsia="宋体" w:cs="Times New Roman"/>
                <w:b/>
                <w:bCs/>
                <w:color w:val="0D0D0D" w:themeColor="text1" w:themeTint="F2"/>
                <w:kern w:val="0"/>
                <w:sz w:val="24"/>
                <w:szCs w:val="24"/>
                <w14:textFill>
                  <w14:solidFill>
                    <w14:schemeClr w14:val="tx1">
                      <w14:lumMod w14:val="95000"/>
                      <w14:lumOff w14:val="5000"/>
                    </w14:schemeClr>
                  </w14:solidFill>
                </w14:textFill>
              </w:rPr>
              <w:t xml:space="preserve">67,943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eastAsia="宋体" w:cs="Times New Roman"/>
                <w:b/>
                <w:bCs/>
                <w:color w:val="0D0D0D" w:themeColor="text1" w:themeTint="F2"/>
                <w:kern w:val="0"/>
                <w:sz w:val="24"/>
                <w:szCs w:val="24"/>
                <w14:textFill>
                  <w14:solidFill>
                    <w14:schemeClr w14:val="tx1">
                      <w14:lumMod w14:val="95000"/>
                      <w14:lumOff w14:val="5000"/>
                    </w14:schemeClr>
                  </w14:solidFill>
                </w14:textFill>
              </w:rPr>
              <w:t xml:space="preserve">53,000 </w:t>
            </w:r>
          </w:p>
        </w:tc>
        <w:tc>
          <w:tcPr>
            <w:tcW w:w="185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eastAsia="宋体" w:cs="Times New Roman"/>
                <w:b/>
                <w:bCs/>
                <w:color w:val="0D0D0D" w:themeColor="text1" w:themeTint="F2"/>
                <w:kern w:val="0"/>
                <w:sz w:val="24"/>
                <w:szCs w:val="24"/>
                <w14:textFill>
                  <w14:solidFill>
                    <w14:schemeClr w14:val="tx1">
                      <w14:lumMod w14:val="95000"/>
                      <w14:lumOff w14:val="5000"/>
                    </w14:schemeClr>
                  </w14:solidFill>
                </w14:textFill>
              </w:rPr>
              <w:t xml:space="preserve">78.0 </w:t>
            </w:r>
          </w:p>
        </w:tc>
      </w:tr>
      <w:tr>
        <w:tblPrEx>
          <w:tblCellMar>
            <w:top w:w="0" w:type="dxa"/>
            <w:left w:w="108" w:type="dxa"/>
            <w:bottom w:w="0" w:type="dxa"/>
            <w:right w:w="108" w:type="dxa"/>
          </w:tblCellMar>
        </w:tblPrEx>
        <w:trPr>
          <w:trHeight w:val="438" w:hRule="atLeast"/>
        </w:trPr>
        <w:tc>
          <w:tcPr>
            <w:tcW w:w="567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专项收入</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9,940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26,000 </w:t>
            </w:r>
          </w:p>
        </w:tc>
        <w:tc>
          <w:tcPr>
            <w:tcW w:w="185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261.6 </w:t>
            </w:r>
          </w:p>
        </w:tc>
      </w:tr>
      <w:tr>
        <w:tblPrEx>
          <w:tblCellMar>
            <w:top w:w="0" w:type="dxa"/>
            <w:left w:w="108" w:type="dxa"/>
            <w:bottom w:w="0" w:type="dxa"/>
            <w:right w:w="108" w:type="dxa"/>
          </w:tblCellMar>
        </w:tblPrEx>
        <w:trPr>
          <w:trHeight w:val="438" w:hRule="atLeast"/>
        </w:trPr>
        <w:tc>
          <w:tcPr>
            <w:tcW w:w="567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行政事业性收费收入</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876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1,500 </w:t>
            </w:r>
          </w:p>
        </w:tc>
        <w:tc>
          <w:tcPr>
            <w:tcW w:w="185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171.2 </w:t>
            </w:r>
          </w:p>
        </w:tc>
      </w:tr>
      <w:tr>
        <w:tblPrEx>
          <w:tblCellMar>
            <w:top w:w="0" w:type="dxa"/>
            <w:left w:w="108" w:type="dxa"/>
            <w:bottom w:w="0" w:type="dxa"/>
            <w:right w:w="108" w:type="dxa"/>
          </w:tblCellMar>
        </w:tblPrEx>
        <w:trPr>
          <w:trHeight w:val="438" w:hRule="atLeast"/>
        </w:trPr>
        <w:tc>
          <w:tcPr>
            <w:tcW w:w="567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罚没收入</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8,197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4,000 </w:t>
            </w:r>
          </w:p>
        </w:tc>
        <w:tc>
          <w:tcPr>
            <w:tcW w:w="185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48.8 </w:t>
            </w:r>
          </w:p>
        </w:tc>
      </w:tr>
      <w:tr>
        <w:tblPrEx>
          <w:tblCellMar>
            <w:top w:w="0" w:type="dxa"/>
            <w:left w:w="108" w:type="dxa"/>
            <w:bottom w:w="0" w:type="dxa"/>
            <w:right w:w="108" w:type="dxa"/>
          </w:tblCellMar>
        </w:tblPrEx>
        <w:trPr>
          <w:trHeight w:val="438" w:hRule="atLeast"/>
        </w:trPr>
        <w:tc>
          <w:tcPr>
            <w:tcW w:w="567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国有资源</w:t>
            </w:r>
            <w:r>
              <w:rPr>
                <w:rFonts w:eastAsia="宋体" w:cs="Times New Roman"/>
                <w:color w:val="0D0D0D" w:themeColor="text1" w:themeTint="F2"/>
                <w:kern w:val="0"/>
                <w:sz w:val="24"/>
                <w:szCs w:val="24"/>
                <w14:textFill>
                  <w14:solidFill>
                    <w14:schemeClr w14:val="tx1">
                      <w14:lumMod w14:val="95000"/>
                      <w14:lumOff w14:val="5000"/>
                    </w14:schemeClr>
                  </w14:solidFill>
                </w14:textFill>
              </w:rPr>
              <w:t>(</w:t>
            </w: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资产</w:t>
            </w:r>
            <w:r>
              <w:rPr>
                <w:rFonts w:eastAsia="宋体" w:cs="Times New Roman"/>
                <w:color w:val="0D0D0D" w:themeColor="text1" w:themeTint="F2"/>
                <w:kern w:val="0"/>
                <w:sz w:val="24"/>
                <w:szCs w:val="24"/>
                <w14:textFill>
                  <w14:solidFill>
                    <w14:schemeClr w14:val="tx1">
                      <w14:lumMod w14:val="95000"/>
                      <w14:lumOff w14:val="5000"/>
                    </w14:schemeClr>
                  </w14:solidFill>
                </w14:textFill>
              </w:rPr>
              <w:t>)</w:t>
            </w: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有偿使用收入</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48,418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21,500 </w:t>
            </w:r>
          </w:p>
        </w:tc>
        <w:tc>
          <w:tcPr>
            <w:tcW w:w="185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44.4 </w:t>
            </w:r>
          </w:p>
        </w:tc>
      </w:tr>
      <w:tr>
        <w:tblPrEx>
          <w:tblCellMar>
            <w:top w:w="0" w:type="dxa"/>
            <w:left w:w="108" w:type="dxa"/>
            <w:bottom w:w="0" w:type="dxa"/>
            <w:right w:w="108" w:type="dxa"/>
          </w:tblCellMar>
        </w:tblPrEx>
        <w:trPr>
          <w:trHeight w:val="438" w:hRule="atLeast"/>
        </w:trPr>
        <w:tc>
          <w:tcPr>
            <w:tcW w:w="567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捐赠收入</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425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w:t>
            </w:r>
          </w:p>
        </w:tc>
        <w:tc>
          <w:tcPr>
            <w:tcW w:w="185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438" w:hRule="atLeast"/>
        </w:trPr>
        <w:tc>
          <w:tcPr>
            <w:tcW w:w="567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其他收入</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xml:space="preserve">87 </w:t>
            </w:r>
          </w:p>
        </w:tc>
        <w:tc>
          <w:tcPr>
            <w:tcW w:w="99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w:t>
            </w:r>
          </w:p>
        </w:tc>
        <w:tc>
          <w:tcPr>
            <w:tcW w:w="185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w:t>
            </w:r>
          </w:p>
        </w:tc>
      </w:tr>
    </w:tbl>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pPr>
      <w:r>
        <w:rPr>
          <w:rFonts w:eastAsia="方正楷体_GBK"/>
          <w:bCs/>
          <w:color w:val="0D0D0D" w:themeColor="text1" w:themeTint="F2"/>
          <w:kern w:val="44"/>
          <w:szCs w:val="44"/>
          <w14:textFill>
            <w14:solidFill>
              <w14:schemeClr w14:val="tx1">
                <w14:lumMod w14:val="95000"/>
                <w14:lumOff w14:val="5000"/>
              </w14:schemeClr>
            </w14:solidFill>
          </w14:textFill>
        </w:rPr>
        <w:br w:type="page"/>
      </w:r>
    </w:p>
    <w:p>
      <w:pPr>
        <w:widowControl/>
        <w:spacing w:line="240" w:lineRule="auto"/>
        <w:ind w:firstLine="0" w:firstLineChars="0"/>
        <w:rPr>
          <w:rFonts w:eastAsia="方正黑体_GBK"/>
          <w:bCs/>
          <w:color w:val="0D0D0D" w:themeColor="text1" w:themeTint="F2"/>
          <w:kern w:val="44"/>
          <w:szCs w:val="44"/>
          <w14:textFill>
            <w14:solidFill>
              <w14:schemeClr w14:val="tx1">
                <w14:lumMod w14:val="95000"/>
                <w14:lumOff w14:val="5000"/>
              </w14:schemeClr>
            </w14:solidFill>
          </w14:textFill>
        </w:rPr>
      </w:pPr>
      <w:r>
        <w:rPr>
          <w:rFonts w:hint="eastAsia" w:eastAsia="方正黑体_GBK"/>
          <w:bCs/>
          <w:color w:val="0D0D0D" w:themeColor="text1" w:themeTint="F2"/>
          <w:kern w:val="44"/>
          <w:sz w:val="28"/>
          <w:szCs w:val="40"/>
          <w14:textFill>
            <w14:solidFill>
              <w14:schemeClr w14:val="tx1">
                <w14:lumMod w14:val="95000"/>
                <w14:lumOff w14:val="5000"/>
              </w14:schemeClr>
            </w14:solidFill>
          </w14:textFill>
        </w:rPr>
        <w:t>表10</w:t>
      </w:r>
    </w:p>
    <w:tbl>
      <w:tblPr>
        <w:tblStyle w:val="7"/>
        <w:tblW w:w="9214" w:type="dxa"/>
        <w:tblInd w:w="0" w:type="dxa"/>
        <w:tblLayout w:type="autofit"/>
        <w:tblCellMar>
          <w:top w:w="0" w:type="dxa"/>
          <w:left w:w="108" w:type="dxa"/>
          <w:bottom w:w="0" w:type="dxa"/>
          <w:right w:w="108" w:type="dxa"/>
        </w:tblCellMar>
      </w:tblPr>
      <w:tblGrid>
        <w:gridCol w:w="6663"/>
        <w:gridCol w:w="2551"/>
      </w:tblGrid>
      <w:tr>
        <w:tblPrEx>
          <w:tblCellMar>
            <w:top w:w="0" w:type="dxa"/>
            <w:left w:w="108" w:type="dxa"/>
            <w:bottom w:w="0" w:type="dxa"/>
            <w:right w:w="108" w:type="dxa"/>
          </w:tblCellMar>
        </w:tblPrEx>
        <w:trPr>
          <w:trHeight w:val="504" w:hRule="atLeast"/>
          <w:tblHeader/>
        </w:trPr>
        <w:tc>
          <w:tcPr>
            <w:tcW w:w="9214" w:type="dxa"/>
            <w:gridSpan w:val="2"/>
            <w:tcBorders>
              <w:top w:val="nil"/>
              <w:left w:val="nil"/>
              <w:bottom w:val="nil"/>
              <w:right w:val="nil"/>
            </w:tcBorders>
            <w:shd w:val="clear" w:color="auto" w:fill="auto"/>
            <w:noWrap/>
            <w:vAlign w:val="center"/>
          </w:tcPr>
          <w:p>
            <w:pPr>
              <w:widowControl/>
              <w:spacing w:line="240" w:lineRule="auto"/>
              <w:ind w:firstLine="0" w:firstLineChars="0"/>
              <w:jc w:val="center"/>
              <w:rPr>
                <w:rFonts w:eastAsia="方正小标宋_GBK" w:cs="宋体"/>
                <w:color w:val="0D0D0D" w:themeColor="text1" w:themeTint="F2"/>
                <w:kern w:val="0"/>
                <w:sz w:val="38"/>
                <w:szCs w:val="38"/>
                <w14:textFill>
                  <w14:solidFill>
                    <w14:schemeClr w14:val="tx1">
                      <w14:lumMod w14:val="95000"/>
                      <w14:lumOff w14:val="5000"/>
                    </w14:schemeClr>
                  </w14:solidFill>
                </w14:textFill>
              </w:rPr>
            </w:pPr>
            <w:r>
              <w:rPr>
                <w:rFonts w:hint="eastAsia" w:eastAsia="方正小标宋_GBK" w:cs="宋体"/>
                <w:color w:val="0D0D0D" w:themeColor="text1" w:themeTint="F2"/>
                <w:kern w:val="0"/>
                <w:sz w:val="36"/>
                <w:szCs w:val="36"/>
                <w14:textFill>
                  <w14:solidFill>
                    <w14:schemeClr w14:val="tx1">
                      <w14:lumMod w14:val="95000"/>
                      <w14:lumOff w14:val="5000"/>
                    </w14:schemeClr>
                  </w14:solidFill>
                </w14:textFill>
              </w:rPr>
              <w:t>2023年一般公共预算本级支出预算表</w:t>
            </w:r>
          </w:p>
        </w:tc>
      </w:tr>
      <w:tr>
        <w:tblPrEx>
          <w:tblCellMar>
            <w:top w:w="0" w:type="dxa"/>
            <w:left w:w="108" w:type="dxa"/>
            <w:bottom w:w="0" w:type="dxa"/>
            <w:right w:w="108" w:type="dxa"/>
          </w:tblCellMar>
        </w:tblPrEx>
        <w:trPr>
          <w:trHeight w:val="324" w:hRule="atLeast"/>
          <w:tblHeader/>
        </w:trPr>
        <w:tc>
          <w:tcPr>
            <w:tcW w:w="9214" w:type="dxa"/>
            <w:gridSpan w:val="2"/>
            <w:tcBorders>
              <w:top w:val="nil"/>
              <w:left w:val="nil"/>
              <w:bottom w:val="single" w:color="auto" w:sz="4" w:space="0"/>
              <w:right w:val="nil"/>
            </w:tcBorders>
            <w:shd w:val="clear" w:color="auto" w:fill="auto"/>
            <w:noWrap/>
            <w:vAlign w:val="center"/>
          </w:tcPr>
          <w:p>
            <w:pPr>
              <w:widowControl/>
              <w:spacing w:line="240" w:lineRule="auto"/>
              <w:ind w:firstLine="0" w:firstLineChars="0"/>
              <w:jc w:val="righ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单位：万元</w:t>
            </w:r>
          </w:p>
        </w:tc>
      </w:tr>
      <w:tr>
        <w:tblPrEx>
          <w:tblCellMar>
            <w:top w:w="0" w:type="dxa"/>
            <w:left w:w="108" w:type="dxa"/>
            <w:bottom w:w="0" w:type="dxa"/>
            <w:right w:w="108" w:type="dxa"/>
          </w:tblCellMar>
        </w:tblPrEx>
        <w:trPr>
          <w:trHeight w:val="324" w:hRule="atLeast"/>
          <w:tblHeader/>
        </w:trPr>
        <w:tc>
          <w:tcPr>
            <w:tcW w:w="66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支       出</w:t>
            </w:r>
          </w:p>
        </w:tc>
        <w:tc>
          <w:tcPr>
            <w:tcW w:w="25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预算数</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一般公共预算支出合计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83</w:t>
            </w:r>
            <w:r>
              <w:rPr>
                <w:rFonts w:eastAsia="宋体" w:cs="宋体"/>
                <w:color w:val="0D0D0D" w:themeColor="text1" w:themeTint="F2"/>
                <w:kern w:val="0"/>
                <w:sz w:val="24"/>
                <w:szCs w:val="24"/>
                <w14:textFill>
                  <w14:solidFill>
                    <w14:schemeClr w14:val="tx1">
                      <w14:lumMod w14:val="95000"/>
                      <w14:lumOff w14:val="5000"/>
                    </w14:schemeClr>
                  </w14:solidFill>
                </w14:textFill>
              </w:rPr>
              <w:t>5</w:t>
            </w:r>
            <w:r>
              <w:rPr>
                <w:rFonts w:hint="eastAsia" w:eastAsia="宋体" w:cs="宋体"/>
                <w:color w:val="0D0D0D" w:themeColor="text1" w:themeTint="F2"/>
                <w:kern w:val="0"/>
                <w:sz w:val="24"/>
                <w:szCs w:val="24"/>
                <w14:textFill>
                  <w14:solidFill>
                    <w14:schemeClr w14:val="tx1">
                      <w14:lumMod w14:val="95000"/>
                      <w14:lumOff w14:val="5000"/>
                    </w14:schemeClr>
                  </w14:solidFill>
                </w14:textFill>
              </w:rPr>
              <w:t>,6</w:t>
            </w:r>
            <w:r>
              <w:rPr>
                <w:rFonts w:eastAsia="宋体" w:cs="宋体"/>
                <w:color w:val="0D0D0D" w:themeColor="text1" w:themeTint="F2"/>
                <w:kern w:val="0"/>
                <w:sz w:val="24"/>
                <w:szCs w:val="24"/>
                <w14:textFill>
                  <w14:solidFill>
                    <w14:schemeClr w14:val="tx1">
                      <w14:lumMod w14:val="95000"/>
                      <w14:lumOff w14:val="5000"/>
                    </w14:schemeClr>
                  </w14:solidFill>
                </w14:textFill>
              </w:rPr>
              <w:t>23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一般公共服务支出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110,70</w:t>
            </w:r>
            <w:r>
              <w:rPr>
                <w:rFonts w:eastAsia="宋体" w:cs="宋体"/>
                <w:color w:val="0D0D0D" w:themeColor="text1" w:themeTint="F2"/>
                <w:kern w:val="0"/>
                <w:sz w:val="24"/>
                <w:szCs w:val="24"/>
                <w14:textFill>
                  <w14:solidFill>
                    <w14:schemeClr w14:val="tx1">
                      <w14:lumMod w14:val="95000"/>
                      <w14:lumOff w14:val="5000"/>
                    </w14:schemeClr>
                  </w14:solidFill>
                </w14:textFill>
              </w:rPr>
              <w:t>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人大事务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1,967</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行政运行</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1,621</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其他人大事务支出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313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政协事务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行政运行</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其他政协事务支出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政府办公厅(室)及相关机构事务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59,85</w:t>
            </w:r>
            <w:r>
              <w:rPr>
                <w:rFonts w:eastAsia="宋体" w:cs="宋体"/>
                <w:color w:val="0D0D0D" w:themeColor="text1" w:themeTint="F2"/>
                <w:kern w:val="0"/>
                <w:sz w:val="24"/>
                <w:szCs w:val="24"/>
                <w14:textFill>
                  <w14:solidFill>
                    <w14:schemeClr w14:val="tx1">
                      <w14:lumMod w14:val="95000"/>
                      <w14:lumOff w14:val="5000"/>
                    </w14:schemeClr>
                  </w14:solidFill>
                </w14:textFill>
              </w:rPr>
              <w:t>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行政运行</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31,17</w:t>
            </w:r>
            <w:r>
              <w:rPr>
                <w:rFonts w:eastAsia="宋体" w:cs="宋体"/>
                <w:color w:val="0D0D0D" w:themeColor="text1" w:themeTint="F2"/>
                <w:kern w:val="0"/>
                <w:sz w:val="24"/>
                <w:szCs w:val="24"/>
                <w14:textFill>
                  <w14:solidFill>
                    <w14:schemeClr w14:val="tx1">
                      <w14:lumMod w14:val="95000"/>
                      <w14:lumOff w14:val="5000"/>
                    </w14:schemeClr>
                  </w14:solidFill>
                </w14:textFill>
              </w:rPr>
              <w:t>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23,610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专项业务及机关事务管理</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信访事务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214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事业运行</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2,349</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其他政府办公厅(室)及相关机构事务支出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2,495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发展与改革事务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19,581</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行政运行</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755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17,958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战略规划与实施</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697</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物价管理</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其他发展与改革事务支出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158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统计信息事务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338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统计管理</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专项普查活动</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其他统计信息事务支出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162</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财政事务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3,735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行政运行</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905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2,764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其他财政事务支出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税收事务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6,635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行政运行</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6,635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审计事务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其他审计事务支出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海关事务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110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检验检疫</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110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纪检监察事务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1,044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行政运行</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407</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90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大案要案查处</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442</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巡视工作</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102</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其他纪检监察事务支出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商贸事务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1,655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705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其他商贸事务支出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950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民族事务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其他民族事务支出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港澳台事务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其他港澳台事务支出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民主党派及工商联事务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其他民主党派及工商联事务支出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群众团体事务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635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21</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其他群众团体事务支出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614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组织事务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2,051</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其他组织事务支出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2,037</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宣传事务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5,237</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事业运行</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388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其他宣传事务支出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4,849</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统战事务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410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行政运行</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171</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宗教事务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华侨事务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其他统战事务支出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173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其他共产党事务支出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676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其他共产党事务支出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676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网信事务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776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776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市场监督管理事务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5,473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行政运行</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2,449</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138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市场主体管理</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669</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市场秩序执法</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信息化建设</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质量基础</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750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药品事务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52</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医疗器械事务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441</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化妆品事务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质量安全监管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107</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食品安全监管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534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其他市场监督管理事务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169</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其他一般公共服务支出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303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其他一般公共服务支出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303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国防支出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国防动员</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兵役征集</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人民防空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民兵</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其他国防动员支出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公共安全支出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40,584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公安</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39,276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行政运行</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18,628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19,091</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执法办案</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1,457</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特别业务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司法</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397</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基层司法业务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201</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普法宣传</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公共法律服务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96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国家统一法律职业资格考试</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17</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社区矫正</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其他司法支出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其他公共安全支出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911</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国家司法救助支出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其他公共安全支出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811</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教育支出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148,836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普通教育</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135,698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学前教育</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4,830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小学教育</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37,155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初中教育</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30,680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高中教育</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15,170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其他普通教育支出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47,863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职业教育</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4,950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中等职业教育</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4,950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特殊教育</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其他特殊教育支出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进修及培训</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教师进修</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教育费附加安排的支出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5,000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其他教育费附加安排的支出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5,000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其他教育支出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3,109</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其他教育支出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3,109</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科学技术支出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208,907</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科学技术管理事务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4,749</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行政运行</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239</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其他科学技术管理事务支出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4,382</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技术研究与开发</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724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科技成果转化与扩散</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724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科学技术普及</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430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其他科学技术普及支出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430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其他科学技术支出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203,004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其他科学技术支出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203,004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文化旅游体育与传媒支出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3,165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文化和旅游</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2,046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文化活动</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408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群众文化</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244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其他文化和旅游支出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1,319</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文物</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109</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文物保护</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109</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体育</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951</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群众体育</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其他体育支出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941</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其他文化旅游体育与传媒支出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59</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其他文化旅游体育与传媒支出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59</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社会保障和就业支出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52,106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人力资源和社会保障管理事务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7,803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11</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社会保险经办机构</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497</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劳动人事争议调解仲裁</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226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事业运行</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1,259</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其他人力资源和社会保障管理事务支出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5,810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民政管理事务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10,077</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204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基层政权建设和社区治理</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9,163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其他民政管理事务支出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710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行政事业单位养老支出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15,648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事业单位离退休</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19</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机关事业单位基本养老保险缴费支出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7,941</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机关事业单位职业年金缴费支出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3,970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其他行政事业单位养老支出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3,718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就业补助</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7,324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就业创业服务补贴</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5,313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就业见习补贴</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364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其他就业补助支出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1,647</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抚恤</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2,472</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死亡抚恤</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在乡复员、退伍军人生活补助</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1,067</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义务兵优待</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309</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其他优抚支出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1,084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退役安置</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880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退役士兵安置</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207</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军队移交政府的离退休人员安置</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军队移交政府离退休干部管理机构</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军队转业干部安置</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52</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其他退役安置支出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584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社会福利</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504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儿童福利</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老年福利</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181</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殡葬</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养老服务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219</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其他社会福利支出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残疾人事业</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1,414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残疾人康复</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275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残疾人体育</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57</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残疾人生活和护理补贴</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其他残疾人事业支出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1,034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最低生活保障</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472</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城市最低生活保障金支出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449</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农村最低生活保障金支出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临时救助</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113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临时救助支出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109</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流浪乞讨人员救助支出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特困人员救助供养</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239</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城市特困人员救助供养支出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215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农村特困人员救助供养支出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其他生活救助</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57</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其他城市生活救助</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57</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退役军人管理事务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999</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事业运行</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416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其他退役军人事务管理支出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583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其他社会保障和就业支出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4,104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其他社会保障和就业支出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4,104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卫生健康支出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29,586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卫生健康管理事务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2,245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行政运行</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2,055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其他卫生健康管理事务支出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187</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基层医疗卫生机构</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7,168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城市社区卫生机构</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525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乡镇卫生院</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2,443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其他基层医疗卫生机构支出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4,200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公共卫生</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4,592</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疾病预防控制机构</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300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妇幼保健机构</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200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精神卫生机构</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基本公共卫生服务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905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突发公共卫生事件应急处理</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3,021</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其他公共卫生支出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计划生育事务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756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计划生育服务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308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其他计划生育事务支出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448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行政事业单位医疗</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5,388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行政单位医疗</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1,134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事业单位医疗</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3,098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公务员医疗补助</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203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其他行政事业单位医疗支出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953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财政对基本医疗保险基金的补助</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223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财政对城乡居民基本医疗保险基金的补助</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223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医疗救助</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107</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城乡医疗救助</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107</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优抚对象医疗</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优抚对象医疗补助</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医疗保障管理事务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3,702</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医疗保障政策管理</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250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医疗保障经办事务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171</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其他医疗保障管理事务支出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3,281</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其他卫生健康支出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5,337</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其他卫生健康支出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5,337</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节能环保支出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18,668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环境保护管理事务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1,812</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行政运行</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695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610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生态环境保护宣传</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其他环境保护管理事务支出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451</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环境监测与监察</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472</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其他环境监测与监察支出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472</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污染防治</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5,251</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大气</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1,907</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水体</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3,344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自然生态保护</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农村环境保护</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污染减排</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生态环境执法监察</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能源管理事务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112</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112</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其他节能环保支出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10,961</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其他节能环保支出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10,961</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城乡社区支出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w:t>
            </w:r>
            <w:r>
              <w:rPr>
                <w:rFonts w:eastAsia="宋体" w:cs="宋体"/>
                <w:color w:val="0D0D0D" w:themeColor="text1" w:themeTint="F2"/>
                <w:kern w:val="0"/>
                <w:sz w:val="24"/>
                <w:szCs w:val="24"/>
                <w14:textFill>
                  <w14:solidFill>
                    <w14:schemeClr w14:val="tx1">
                      <w14:lumMod w14:val="95000"/>
                      <w14:lumOff w14:val="5000"/>
                    </w14:schemeClr>
                  </w14:solidFill>
                </w14:textFill>
              </w:rPr>
              <w:t>22</w:t>
            </w:r>
            <w:r>
              <w:rPr>
                <w:rFonts w:hint="eastAsia" w:eastAsia="宋体" w:cs="宋体"/>
                <w:color w:val="0D0D0D" w:themeColor="text1" w:themeTint="F2"/>
                <w:kern w:val="0"/>
                <w:sz w:val="24"/>
                <w:szCs w:val="24"/>
                <w14:textFill>
                  <w14:solidFill>
                    <w14:schemeClr w14:val="tx1">
                      <w14:lumMod w14:val="95000"/>
                      <w14:lumOff w14:val="5000"/>
                    </w14:schemeClr>
                  </w14:solidFill>
                </w14:textFill>
              </w:rPr>
              <w:t>,5</w:t>
            </w:r>
            <w:r>
              <w:rPr>
                <w:rFonts w:eastAsia="宋体" w:cs="宋体"/>
                <w:color w:val="0D0D0D" w:themeColor="text1" w:themeTint="F2"/>
                <w:kern w:val="0"/>
                <w:sz w:val="24"/>
                <w:szCs w:val="24"/>
                <w14:textFill>
                  <w14:solidFill>
                    <w14:schemeClr w14:val="tx1">
                      <w14:lumMod w14:val="95000"/>
                      <w14:lumOff w14:val="5000"/>
                    </w14:schemeClr>
                  </w14:solidFill>
                </w14:textFill>
              </w:rPr>
              <w:t>46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城乡社区管理事务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4,163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行政运行</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1,218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770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城管执法</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542</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其他城乡社区管理事务支出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1,633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城乡社区公共设施</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12,505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小城镇基础设施建设</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11,227</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其他城乡社区公共设施支出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1,278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城乡社区环境卫生</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27,469</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城乡社区环境卫生</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27,469</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其他城乡社区支出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w:t>
            </w:r>
            <w:r>
              <w:rPr>
                <w:rFonts w:eastAsia="宋体" w:cs="宋体"/>
                <w:color w:val="0D0D0D" w:themeColor="text1" w:themeTint="F2"/>
                <w:kern w:val="0"/>
                <w:sz w:val="24"/>
                <w:szCs w:val="24"/>
                <w14:textFill>
                  <w14:solidFill>
                    <w14:schemeClr w14:val="tx1">
                      <w14:lumMod w14:val="95000"/>
                      <w14:lumOff w14:val="5000"/>
                    </w14:schemeClr>
                  </w14:solidFill>
                </w14:textFill>
              </w:rPr>
              <w:t>8</w:t>
            </w:r>
            <w:r>
              <w:rPr>
                <w:rFonts w:hint="eastAsia" w:eastAsia="宋体" w:cs="宋体"/>
                <w:color w:val="0D0D0D" w:themeColor="text1" w:themeTint="F2"/>
                <w:kern w:val="0"/>
                <w:sz w:val="24"/>
                <w:szCs w:val="24"/>
                <w14:textFill>
                  <w14:solidFill>
                    <w14:schemeClr w14:val="tx1">
                      <w14:lumMod w14:val="95000"/>
                      <w14:lumOff w14:val="5000"/>
                    </w14:schemeClr>
                  </w14:solidFill>
                </w14:textFill>
              </w:rPr>
              <w:t>,4</w:t>
            </w:r>
            <w:r>
              <w:rPr>
                <w:rFonts w:eastAsia="宋体" w:cs="宋体"/>
                <w:color w:val="0D0D0D" w:themeColor="text1" w:themeTint="F2"/>
                <w:kern w:val="0"/>
                <w:sz w:val="24"/>
                <w:szCs w:val="24"/>
                <w14:textFill>
                  <w14:solidFill>
                    <w14:schemeClr w14:val="tx1">
                      <w14:lumMod w14:val="95000"/>
                      <w14:lumOff w14:val="5000"/>
                    </w14:schemeClr>
                  </w14:solidFill>
                </w14:textFill>
              </w:rPr>
              <w:t>09</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其他城乡社区支出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w:t>
            </w:r>
            <w:r>
              <w:rPr>
                <w:rFonts w:eastAsia="宋体" w:cs="宋体"/>
                <w:color w:val="0D0D0D" w:themeColor="text1" w:themeTint="F2"/>
                <w:kern w:val="0"/>
                <w:sz w:val="24"/>
                <w:szCs w:val="24"/>
                <w14:textFill>
                  <w14:solidFill>
                    <w14:schemeClr w14:val="tx1">
                      <w14:lumMod w14:val="95000"/>
                      <w14:lumOff w14:val="5000"/>
                    </w14:schemeClr>
                  </w14:solidFill>
                </w14:textFill>
              </w:rPr>
              <w:t>8</w:t>
            </w:r>
            <w:r>
              <w:rPr>
                <w:rFonts w:hint="eastAsia" w:eastAsia="宋体" w:cs="宋体"/>
                <w:color w:val="0D0D0D" w:themeColor="text1" w:themeTint="F2"/>
                <w:kern w:val="0"/>
                <w:sz w:val="24"/>
                <w:szCs w:val="24"/>
                <w14:textFill>
                  <w14:solidFill>
                    <w14:schemeClr w14:val="tx1">
                      <w14:lumMod w14:val="95000"/>
                      <w14:lumOff w14:val="5000"/>
                    </w14:schemeClr>
                  </w14:solidFill>
                </w14:textFill>
              </w:rPr>
              <w:t>,4</w:t>
            </w:r>
            <w:r>
              <w:rPr>
                <w:rFonts w:eastAsia="宋体" w:cs="宋体"/>
                <w:color w:val="0D0D0D" w:themeColor="text1" w:themeTint="F2"/>
                <w:kern w:val="0"/>
                <w:sz w:val="24"/>
                <w:szCs w:val="24"/>
                <w14:textFill>
                  <w14:solidFill>
                    <w14:schemeClr w14:val="tx1">
                      <w14:lumMod w14:val="95000"/>
                      <w14:lumOff w14:val="5000"/>
                    </w14:schemeClr>
                  </w14:solidFill>
                </w14:textFill>
              </w:rPr>
              <w:t>09</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农林水支出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12,528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农业农村</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2,714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454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事业运行</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107</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病虫害控制</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执法监管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行业业务管理</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农业生产发展</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331</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农村合作经济</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农产品加工与促销</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农业资源保护修复与利用</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116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农田建设</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其他农业农村支出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1,495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林业和草原</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1,716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森林生态效益补偿</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11</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林业草原防灾减灾</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412</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其他林业和草原支出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1,250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水利</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5,826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水利工程建设</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4,581</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水利工程运行与维护</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261</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水文测报</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防汛</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抗旱</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191</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江河湖库水系综合整治</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其他水利支出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603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巩固脱贫衔接乡村振兴</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其他巩固脱贫衔接乡村振兴支出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农村综合改革</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1,330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对村级公益事业建设的补助</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943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对村民委员会和村党支部的补助</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122</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其他农村综合改革支出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265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普惠金融发展支出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507</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农业保险保费补贴</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创业担保贷款贴息及奖补</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499</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其他农林水支出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433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其他农林水支出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433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交通运输支出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4,233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公路水路运输</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2,939</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公路建设</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公路养护</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566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公路和运输安全</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59</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公路运输管理</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2,269</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其他公路水路运输支出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铁路运输</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铁路安全</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车辆购置税支出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1,259</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车辆购置税用于公路等基础设施建设支出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1,259</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资源勘探工业信息等支出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17,492</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制造业</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3,726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2,545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其他制造业支出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1,181</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工业和信息产业监管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1,750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工程建设及运行维护</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1,750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支持中小企业发展和管理支出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1,000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中小企业发展专项</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1,000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其他资源勘探工业信息等支出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11,016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其他资源勘探工业信息等支出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11,016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商业服务业等支出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4,832</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商业流通事务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440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其他商业流通事务支出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440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涉外发展服务支出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2,190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其他涉外发展服务支出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2,190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其他商业服务业等支出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2,202</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服务业基础设施建设</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400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其他商业服务业等支出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1,802</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自然资源海洋气象等支出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9,606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自然资源事务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9,606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自然资源规划及管理</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313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自然资源利用与保护</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8,803</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事业运行</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490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住房保障支出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14,866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保障性安居工程支出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7,298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公共租赁住房</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1,215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老旧小区改造</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1,047</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住房租赁市场发展</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2,969</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其他保障性安居工程支出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2,067</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住房改革支出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7,548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住房公积金</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7,548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城乡社区住宅</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其他城乡社区住宅支出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粮油物资储备支出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220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粮油物资事务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粮油储备</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195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储备粮油补贴</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175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其他粮油储备支出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灾害防治及应急管理支出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1,704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应急管理事务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1,461</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一般行政管理事务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96</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灾害风险防治</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200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安全监管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344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应急救援</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425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应急管理</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174</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其他应急管理支出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222</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消防救援事务</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消防应急救援</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128</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自然灾害救灾及恢复重建支出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115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其他自然灾害救灾及恢复重建支出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115</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债务付息支出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25,000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地方政府一般债务付息支出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25,000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地方政府一般债券付息支出</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25,000</w:t>
            </w:r>
          </w:p>
        </w:tc>
      </w:tr>
      <w:tr>
        <w:tblPrEx>
          <w:tblCellMar>
            <w:top w:w="0" w:type="dxa"/>
            <w:left w:w="108" w:type="dxa"/>
            <w:bottom w:w="0" w:type="dxa"/>
            <w:right w:w="108" w:type="dxa"/>
          </w:tblCellMar>
        </w:tblPrEx>
        <w:trPr>
          <w:trHeight w:val="276" w:hRule="atLeast"/>
        </w:trPr>
        <w:tc>
          <w:tcPr>
            <w:tcW w:w="66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241" w:firstLineChars="10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预备费</w:t>
            </w:r>
          </w:p>
        </w:tc>
        <w:tc>
          <w:tcPr>
            <w:tcW w:w="255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10,000</w:t>
            </w:r>
          </w:p>
        </w:tc>
      </w:tr>
    </w:tbl>
    <w:p>
      <w:pPr>
        <w:widowControl/>
        <w:spacing w:line="240" w:lineRule="auto"/>
        <w:ind w:firstLine="0" w:firstLineChars="0"/>
        <w:rPr>
          <w:rFonts w:eastAsia="方正楷体_GBK"/>
          <w:bCs/>
          <w:color w:val="0D0D0D" w:themeColor="text1" w:themeTint="F2"/>
          <w:kern w:val="44"/>
          <w:szCs w:val="44"/>
          <w14:textFill>
            <w14:solidFill>
              <w14:schemeClr w14:val="tx1">
                <w14:lumMod w14:val="95000"/>
                <w14:lumOff w14:val="5000"/>
              </w14:schemeClr>
            </w14:solidFill>
          </w14:textFill>
        </w:rPr>
      </w:pPr>
    </w:p>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pPr>
      <w:r>
        <w:rPr>
          <w:rFonts w:eastAsia="方正楷体_GBK"/>
          <w:bCs/>
          <w:color w:val="0D0D0D" w:themeColor="text1" w:themeTint="F2"/>
          <w:kern w:val="44"/>
          <w:szCs w:val="44"/>
          <w14:textFill>
            <w14:solidFill>
              <w14:schemeClr w14:val="tx1">
                <w14:lumMod w14:val="95000"/>
                <w14:lumOff w14:val="5000"/>
              </w14:schemeClr>
            </w14:solidFill>
          </w14:textFill>
        </w:rPr>
        <w:br w:type="page"/>
      </w:r>
    </w:p>
    <w:p>
      <w:pPr>
        <w:widowControl/>
        <w:spacing w:line="240" w:lineRule="auto"/>
        <w:ind w:firstLine="0" w:firstLineChars="0"/>
        <w:rPr>
          <w:rFonts w:eastAsia="方正黑体_GBK"/>
          <w:bCs/>
          <w:color w:val="0D0D0D" w:themeColor="text1" w:themeTint="F2"/>
          <w:kern w:val="44"/>
          <w:szCs w:val="44"/>
          <w14:textFill>
            <w14:solidFill>
              <w14:schemeClr w14:val="tx1">
                <w14:lumMod w14:val="95000"/>
                <w14:lumOff w14:val="5000"/>
              </w14:schemeClr>
            </w14:solidFill>
          </w14:textFill>
        </w:rPr>
      </w:pPr>
      <w:r>
        <w:rPr>
          <w:rFonts w:hint="eastAsia" w:eastAsia="方正黑体_GBK"/>
          <w:bCs/>
          <w:color w:val="0D0D0D" w:themeColor="text1" w:themeTint="F2"/>
          <w:kern w:val="44"/>
          <w:szCs w:val="44"/>
          <w14:textFill>
            <w14:solidFill>
              <w14:schemeClr w14:val="tx1">
                <w14:lumMod w14:val="95000"/>
                <w14:lumOff w14:val="5000"/>
              </w14:schemeClr>
            </w14:solidFill>
          </w14:textFill>
        </w:rPr>
        <w:t>表11</w:t>
      </w:r>
    </w:p>
    <w:tbl>
      <w:tblPr>
        <w:tblStyle w:val="7"/>
        <w:tblW w:w="9540" w:type="dxa"/>
        <w:tblInd w:w="0" w:type="dxa"/>
        <w:tblLayout w:type="autofit"/>
        <w:tblCellMar>
          <w:top w:w="0" w:type="dxa"/>
          <w:left w:w="108" w:type="dxa"/>
          <w:bottom w:w="0" w:type="dxa"/>
          <w:right w:w="108" w:type="dxa"/>
        </w:tblCellMar>
      </w:tblPr>
      <w:tblGrid>
        <w:gridCol w:w="4111"/>
        <w:gridCol w:w="1985"/>
        <w:gridCol w:w="1701"/>
        <w:gridCol w:w="1743"/>
      </w:tblGrid>
      <w:tr>
        <w:tblPrEx>
          <w:tblCellMar>
            <w:top w:w="0" w:type="dxa"/>
            <w:left w:w="108" w:type="dxa"/>
            <w:bottom w:w="0" w:type="dxa"/>
            <w:right w:w="108" w:type="dxa"/>
          </w:tblCellMar>
        </w:tblPrEx>
        <w:trPr>
          <w:trHeight w:val="504" w:hRule="atLeast"/>
          <w:tblHeader/>
        </w:trPr>
        <w:tc>
          <w:tcPr>
            <w:tcW w:w="9540" w:type="dxa"/>
            <w:gridSpan w:val="4"/>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方正小标宋_GBK" w:cs="宋体"/>
                <w:color w:val="0D0D0D" w:themeColor="text1" w:themeTint="F2"/>
                <w:kern w:val="0"/>
                <w:sz w:val="38"/>
                <w:szCs w:val="38"/>
                <w14:textFill>
                  <w14:solidFill>
                    <w14:schemeClr w14:val="tx1">
                      <w14:lumMod w14:val="95000"/>
                      <w14:lumOff w14:val="5000"/>
                    </w14:schemeClr>
                  </w14:solidFill>
                </w14:textFill>
              </w:rPr>
            </w:pPr>
            <w:r>
              <w:rPr>
                <w:rFonts w:hint="eastAsia" w:eastAsia="方正小标宋_GBK" w:cs="宋体"/>
                <w:color w:val="0D0D0D" w:themeColor="text1" w:themeTint="F2"/>
                <w:kern w:val="0"/>
                <w:sz w:val="38"/>
                <w:szCs w:val="38"/>
                <w14:textFill>
                  <w14:solidFill>
                    <w14:schemeClr w14:val="tx1">
                      <w14:lumMod w14:val="95000"/>
                      <w14:lumOff w14:val="5000"/>
                    </w14:schemeClr>
                  </w14:solidFill>
                </w14:textFill>
              </w:rPr>
              <w:t xml:space="preserve">2023年一般公共预算本级支出预算表 </w:t>
            </w:r>
          </w:p>
        </w:tc>
      </w:tr>
      <w:tr>
        <w:tblPrEx>
          <w:tblCellMar>
            <w:top w:w="0" w:type="dxa"/>
            <w:left w:w="108" w:type="dxa"/>
            <w:bottom w:w="0" w:type="dxa"/>
            <w:right w:w="108" w:type="dxa"/>
          </w:tblCellMar>
        </w:tblPrEx>
        <w:trPr>
          <w:trHeight w:val="324" w:hRule="atLeast"/>
          <w:tblHeader/>
        </w:trPr>
        <w:tc>
          <w:tcPr>
            <w:tcW w:w="7797" w:type="dxa"/>
            <w:gridSpan w:val="3"/>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方正楷体_GBK" w:cs="宋体"/>
                <w:color w:val="0D0D0D" w:themeColor="text1" w:themeTint="F2"/>
                <w:kern w:val="0"/>
                <w:sz w:val="24"/>
                <w:szCs w:val="24"/>
                <w14:textFill>
                  <w14:solidFill>
                    <w14:schemeClr w14:val="tx1">
                      <w14:lumMod w14:val="95000"/>
                      <w14:lumOff w14:val="5000"/>
                    </w14:schemeClr>
                  </w14:solidFill>
                </w14:textFill>
              </w:rPr>
            </w:pPr>
          </w:p>
        </w:tc>
        <w:tc>
          <w:tcPr>
            <w:tcW w:w="1743"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right"/>
              <w:rPr>
                <w:rFonts w:eastAsia="方正楷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楷体_GBK" w:cs="宋体"/>
                <w:color w:val="0D0D0D" w:themeColor="text1" w:themeTint="F2"/>
                <w:kern w:val="0"/>
                <w:sz w:val="24"/>
                <w:szCs w:val="24"/>
                <w14:textFill>
                  <w14:solidFill>
                    <w14:schemeClr w14:val="tx1">
                      <w14:lumMod w14:val="95000"/>
                      <w14:lumOff w14:val="5000"/>
                    </w14:schemeClr>
                  </w14:solidFill>
                </w14:textFill>
              </w:rPr>
              <w:t>单位：万元</w:t>
            </w:r>
          </w:p>
        </w:tc>
      </w:tr>
      <w:tr>
        <w:tblPrEx>
          <w:tblCellMar>
            <w:top w:w="0" w:type="dxa"/>
            <w:left w:w="108" w:type="dxa"/>
            <w:bottom w:w="0" w:type="dxa"/>
            <w:right w:w="108" w:type="dxa"/>
          </w:tblCellMar>
        </w:tblPrEx>
        <w:trPr>
          <w:trHeight w:val="324" w:hRule="atLeast"/>
          <w:tblHeader/>
        </w:trPr>
        <w:tc>
          <w:tcPr>
            <w:tcW w:w="4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科目名称</w:t>
            </w:r>
          </w:p>
        </w:tc>
        <w:tc>
          <w:tcPr>
            <w:tcW w:w="5429"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基本支出</w:t>
            </w:r>
          </w:p>
        </w:tc>
      </w:tr>
      <w:tr>
        <w:tblPrEx>
          <w:tblCellMar>
            <w:top w:w="0" w:type="dxa"/>
            <w:left w:w="108" w:type="dxa"/>
            <w:bottom w:w="0" w:type="dxa"/>
            <w:right w:w="108" w:type="dxa"/>
          </w:tblCellMar>
        </w:tblPrEx>
        <w:trPr>
          <w:trHeight w:val="324" w:hRule="atLeast"/>
          <w:tblHeader/>
        </w:trPr>
        <w:tc>
          <w:tcPr>
            <w:tcW w:w="411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方正黑体_GBK" w:cs="宋体"/>
                <w:color w:val="0D0D0D" w:themeColor="text1" w:themeTint="F2"/>
                <w:kern w:val="0"/>
                <w:sz w:val="24"/>
                <w:szCs w:val="24"/>
                <w14:textFill>
                  <w14:solidFill>
                    <w14:schemeClr w14:val="tx1">
                      <w14:lumMod w14:val="95000"/>
                      <w14:lumOff w14:val="5000"/>
                    </w14:schemeClr>
                  </w14:solidFill>
                </w14:textFill>
              </w:rPr>
            </w:pPr>
          </w:p>
        </w:tc>
        <w:tc>
          <w:tcPr>
            <w:tcW w:w="198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小计</w:t>
            </w:r>
          </w:p>
        </w:tc>
        <w:tc>
          <w:tcPr>
            <w:tcW w:w="170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人员经费</w:t>
            </w:r>
          </w:p>
        </w:tc>
        <w:tc>
          <w:tcPr>
            <w:tcW w:w="17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公用经费</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合计</w:t>
            </w:r>
          </w:p>
        </w:tc>
        <w:tc>
          <w:tcPr>
            <w:tcW w:w="198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153,388</w:t>
            </w:r>
          </w:p>
        </w:tc>
        <w:tc>
          <w:tcPr>
            <w:tcW w:w="170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131,476</w:t>
            </w:r>
          </w:p>
        </w:tc>
        <w:tc>
          <w:tcPr>
            <w:tcW w:w="1743"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21,912</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一般公共服务支出</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18,421</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13,777</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4,644</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人大事务</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33</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32</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行政运行</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33</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32</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政协事务</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15</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15</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行政运行</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15</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15</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政府办公厅（室）及相关机构事务</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13,287</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9,739</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3,548</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行政运行</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11,179</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8,144</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3,035</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一般行政管理事务</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18</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18</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事业运行</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2,089</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1,595</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494</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发展与改革事务</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755</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628</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128</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行政运行</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755</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628</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128</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财政事务</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905</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789</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116</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行政运行</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905</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789</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116</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纪检监察事务</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407</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307</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100</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行政运行</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407</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307</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100</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宣传事务</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388</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331</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57</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事业运行</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388</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331</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57</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统战事务</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181</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132</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49</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行政运行</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181</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132</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49</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市场监督管理事务</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2,449</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1,850</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599</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行政运行</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2,449</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1,850</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599</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公共安全支出</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18,362</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13,266</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5,097</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公安</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18,362</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13,266</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5,097</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行政运行</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18,362</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13,266</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5,097</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教育支出</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71,503</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61,170</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10,333</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普通教育</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71,503</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61,170</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10,333</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学前教育</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962</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435</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527</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小学教育</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21,674</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14,834</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6,839</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初中教育</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12,264</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9,342</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2,922</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高中教育</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890</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845</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45</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其他普通教育支出</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35,714</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35,714</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科学技术支出</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1,001</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814</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187</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科学技术管理事务</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1,001</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814</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187</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行政运行</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239</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197</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42</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其他科学技术管理事务支出</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762</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617</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145</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文化旅游体育与传媒支出</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724</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533</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191</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文化和旅游</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724</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533</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191</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其他文化和旅游支出</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724</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533</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191</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社会保障和就业支出</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18,459</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17,822</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637</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人力资源和社会保障管理事务</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2,188</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1,713</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475</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事业运行</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1,259</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1,033</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226</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其他人力资源和社会保障管理事务支出</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930</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680</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250</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民政管理事务</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192</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138</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54</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基层政权建设和社区治理</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192</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138</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54</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行政事业单位养老支出</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15,628</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15,628</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事业单位离退休</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19</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19</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机关事业单位基本养老保险缴费支出</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7,941</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7,941</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机关事业单位职业年金缴费支出</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3,970</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3,970</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其他行政事业单位养老支出</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3,698</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3,698</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退役军人管理事务</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416</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308</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108</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事业运行</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416</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308</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108</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其他社会保障和就业支出</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36</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36</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其他社会保障和就业支出</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36</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36</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卫生健康支出</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12,522</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12,416</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106</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卫生健康管理事务</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行政运行</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基层医疗卫生机构</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7,132</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7,026</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106</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城市社区卫生机构</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523</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504</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19</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乡镇卫生院</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2,409</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2,323</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86</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其他基层医疗卫生机构支出</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4,200</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4,200</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行政事业单位医疗</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5,387</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5,387</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行政单位医疗</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1,134</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1,134</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事业单位医疗</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3,098</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3,098</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公务员医疗补助</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203</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203</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其他行政事业单位医疗支出</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953</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953</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节能环保支出</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695</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590</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105</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环境保护管理事务</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695</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590</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105</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行政运行</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695</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590</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105</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城乡社区支出</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2,883</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2,568</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314</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城乡社区管理事务</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2,883</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2,568</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314</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行政运行</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1,218</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1,170</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48</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城管执法</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91</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67</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24</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其他城乡社区管理事务支出</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1,573</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1,331</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242</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农林水支出</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780</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570</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211</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农业农村</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780</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570</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211</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事业运行</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107</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82</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25</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其他农业农村支出</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674</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488</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186</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自然资源海洋气象等支出</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490</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402</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88</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自然资源事务</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490</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402</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88</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事业运行</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490</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402</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88</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住房保障支出</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7,548</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7,548</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住房改革支出</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7,548</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7,548</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r>
      <w:tr>
        <w:tblPrEx>
          <w:tblCellMar>
            <w:top w:w="0" w:type="dxa"/>
            <w:left w:w="108" w:type="dxa"/>
            <w:bottom w:w="0" w:type="dxa"/>
            <w:right w:w="108" w:type="dxa"/>
          </w:tblCellMar>
        </w:tblPrEx>
        <w:trPr>
          <w:trHeight w:val="324" w:hRule="atLeast"/>
        </w:trPr>
        <w:tc>
          <w:tcPr>
            <w:tcW w:w="411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住房公积金</w:t>
            </w:r>
          </w:p>
        </w:tc>
        <w:tc>
          <w:tcPr>
            <w:tcW w:w="198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7,548</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7,548</w:t>
            </w:r>
          </w:p>
        </w:tc>
        <w:tc>
          <w:tcPr>
            <w:tcW w:w="1743"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r>
    </w:tbl>
    <w:p>
      <w:pPr>
        <w:widowControl/>
        <w:spacing w:line="240" w:lineRule="auto"/>
        <w:ind w:firstLine="0" w:firstLineChars="0"/>
        <w:rPr>
          <w:rFonts w:eastAsia="方正楷体_GBK"/>
          <w:bCs/>
          <w:color w:val="0D0D0D" w:themeColor="text1" w:themeTint="F2"/>
          <w:kern w:val="44"/>
          <w:szCs w:val="44"/>
          <w14:textFill>
            <w14:solidFill>
              <w14:schemeClr w14:val="tx1">
                <w14:lumMod w14:val="95000"/>
                <w14:lumOff w14:val="5000"/>
              </w14:schemeClr>
            </w14:solidFill>
          </w14:textFill>
        </w:rPr>
      </w:pPr>
    </w:p>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pPr>
      <w:r>
        <w:rPr>
          <w:rFonts w:eastAsia="方正楷体_GBK"/>
          <w:bCs/>
          <w:color w:val="0D0D0D" w:themeColor="text1" w:themeTint="F2"/>
          <w:kern w:val="44"/>
          <w:szCs w:val="44"/>
          <w14:textFill>
            <w14:solidFill>
              <w14:schemeClr w14:val="tx1">
                <w14:lumMod w14:val="95000"/>
                <w14:lumOff w14:val="5000"/>
              </w14:schemeClr>
            </w14:solidFill>
          </w14:textFill>
        </w:rPr>
        <w:br w:type="page"/>
      </w:r>
    </w:p>
    <w:p>
      <w:pPr>
        <w:widowControl/>
        <w:spacing w:line="240" w:lineRule="auto"/>
        <w:ind w:firstLine="0" w:firstLineChars="0"/>
        <w:rPr>
          <w:rFonts w:eastAsia="方正黑体_GBK"/>
          <w:bCs/>
          <w:color w:val="0D0D0D" w:themeColor="text1" w:themeTint="F2"/>
          <w:kern w:val="44"/>
          <w:szCs w:val="44"/>
          <w14:textFill>
            <w14:solidFill>
              <w14:schemeClr w14:val="tx1">
                <w14:lumMod w14:val="95000"/>
                <w14:lumOff w14:val="5000"/>
              </w14:schemeClr>
            </w14:solidFill>
          </w14:textFill>
        </w:rPr>
      </w:pPr>
      <w:r>
        <w:rPr>
          <w:rFonts w:hint="eastAsia" w:eastAsia="方正黑体_GBK"/>
          <w:bCs/>
          <w:color w:val="0D0D0D" w:themeColor="text1" w:themeTint="F2"/>
          <w:kern w:val="44"/>
          <w:szCs w:val="44"/>
          <w14:textFill>
            <w14:solidFill>
              <w14:schemeClr w14:val="tx1">
                <w14:lumMod w14:val="95000"/>
                <w14:lumOff w14:val="5000"/>
              </w14:schemeClr>
            </w14:solidFill>
          </w14:textFill>
        </w:rPr>
        <w:t>表12</w:t>
      </w:r>
    </w:p>
    <w:tbl>
      <w:tblPr>
        <w:tblStyle w:val="7"/>
        <w:tblW w:w="9305" w:type="dxa"/>
        <w:tblInd w:w="0" w:type="dxa"/>
        <w:tblLayout w:type="autofit"/>
        <w:tblCellMar>
          <w:top w:w="0" w:type="dxa"/>
          <w:left w:w="108" w:type="dxa"/>
          <w:bottom w:w="0" w:type="dxa"/>
          <w:right w:w="108" w:type="dxa"/>
        </w:tblCellMar>
      </w:tblPr>
      <w:tblGrid>
        <w:gridCol w:w="5245"/>
        <w:gridCol w:w="1418"/>
        <w:gridCol w:w="1275"/>
        <w:gridCol w:w="1367"/>
      </w:tblGrid>
      <w:tr>
        <w:tblPrEx>
          <w:tblCellMar>
            <w:top w:w="0" w:type="dxa"/>
            <w:left w:w="108" w:type="dxa"/>
            <w:bottom w:w="0" w:type="dxa"/>
            <w:right w:w="108" w:type="dxa"/>
          </w:tblCellMar>
        </w:tblPrEx>
        <w:trPr>
          <w:trHeight w:val="480" w:hRule="atLeast"/>
          <w:tblHeader/>
        </w:trPr>
        <w:tc>
          <w:tcPr>
            <w:tcW w:w="9305" w:type="dxa"/>
            <w:gridSpan w:val="4"/>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方正小标宋_GBK" w:cs="宋体"/>
                <w:color w:val="0D0D0D" w:themeColor="text1" w:themeTint="F2"/>
                <w:kern w:val="0"/>
                <w:sz w:val="36"/>
                <w:szCs w:val="36"/>
                <w14:textFill>
                  <w14:solidFill>
                    <w14:schemeClr w14:val="tx1">
                      <w14:lumMod w14:val="95000"/>
                      <w14:lumOff w14:val="5000"/>
                    </w14:schemeClr>
                  </w14:solidFill>
                </w14:textFill>
              </w:rPr>
            </w:pPr>
            <w:r>
              <w:rPr>
                <w:rFonts w:hint="eastAsia" w:eastAsia="方正小标宋_GBK" w:cs="宋体"/>
                <w:color w:val="0D0D0D" w:themeColor="text1" w:themeTint="F2"/>
                <w:kern w:val="0"/>
                <w:sz w:val="36"/>
                <w:szCs w:val="36"/>
                <w14:textFill>
                  <w14:solidFill>
                    <w14:schemeClr w14:val="tx1">
                      <w14:lumMod w14:val="95000"/>
                      <w14:lumOff w14:val="5000"/>
                    </w14:schemeClr>
                  </w14:solidFill>
                </w14:textFill>
              </w:rPr>
              <w:t xml:space="preserve">2023年一般公共预算本级基本支出预算表 </w:t>
            </w:r>
          </w:p>
        </w:tc>
      </w:tr>
      <w:tr>
        <w:tblPrEx>
          <w:tblCellMar>
            <w:top w:w="0" w:type="dxa"/>
            <w:left w:w="108" w:type="dxa"/>
            <w:bottom w:w="0" w:type="dxa"/>
            <w:right w:w="108" w:type="dxa"/>
          </w:tblCellMar>
        </w:tblPrEx>
        <w:trPr>
          <w:trHeight w:val="324" w:hRule="atLeast"/>
          <w:tblHeader/>
        </w:trPr>
        <w:tc>
          <w:tcPr>
            <w:tcW w:w="9305" w:type="dxa"/>
            <w:gridSpan w:val="4"/>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方正楷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楷体_GBK" w:cs="宋体"/>
                <w:color w:val="0D0D0D" w:themeColor="text1" w:themeTint="F2"/>
                <w:kern w:val="0"/>
                <w:sz w:val="24"/>
                <w:szCs w:val="24"/>
                <w14:textFill>
                  <w14:solidFill>
                    <w14:schemeClr w14:val="tx1">
                      <w14:lumMod w14:val="95000"/>
                      <w14:lumOff w14:val="5000"/>
                    </w14:schemeClr>
                  </w14:solidFill>
                </w14:textFill>
              </w:rPr>
              <w:t>（按经济分类科目）</w:t>
            </w:r>
          </w:p>
        </w:tc>
      </w:tr>
      <w:tr>
        <w:tblPrEx>
          <w:tblCellMar>
            <w:top w:w="0" w:type="dxa"/>
            <w:left w:w="108" w:type="dxa"/>
            <w:bottom w:w="0" w:type="dxa"/>
            <w:right w:w="108" w:type="dxa"/>
          </w:tblCellMar>
        </w:tblPrEx>
        <w:trPr>
          <w:trHeight w:val="288" w:hRule="atLeast"/>
          <w:tblHeader/>
        </w:trPr>
        <w:tc>
          <w:tcPr>
            <w:tcW w:w="5245"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方正楷体_GBK" w:cs="宋体"/>
                <w:color w:val="0D0D0D" w:themeColor="text1" w:themeTint="F2"/>
                <w:kern w:val="0"/>
                <w:sz w:val="24"/>
                <w:szCs w:val="24"/>
                <w14:textFill>
                  <w14:solidFill>
                    <w14:schemeClr w14:val="tx1">
                      <w14:lumMod w14:val="95000"/>
                      <w14:lumOff w14:val="5000"/>
                    </w14:schemeClr>
                  </w14:solidFill>
                </w14:textFill>
              </w:rPr>
            </w:pPr>
          </w:p>
        </w:tc>
        <w:tc>
          <w:tcPr>
            <w:tcW w:w="1418" w:type="dxa"/>
            <w:tcBorders>
              <w:top w:val="nil"/>
              <w:left w:val="nil"/>
              <w:bottom w:val="nil"/>
              <w:right w:val="nil"/>
            </w:tcBorders>
            <w:shd w:val="clear" w:color="auto" w:fill="auto"/>
            <w:noWrap/>
            <w:vAlign w:val="bottom"/>
          </w:tcPr>
          <w:p>
            <w:pPr>
              <w:widowControl/>
              <w:adjustRightInd w:val="0"/>
              <w:snapToGrid w:val="0"/>
              <w:spacing w:line="240" w:lineRule="auto"/>
              <w:ind w:firstLine="0" w:firstLineChars="0"/>
              <w:jc w:val="righ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275" w:type="dxa"/>
            <w:tcBorders>
              <w:top w:val="nil"/>
              <w:left w:val="nil"/>
              <w:bottom w:val="nil"/>
              <w:right w:val="nil"/>
            </w:tcBorders>
            <w:shd w:val="clear" w:color="auto" w:fill="auto"/>
            <w:noWrap/>
            <w:vAlign w:val="bottom"/>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367"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right"/>
              <w:rPr>
                <w:rFonts w:cs="宋体"/>
                <w:b/>
                <w:bCs/>
                <w:color w:val="0D0D0D" w:themeColor="text1" w:themeTint="F2"/>
                <w:kern w:val="0"/>
                <w:sz w:val="22"/>
                <w14:textFill>
                  <w14:solidFill>
                    <w14:schemeClr w14:val="tx1">
                      <w14:lumMod w14:val="95000"/>
                      <w14:lumOff w14:val="5000"/>
                    </w14:schemeClr>
                  </w14:solidFill>
                </w14:textFill>
              </w:rPr>
            </w:pPr>
            <w:r>
              <w:rPr>
                <w:rFonts w:hint="eastAsia" w:cs="宋体"/>
                <w:b/>
                <w:bCs/>
                <w:color w:val="0D0D0D" w:themeColor="text1" w:themeTint="F2"/>
                <w:kern w:val="0"/>
                <w:sz w:val="22"/>
                <w14:textFill>
                  <w14:solidFill>
                    <w14:schemeClr w14:val="tx1">
                      <w14:lumMod w14:val="95000"/>
                      <w14:lumOff w14:val="5000"/>
                    </w14:schemeClr>
                  </w14:solidFill>
                </w14:textFill>
              </w:rPr>
              <w:t>单位：万元</w:t>
            </w:r>
          </w:p>
        </w:tc>
      </w:tr>
      <w:tr>
        <w:tblPrEx>
          <w:tblCellMar>
            <w:top w:w="0" w:type="dxa"/>
            <w:left w:w="108" w:type="dxa"/>
            <w:bottom w:w="0" w:type="dxa"/>
            <w:right w:w="108" w:type="dxa"/>
          </w:tblCellMar>
        </w:tblPrEx>
        <w:trPr>
          <w:trHeight w:val="324" w:hRule="atLeast"/>
          <w:tblHeader/>
        </w:trPr>
        <w:tc>
          <w:tcPr>
            <w:tcW w:w="52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科目名称</w:t>
            </w:r>
          </w:p>
        </w:tc>
        <w:tc>
          <w:tcPr>
            <w:tcW w:w="4060"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本年一般公共预算基本支出</w:t>
            </w:r>
          </w:p>
        </w:tc>
      </w:tr>
      <w:tr>
        <w:tblPrEx>
          <w:tblCellMar>
            <w:top w:w="0" w:type="dxa"/>
            <w:left w:w="108" w:type="dxa"/>
            <w:bottom w:w="0" w:type="dxa"/>
            <w:right w:w="108" w:type="dxa"/>
          </w:tblCellMar>
        </w:tblPrEx>
        <w:trPr>
          <w:trHeight w:val="324" w:hRule="atLeast"/>
          <w:tblHeader/>
        </w:trPr>
        <w:tc>
          <w:tcPr>
            <w:tcW w:w="524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方正黑体_GBK" w:cs="宋体"/>
                <w:color w:val="0D0D0D" w:themeColor="text1" w:themeTint="F2"/>
                <w:kern w:val="0"/>
                <w:sz w:val="24"/>
                <w:szCs w:val="24"/>
                <w14:textFill>
                  <w14:solidFill>
                    <w14:schemeClr w14:val="tx1">
                      <w14:lumMod w14:val="95000"/>
                      <w14:lumOff w14:val="5000"/>
                    </w14:schemeClr>
                  </w14:solidFill>
                </w14:textFill>
              </w:rPr>
            </w:pPr>
          </w:p>
        </w:tc>
        <w:tc>
          <w:tcPr>
            <w:tcW w:w="14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合计</w:t>
            </w:r>
          </w:p>
        </w:tc>
        <w:tc>
          <w:tcPr>
            <w:tcW w:w="12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人员经费</w:t>
            </w:r>
          </w:p>
        </w:tc>
        <w:tc>
          <w:tcPr>
            <w:tcW w:w="13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公用经费</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b/>
                <w:bCs/>
                <w:color w:val="0D0D0D" w:themeColor="text1" w:themeTint="F2"/>
                <w:kern w:val="0"/>
                <w:sz w:val="24"/>
                <w:szCs w:val="24"/>
                <w14:textFill>
                  <w14:solidFill>
                    <w14:schemeClr w14:val="tx1">
                      <w14:lumMod w14:val="95000"/>
                      <w14:lumOff w14:val="5000"/>
                    </w14:schemeClr>
                  </w14:solidFill>
                </w14:textFill>
              </w:rPr>
            </w:pPr>
            <w:r>
              <w:rPr>
                <w:rFonts w:hint="eastAsia" w:cs="宋体"/>
                <w:b/>
                <w:bCs/>
                <w:color w:val="0D0D0D" w:themeColor="text1" w:themeTint="F2"/>
                <w:kern w:val="0"/>
                <w:sz w:val="24"/>
                <w:szCs w:val="24"/>
                <w14:textFill>
                  <w14:solidFill>
                    <w14:schemeClr w14:val="tx1">
                      <w14:lumMod w14:val="95000"/>
                      <w14:lumOff w14:val="5000"/>
                    </w14:schemeClr>
                  </w14:solidFill>
                </w14:textFill>
              </w:rPr>
              <w:t>合计</w:t>
            </w:r>
          </w:p>
        </w:tc>
        <w:tc>
          <w:tcPr>
            <w:tcW w:w="14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cs="宋体"/>
                <w:b/>
                <w:bCs/>
                <w:color w:val="0D0D0D" w:themeColor="text1" w:themeTint="F2"/>
                <w:kern w:val="0"/>
                <w:sz w:val="24"/>
                <w:szCs w:val="24"/>
                <w14:textFill>
                  <w14:solidFill>
                    <w14:schemeClr w14:val="tx1">
                      <w14:lumMod w14:val="95000"/>
                      <w14:lumOff w14:val="5000"/>
                    </w14:schemeClr>
                  </w14:solidFill>
                </w14:textFill>
              </w:rPr>
            </w:pPr>
            <w:r>
              <w:rPr>
                <w:rFonts w:hint="eastAsia" w:cs="宋体"/>
                <w:b/>
                <w:bCs/>
                <w:color w:val="0D0D0D" w:themeColor="text1" w:themeTint="F2"/>
                <w:kern w:val="0"/>
                <w:sz w:val="24"/>
                <w:szCs w:val="24"/>
                <w14:textFill>
                  <w14:solidFill>
                    <w14:schemeClr w14:val="tx1">
                      <w14:lumMod w14:val="95000"/>
                      <w14:lumOff w14:val="5000"/>
                    </w14:schemeClr>
                  </w14:solidFill>
                </w14:textFill>
              </w:rPr>
              <w:t>153,388</w:t>
            </w:r>
          </w:p>
        </w:tc>
        <w:tc>
          <w:tcPr>
            <w:tcW w:w="12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cs="宋体"/>
                <w:b/>
                <w:bCs/>
                <w:color w:val="0D0D0D" w:themeColor="text1" w:themeTint="F2"/>
                <w:kern w:val="0"/>
                <w:sz w:val="24"/>
                <w:szCs w:val="24"/>
                <w14:textFill>
                  <w14:solidFill>
                    <w14:schemeClr w14:val="tx1">
                      <w14:lumMod w14:val="95000"/>
                      <w14:lumOff w14:val="5000"/>
                    </w14:schemeClr>
                  </w14:solidFill>
                </w14:textFill>
              </w:rPr>
            </w:pPr>
            <w:r>
              <w:rPr>
                <w:rFonts w:hint="eastAsia" w:cs="宋体"/>
                <w:b/>
                <w:bCs/>
                <w:color w:val="0D0D0D" w:themeColor="text1" w:themeTint="F2"/>
                <w:kern w:val="0"/>
                <w:sz w:val="24"/>
                <w:szCs w:val="24"/>
                <w14:textFill>
                  <w14:solidFill>
                    <w14:schemeClr w14:val="tx1">
                      <w14:lumMod w14:val="95000"/>
                      <w14:lumOff w14:val="5000"/>
                    </w14:schemeClr>
                  </w14:solidFill>
                </w14:textFill>
              </w:rPr>
              <w:t>131,476</w:t>
            </w:r>
          </w:p>
        </w:tc>
        <w:tc>
          <w:tcPr>
            <w:tcW w:w="136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cs="宋体"/>
                <w:b/>
                <w:bCs/>
                <w:color w:val="0D0D0D" w:themeColor="text1" w:themeTint="F2"/>
                <w:kern w:val="0"/>
                <w:sz w:val="24"/>
                <w:szCs w:val="24"/>
                <w14:textFill>
                  <w14:solidFill>
                    <w14:schemeClr w14:val="tx1">
                      <w14:lumMod w14:val="95000"/>
                      <w14:lumOff w14:val="5000"/>
                    </w14:schemeClr>
                  </w14:solidFill>
                </w14:textFill>
              </w:rPr>
            </w:pPr>
            <w:r>
              <w:rPr>
                <w:rFonts w:hint="eastAsia" w:cs="宋体"/>
                <w:b/>
                <w:bCs/>
                <w:color w:val="0D0D0D" w:themeColor="text1" w:themeTint="F2"/>
                <w:kern w:val="0"/>
                <w:sz w:val="24"/>
                <w:szCs w:val="24"/>
                <w14:textFill>
                  <w14:solidFill>
                    <w14:schemeClr w14:val="tx1">
                      <w14:lumMod w14:val="95000"/>
                      <w14:lumOff w14:val="5000"/>
                    </w14:schemeClr>
                  </w14:solidFill>
                </w14:textFill>
              </w:rPr>
              <w:t>21,912</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工资福利支出</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127,500</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127,500</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基本工资</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19,809</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19,809</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津贴补贴</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9,726</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9,726</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奖金</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6,260</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6,260</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绩效工资</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57,582</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57,582</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机关事业单位基本养老保险缴费</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7,941</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7,941</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职业年金缴费</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3,970</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3,970</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职工基本医疗保险缴费</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3,729</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3,729</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其他社会保障缴费</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1,179</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1,179</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住房公积金</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7,548</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7,548</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医疗费</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1,387</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1,387</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其他工资福利支出</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8,367</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8,367</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商品和服务支出</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21,183</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21,183</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办公费</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3,405</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3,405</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印刷费</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197</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197</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咨询费</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50</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50</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手续费</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水费</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210</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210</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电费</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602</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602</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邮电费</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1,073</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1,073</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取暖费</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物业管理费</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749</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749</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差旅费</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235</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235</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维修（护）费</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992</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992</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租赁费</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68</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68</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会议费</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287</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287</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培训费</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671</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671</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公务接待费</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90</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90</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专用材料费</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162</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162</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专用燃料费</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劳务费</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3,523</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3,523</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委托业务费</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443</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443</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工会经费</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1,720</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1,720</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福利费</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633</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633</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公务用车运行维护费</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1,214</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1,214</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其他交通费用</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1,232</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1,232</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税金及附加费用</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其他商品和服务支出</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3,625</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3,625</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对个人和家庭的补助</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4,039</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3,977</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62</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生活补助</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3,905</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3,905</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医疗费补助</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助学金</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112</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56</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56</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其他对个人和家庭的补助</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22</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16</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6</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资本性支出</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667</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667</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办公设备购置</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370</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370</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信息网络及软件购置更新</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1</w:t>
            </w:r>
          </w:p>
        </w:tc>
      </w:tr>
      <w:tr>
        <w:tblPrEx>
          <w:tblCellMar>
            <w:top w:w="0" w:type="dxa"/>
            <w:left w:w="108" w:type="dxa"/>
            <w:bottom w:w="0" w:type="dxa"/>
            <w:right w:w="108" w:type="dxa"/>
          </w:tblCellMar>
        </w:tblPrEx>
        <w:trPr>
          <w:trHeight w:val="324" w:hRule="atLeast"/>
        </w:trPr>
        <w:tc>
          <w:tcPr>
            <w:tcW w:w="52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公务用车购置</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296</w:t>
            </w:r>
          </w:p>
        </w:tc>
        <w:tc>
          <w:tcPr>
            <w:tcW w:w="127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w:t>
            </w:r>
          </w:p>
        </w:tc>
        <w:tc>
          <w:tcPr>
            <w:tcW w:w="1367"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296</w:t>
            </w:r>
          </w:p>
        </w:tc>
      </w:tr>
    </w:tbl>
    <w:p>
      <w:pPr>
        <w:widowControl/>
        <w:spacing w:line="240" w:lineRule="auto"/>
        <w:ind w:firstLine="0" w:firstLineChars="0"/>
        <w:rPr>
          <w:rFonts w:eastAsia="方正楷体_GBK"/>
          <w:bCs/>
          <w:color w:val="0D0D0D" w:themeColor="text1" w:themeTint="F2"/>
          <w:kern w:val="44"/>
          <w:szCs w:val="44"/>
          <w14:textFill>
            <w14:solidFill>
              <w14:schemeClr w14:val="tx1">
                <w14:lumMod w14:val="95000"/>
                <w14:lumOff w14:val="5000"/>
              </w14:schemeClr>
            </w14:solidFill>
          </w14:textFill>
        </w:rPr>
      </w:pPr>
    </w:p>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pPr>
      <w:r>
        <w:rPr>
          <w:rFonts w:eastAsia="方正楷体_GBK"/>
          <w:bCs/>
          <w:color w:val="0D0D0D" w:themeColor="text1" w:themeTint="F2"/>
          <w:kern w:val="44"/>
          <w:szCs w:val="44"/>
          <w14:textFill>
            <w14:solidFill>
              <w14:schemeClr w14:val="tx1">
                <w14:lumMod w14:val="95000"/>
                <w14:lumOff w14:val="5000"/>
              </w14:schemeClr>
            </w14:solidFill>
          </w14:textFill>
        </w:rPr>
        <w:br w:type="page"/>
      </w:r>
    </w:p>
    <w:p>
      <w:pPr>
        <w:widowControl/>
        <w:spacing w:line="240" w:lineRule="auto"/>
        <w:ind w:firstLine="0" w:firstLineChars="0"/>
        <w:rPr>
          <w:rFonts w:eastAsia="方正黑体_GBK"/>
          <w:bCs/>
          <w:color w:val="0D0D0D" w:themeColor="text1" w:themeTint="F2"/>
          <w:kern w:val="44"/>
          <w:szCs w:val="44"/>
          <w14:textFill>
            <w14:solidFill>
              <w14:schemeClr w14:val="tx1">
                <w14:lumMod w14:val="95000"/>
                <w14:lumOff w14:val="5000"/>
              </w14:schemeClr>
            </w14:solidFill>
          </w14:textFill>
        </w:rPr>
      </w:pPr>
      <w:r>
        <w:rPr>
          <w:rFonts w:hint="eastAsia" w:eastAsia="方正黑体_GBK"/>
          <w:bCs/>
          <w:color w:val="0D0D0D" w:themeColor="text1" w:themeTint="F2"/>
          <w:kern w:val="44"/>
          <w:szCs w:val="44"/>
          <w14:textFill>
            <w14:solidFill>
              <w14:schemeClr w14:val="tx1">
                <w14:lumMod w14:val="95000"/>
                <w14:lumOff w14:val="5000"/>
              </w14:schemeClr>
            </w14:solidFill>
          </w14:textFill>
        </w:rPr>
        <w:t>表13</w:t>
      </w:r>
    </w:p>
    <w:tbl>
      <w:tblPr>
        <w:tblStyle w:val="7"/>
        <w:tblW w:w="9356" w:type="dxa"/>
        <w:tblInd w:w="0" w:type="dxa"/>
        <w:tblLayout w:type="autofit"/>
        <w:tblCellMar>
          <w:top w:w="0" w:type="dxa"/>
          <w:left w:w="108" w:type="dxa"/>
          <w:bottom w:w="0" w:type="dxa"/>
          <w:right w:w="108" w:type="dxa"/>
        </w:tblCellMar>
      </w:tblPr>
      <w:tblGrid>
        <w:gridCol w:w="4536"/>
        <w:gridCol w:w="1276"/>
        <w:gridCol w:w="2126"/>
        <w:gridCol w:w="1418"/>
      </w:tblGrid>
      <w:tr>
        <w:tblPrEx>
          <w:tblCellMar>
            <w:top w:w="0" w:type="dxa"/>
            <w:left w:w="108" w:type="dxa"/>
            <w:bottom w:w="0" w:type="dxa"/>
            <w:right w:w="108" w:type="dxa"/>
          </w:tblCellMar>
        </w:tblPrEx>
        <w:trPr>
          <w:trHeight w:val="504" w:hRule="atLeast"/>
          <w:tblHeader/>
        </w:trPr>
        <w:tc>
          <w:tcPr>
            <w:tcW w:w="9356" w:type="dxa"/>
            <w:gridSpan w:val="4"/>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方正小标宋_GBK" w:cs="宋体"/>
                <w:color w:val="0D0D0D" w:themeColor="text1" w:themeTint="F2"/>
                <w:kern w:val="0"/>
                <w:sz w:val="38"/>
                <w:szCs w:val="38"/>
                <w14:textFill>
                  <w14:solidFill>
                    <w14:schemeClr w14:val="tx1">
                      <w14:lumMod w14:val="95000"/>
                      <w14:lumOff w14:val="5000"/>
                    </w14:schemeClr>
                  </w14:solidFill>
                </w14:textFill>
              </w:rPr>
            </w:pPr>
            <w:r>
              <w:rPr>
                <w:rFonts w:hint="eastAsia" w:eastAsia="方正小标宋_GBK" w:cs="宋体"/>
                <w:color w:val="0D0D0D" w:themeColor="text1" w:themeTint="F2"/>
                <w:kern w:val="0"/>
                <w:sz w:val="38"/>
                <w:szCs w:val="38"/>
                <w14:textFill>
                  <w14:solidFill>
                    <w14:schemeClr w14:val="tx1">
                      <w14:lumMod w14:val="95000"/>
                      <w14:lumOff w14:val="5000"/>
                    </w14:schemeClr>
                  </w14:solidFill>
                </w14:textFill>
              </w:rPr>
              <w:t>2023年一般公共预算转移支付收支预算表</w:t>
            </w:r>
          </w:p>
        </w:tc>
      </w:tr>
      <w:tr>
        <w:tblPrEx>
          <w:tblCellMar>
            <w:top w:w="0" w:type="dxa"/>
            <w:left w:w="108" w:type="dxa"/>
            <w:bottom w:w="0" w:type="dxa"/>
            <w:right w:w="108" w:type="dxa"/>
          </w:tblCellMar>
        </w:tblPrEx>
        <w:trPr>
          <w:trHeight w:val="324" w:hRule="atLeast"/>
          <w:tblHeader/>
        </w:trPr>
        <w:tc>
          <w:tcPr>
            <w:tcW w:w="4536" w:type="dxa"/>
            <w:tcBorders>
              <w:top w:val="nil"/>
              <w:left w:val="nil"/>
              <w:bottom w:val="nil"/>
              <w:right w:val="nil"/>
            </w:tcBorders>
            <w:shd w:val="clear" w:color="auto" w:fill="auto"/>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276"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2126"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418" w:type="dxa"/>
            <w:tcBorders>
              <w:top w:val="nil"/>
              <w:left w:val="nil"/>
              <w:bottom w:val="nil"/>
              <w:right w:val="nil"/>
            </w:tcBorders>
            <w:shd w:val="clear" w:color="auto" w:fill="auto"/>
            <w:noWrap/>
            <w:vAlign w:val="bottom"/>
          </w:tcPr>
          <w:p>
            <w:pPr>
              <w:widowControl/>
              <w:adjustRightInd w:val="0"/>
              <w:snapToGrid w:val="0"/>
              <w:spacing w:line="240" w:lineRule="auto"/>
              <w:ind w:firstLine="0" w:firstLineChars="0"/>
              <w:jc w:val="right"/>
              <w:rPr>
                <w:rFonts w:eastAsia="方正楷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楷体_GBK" w:cs="宋体"/>
                <w:color w:val="0D0D0D" w:themeColor="text1" w:themeTint="F2"/>
                <w:kern w:val="0"/>
                <w:sz w:val="24"/>
                <w:szCs w:val="24"/>
                <w14:textFill>
                  <w14:solidFill>
                    <w14:schemeClr w14:val="tx1">
                      <w14:lumMod w14:val="95000"/>
                      <w14:lumOff w14:val="5000"/>
                    </w14:schemeClr>
                  </w14:solidFill>
                </w14:textFill>
              </w:rPr>
              <w:t>单位：万元</w:t>
            </w:r>
          </w:p>
        </w:tc>
      </w:tr>
      <w:tr>
        <w:tblPrEx>
          <w:tblCellMar>
            <w:top w:w="0" w:type="dxa"/>
            <w:left w:w="108" w:type="dxa"/>
            <w:bottom w:w="0" w:type="dxa"/>
            <w:right w:w="108" w:type="dxa"/>
          </w:tblCellMar>
        </w:tblPrEx>
        <w:trPr>
          <w:trHeight w:val="324" w:hRule="atLeast"/>
          <w:tblHeader/>
        </w:trPr>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收   入</w:t>
            </w:r>
          </w:p>
        </w:tc>
        <w:tc>
          <w:tcPr>
            <w:tcW w:w="1276" w:type="dxa"/>
            <w:tcBorders>
              <w:top w:val="single" w:color="auto" w:sz="4" w:space="0"/>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预算数</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支   出</w:t>
            </w:r>
          </w:p>
        </w:tc>
        <w:tc>
          <w:tcPr>
            <w:tcW w:w="1418" w:type="dxa"/>
            <w:tcBorders>
              <w:top w:val="single" w:color="auto" w:sz="4" w:space="0"/>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预算数</w:t>
            </w:r>
          </w:p>
        </w:tc>
      </w:tr>
      <w:tr>
        <w:tblPrEx>
          <w:tblCellMar>
            <w:top w:w="0" w:type="dxa"/>
            <w:left w:w="108" w:type="dxa"/>
            <w:bottom w:w="0" w:type="dxa"/>
            <w:right w:w="108" w:type="dxa"/>
          </w:tblCellMar>
        </w:tblPrEx>
        <w:trPr>
          <w:trHeight w:val="324"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上级补助收入</w:t>
            </w:r>
          </w:p>
        </w:tc>
        <w:tc>
          <w:tcPr>
            <w:tcW w:w="1276"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13</w:t>
            </w:r>
            <w:r>
              <w:rPr>
                <w:rFonts w:eastAsia="宋体" w:cs="宋体"/>
                <w:b/>
                <w:bCs/>
                <w:color w:val="0D0D0D" w:themeColor="text1" w:themeTint="F2"/>
                <w:kern w:val="0"/>
                <w:sz w:val="24"/>
                <w:szCs w:val="24"/>
                <w14:textFill>
                  <w14:solidFill>
                    <w14:schemeClr w14:val="tx1">
                      <w14:lumMod w14:val="95000"/>
                      <w14:lumOff w14:val="5000"/>
                    </w14:schemeClr>
                  </w14:solidFill>
                </w14:textFill>
              </w:rPr>
              <w:t>5</w:t>
            </w: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w:t>
            </w:r>
            <w:r>
              <w:rPr>
                <w:rFonts w:eastAsia="宋体" w:cs="宋体"/>
                <w:b/>
                <w:bCs/>
                <w:color w:val="0D0D0D" w:themeColor="text1" w:themeTint="F2"/>
                <w:kern w:val="0"/>
                <w:sz w:val="24"/>
                <w:szCs w:val="24"/>
                <w14:textFill>
                  <w14:solidFill>
                    <w14:schemeClr w14:val="tx1">
                      <w14:lumMod w14:val="95000"/>
                      <w14:lumOff w14:val="5000"/>
                    </w14:schemeClr>
                  </w14:solidFill>
                </w14:textFill>
              </w:rPr>
              <w:t>697</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转移性支出</w:t>
            </w:r>
          </w:p>
        </w:tc>
        <w:tc>
          <w:tcPr>
            <w:tcW w:w="1418"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一、一般性转移支付收入</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11</w:t>
            </w:r>
            <w:r>
              <w:rPr>
                <w:rFonts w:eastAsia="宋体" w:cs="宋体"/>
                <w:b/>
                <w:bCs/>
                <w:color w:val="0D0D0D" w:themeColor="text1" w:themeTint="F2"/>
                <w:kern w:val="0"/>
                <w:sz w:val="24"/>
                <w:szCs w:val="24"/>
                <w14:textFill>
                  <w14:solidFill>
                    <w14:schemeClr w14:val="tx1">
                      <w14:lumMod w14:val="95000"/>
                      <w14:lumOff w14:val="5000"/>
                    </w14:schemeClr>
                  </w14:solidFill>
                </w14:textFill>
              </w:rPr>
              <w:t>7</w:t>
            </w: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,2</w:t>
            </w:r>
            <w:r>
              <w:rPr>
                <w:rFonts w:eastAsia="宋体" w:cs="宋体"/>
                <w:b/>
                <w:bCs/>
                <w:color w:val="0D0D0D" w:themeColor="text1" w:themeTint="F2"/>
                <w:kern w:val="0"/>
                <w:sz w:val="24"/>
                <w:szCs w:val="24"/>
                <w14:textFill>
                  <w14:solidFill>
                    <w14:schemeClr w14:val="tx1">
                      <w14:lumMod w14:val="95000"/>
                      <w14:lumOff w14:val="5000"/>
                    </w14:schemeClr>
                  </w14:solidFill>
                </w14:textFill>
              </w:rPr>
              <w:t>15</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240" w:firstLineChars="10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所得税基数返还收入</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543</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240" w:firstLineChars="10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增值税税收返还收入</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2,466</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240" w:firstLineChars="10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消费税税收返还收入</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99</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240" w:firstLineChars="10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增值税“五五分享”税收返还收入</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10,173</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240" w:firstLineChars="10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体制补助收入</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136</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240" w:firstLineChars="10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均衡性转移支付收入</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2,072</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240" w:firstLineChars="10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结算补助收入</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52,923</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240" w:firstLineChars="10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固定数额补助收入</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1,331</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240" w:firstLineChars="10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共同事权转移支付收入</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40,194</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4536" w:type="dxa"/>
            <w:tcBorders>
              <w:top w:val="nil"/>
              <w:left w:val="single" w:color="auto" w:sz="4" w:space="0"/>
              <w:bottom w:val="single" w:color="auto" w:sz="4" w:space="0"/>
              <w:right w:val="single" w:color="auto" w:sz="4" w:space="0"/>
            </w:tcBorders>
            <w:shd w:val="clear" w:color="auto" w:fill="auto"/>
            <w:noWrap/>
            <w:vAlign w:val="bottom"/>
          </w:tcPr>
          <w:p>
            <w:pPr>
              <w:widowControl/>
              <w:adjustRightInd w:val="0"/>
              <w:snapToGrid w:val="0"/>
              <w:spacing w:line="240" w:lineRule="auto"/>
              <w:ind w:firstLine="48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公共安全共同财政事权转移支付收入</w:t>
            </w:r>
          </w:p>
        </w:tc>
        <w:tc>
          <w:tcPr>
            <w:tcW w:w="127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3,089</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4536" w:type="dxa"/>
            <w:tcBorders>
              <w:top w:val="nil"/>
              <w:left w:val="single" w:color="auto" w:sz="4" w:space="0"/>
              <w:bottom w:val="single" w:color="auto" w:sz="4" w:space="0"/>
              <w:right w:val="single" w:color="auto" w:sz="4" w:space="0"/>
            </w:tcBorders>
            <w:shd w:val="clear" w:color="auto" w:fill="auto"/>
            <w:noWrap/>
            <w:vAlign w:val="bottom"/>
          </w:tcPr>
          <w:p>
            <w:pPr>
              <w:widowControl/>
              <w:adjustRightInd w:val="0"/>
              <w:snapToGrid w:val="0"/>
              <w:spacing w:line="240" w:lineRule="auto"/>
              <w:ind w:firstLine="48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教育共同财政事权转移支付收入</w:t>
            </w:r>
          </w:p>
        </w:tc>
        <w:tc>
          <w:tcPr>
            <w:tcW w:w="127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12,568</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4536" w:type="dxa"/>
            <w:tcBorders>
              <w:top w:val="nil"/>
              <w:left w:val="single" w:color="auto" w:sz="4" w:space="0"/>
              <w:bottom w:val="single" w:color="auto" w:sz="4" w:space="0"/>
              <w:right w:val="single" w:color="auto" w:sz="4" w:space="0"/>
            </w:tcBorders>
            <w:shd w:val="clear" w:color="auto" w:fill="auto"/>
            <w:noWrap/>
            <w:vAlign w:val="bottom"/>
          </w:tcPr>
          <w:p>
            <w:pPr>
              <w:widowControl/>
              <w:adjustRightInd w:val="0"/>
              <w:snapToGrid w:val="0"/>
              <w:spacing w:line="240" w:lineRule="auto"/>
              <w:ind w:firstLine="48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科学技术共同财政事权转移支付收入</w:t>
            </w:r>
          </w:p>
        </w:tc>
        <w:tc>
          <w:tcPr>
            <w:tcW w:w="127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420</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4536" w:type="dxa"/>
            <w:tcBorders>
              <w:top w:val="nil"/>
              <w:left w:val="single" w:color="auto" w:sz="4" w:space="0"/>
              <w:bottom w:val="single" w:color="auto" w:sz="4" w:space="0"/>
              <w:right w:val="single" w:color="auto" w:sz="4" w:space="0"/>
            </w:tcBorders>
            <w:shd w:val="clear" w:color="auto" w:fill="auto"/>
            <w:noWrap/>
            <w:vAlign w:val="bottom"/>
          </w:tcPr>
          <w:p>
            <w:pPr>
              <w:widowControl/>
              <w:adjustRightInd w:val="0"/>
              <w:snapToGrid w:val="0"/>
              <w:spacing w:line="240" w:lineRule="auto"/>
              <w:ind w:firstLine="48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文化旅游体育与传媒共同财政事权转移支付收入</w:t>
            </w:r>
          </w:p>
        </w:tc>
        <w:tc>
          <w:tcPr>
            <w:tcW w:w="127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80</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4536" w:type="dxa"/>
            <w:tcBorders>
              <w:top w:val="nil"/>
              <w:left w:val="single" w:color="auto" w:sz="4" w:space="0"/>
              <w:bottom w:val="single" w:color="auto" w:sz="4" w:space="0"/>
              <w:right w:val="single" w:color="auto" w:sz="4" w:space="0"/>
            </w:tcBorders>
            <w:shd w:val="clear" w:color="auto" w:fill="auto"/>
            <w:noWrap/>
            <w:vAlign w:val="bottom"/>
          </w:tcPr>
          <w:p>
            <w:pPr>
              <w:widowControl/>
              <w:adjustRightInd w:val="0"/>
              <w:snapToGrid w:val="0"/>
              <w:spacing w:line="240" w:lineRule="auto"/>
              <w:ind w:firstLine="48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社会保障和就业共同财政事权转移支付收入</w:t>
            </w:r>
          </w:p>
        </w:tc>
        <w:tc>
          <w:tcPr>
            <w:tcW w:w="127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8,579</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4536" w:type="dxa"/>
            <w:tcBorders>
              <w:top w:val="nil"/>
              <w:left w:val="single" w:color="auto" w:sz="4" w:space="0"/>
              <w:bottom w:val="single" w:color="auto" w:sz="4" w:space="0"/>
              <w:right w:val="single" w:color="auto" w:sz="4" w:space="0"/>
            </w:tcBorders>
            <w:shd w:val="clear" w:color="auto" w:fill="auto"/>
            <w:noWrap/>
            <w:vAlign w:val="bottom"/>
          </w:tcPr>
          <w:p>
            <w:pPr>
              <w:widowControl/>
              <w:adjustRightInd w:val="0"/>
              <w:snapToGrid w:val="0"/>
              <w:spacing w:line="240" w:lineRule="auto"/>
              <w:ind w:firstLine="48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医疗卫生共同财政事权转移支付收入</w:t>
            </w:r>
          </w:p>
        </w:tc>
        <w:tc>
          <w:tcPr>
            <w:tcW w:w="127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6,371</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4536" w:type="dxa"/>
            <w:tcBorders>
              <w:top w:val="nil"/>
              <w:left w:val="single" w:color="auto" w:sz="4" w:space="0"/>
              <w:bottom w:val="single" w:color="auto" w:sz="4" w:space="0"/>
              <w:right w:val="single" w:color="auto" w:sz="4" w:space="0"/>
            </w:tcBorders>
            <w:shd w:val="clear" w:color="auto" w:fill="auto"/>
            <w:noWrap/>
            <w:vAlign w:val="bottom"/>
          </w:tcPr>
          <w:p>
            <w:pPr>
              <w:widowControl/>
              <w:adjustRightInd w:val="0"/>
              <w:snapToGrid w:val="0"/>
              <w:spacing w:line="240" w:lineRule="auto"/>
              <w:ind w:firstLine="48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节能环保共同财政事权转移支付收入</w:t>
            </w:r>
          </w:p>
        </w:tc>
        <w:tc>
          <w:tcPr>
            <w:tcW w:w="127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4536" w:type="dxa"/>
            <w:tcBorders>
              <w:top w:val="nil"/>
              <w:left w:val="single" w:color="auto" w:sz="4" w:space="0"/>
              <w:bottom w:val="single" w:color="auto" w:sz="4" w:space="0"/>
              <w:right w:val="single" w:color="auto" w:sz="4" w:space="0"/>
            </w:tcBorders>
            <w:shd w:val="clear" w:color="auto" w:fill="auto"/>
            <w:noWrap/>
            <w:vAlign w:val="bottom"/>
          </w:tcPr>
          <w:p>
            <w:pPr>
              <w:widowControl/>
              <w:adjustRightInd w:val="0"/>
              <w:snapToGrid w:val="0"/>
              <w:spacing w:line="240" w:lineRule="auto"/>
              <w:ind w:firstLine="48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农林水共同财政事权转移支付收入</w:t>
            </w:r>
          </w:p>
        </w:tc>
        <w:tc>
          <w:tcPr>
            <w:tcW w:w="127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5,011</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4536" w:type="dxa"/>
            <w:tcBorders>
              <w:top w:val="nil"/>
              <w:left w:val="single" w:color="auto" w:sz="4" w:space="0"/>
              <w:bottom w:val="single" w:color="auto" w:sz="4" w:space="0"/>
              <w:right w:val="single" w:color="auto" w:sz="4" w:space="0"/>
            </w:tcBorders>
            <w:shd w:val="clear" w:color="auto" w:fill="auto"/>
            <w:noWrap/>
            <w:vAlign w:val="bottom"/>
          </w:tcPr>
          <w:p>
            <w:pPr>
              <w:widowControl/>
              <w:adjustRightInd w:val="0"/>
              <w:snapToGrid w:val="0"/>
              <w:spacing w:line="240" w:lineRule="auto"/>
              <w:ind w:firstLine="48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交通运输共同财政事权转移支付收入</w:t>
            </w:r>
          </w:p>
        </w:tc>
        <w:tc>
          <w:tcPr>
            <w:tcW w:w="127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1,806</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4536" w:type="dxa"/>
            <w:tcBorders>
              <w:top w:val="nil"/>
              <w:left w:val="single" w:color="auto" w:sz="4" w:space="0"/>
              <w:bottom w:val="single" w:color="auto" w:sz="4" w:space="0"/>
              <w:right w:val="single" w:color="auto" w:sz="4" w:space="0"/>
            </w:tcBorders>
            <w:shd w:val="clear" w:color="auto" w:fill="auto"/>
            <w:noWrap/>
            <w:vAlign w:val="bottom"/>
          </w:tcPr>
          <w:p>
            <w:pPr>
              <w:widowControl/>
              <w:adjustRightInd w:val="0"/>
              <w:snapToGrid w:val="0"/>
              <w:spacing w:line="240" w:lineRule="auto"/>
              <w:ind w:firstLine="48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住房保障共同财政事权转移支付收入</w:t>
            </w:r>
          </w:p>
        </w:tc>
        <w:tc>
          <w:tcPr>
            <w:tcW w:w="127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2,262</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4536" w:type="dxa"/>
            <w:tcBorders>
              <w:top w:val="nil"/>
              <w:left w:val="single" w:color="auto" w:sz="4" w:space="0"/>
              <w:bottom w:val="single" w:color="auto" w:sz="4" w:space="0"/>
              <w:right w:val="single" w:color="auto" w:sz="4" w:space="0"/>
            </w:tcBorders>
            <w:shd w:val="clear" w:color="auto" w:fill="auto"/>
            <w:noWrap/>
            <w:vAlign w:val="bottom"/>
          </w:tcPr>
          <w:p>
            <w:pPr>
              <w:widowControl/>
              <w:adjustRightInd w:val="0"/>
              <w:snapToGrid w:val="0"/>
              <w:spacing w:line="240" w:lineRule="auto"/>
              <w:ind w:firstLine="240" w:firstLineChars="10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增值税留抵退税转移支付收入</w:t>
            </w:r>
          </w:p>
        </w:tc>
        <w:tc>
          <w:tcPr>
            <w:tcW w:w="127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1,100</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4536" w:type="dxa"/>
            <w:tcBorders>
              <w:top w:val="nil"/>
              <w:left w:val="single" w:color="auto" w:sz="4" w:space="0"/>
              <w:bottom w:val="single" w:color="auto" w:sz="4" w:space="0"/>
              <w:right w:val="single" w:color="auto" w:sz="4" w:space="0"/>
            </w:tcBorders>
            <w:shd w:val="clear" w:color="auto" w:fill="auto"/>
            <w:noWrap/>
            <w:vAlign w:val="bottom"/>
          </w:tcPr>
          <w:p>
            <w:pPr>
              <w:widowControl/>
              <w:adjustRightInd w:val="0"/>
              <w:snapToGrid w:val="0"/>
              <w:spacing w:line="240" w:lineRule="auto"/>
              <w:ind w:firstLine="240" w:firstLineChars="10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其他退税减税降费转移支付收入</w:t>
            </w:r>
          </w:p>
        </w:tc>
        <w:tc>
          <w:tcPr>
            <w:tcW w:w="127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3,100</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4536" w:type="dxa"/>
            <w:tcBorders>
              <w:top w:val="nil"/>
              <w:left w:val="single" w:color="auto" w:sz="4" w:space="0"/>
              <w:bottom w:val="single" w:color="auto" w:sz="4" w:space="0"/>
              <w:right w:val="single" w:color="auto" w:sz="4" w:space="0"/>
            </w:tcBorders>
            <w:shd w:val="clear" w:color="auto" w:fill="auto"/>
            <w:noWrap/>
            <w:vAlign w:val="bottom"/>
          </w:tcPr>
          <w:p>
            <w:pPr>
              <w:widowControl/>
              <w:adjustRightInd w:val="0"/>
              <w:snapToGrid w:val="0"/>
              <w:spacing w:line="240" w:lineRule="auto"/>
              <w:ind w:firstLine="240" w:firstLineChars="10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其他一般性转移支付收入</w:t>
            </w:r>
          </w:p>
        </w:tc>
        <w:tc>
          <w:tcPr>
            <w:tcW w:w="127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eastAsia="宋体" w:cs="宋体"/>
                <w:color w:val="0D0D0D" w:themeColor="text1" w:themeTint="F2"/>
                <w:kern w:val="0"/>
                <w:sz w:val="24"/>
                <w:szCs w:val="24"/>
                <w14:textFill>
                  <w14:solidFill>
                    <w14:schemeClr w14:val="tx1">
                      <w14:lumMod w14:val="95000"/>
                      <w14:lumOff w14:val="5000"/>
                    </w14:schemeClr>
                  </w14:solidFill>
                </w14:textFill>
              </w:rPr>
              <w:t>3</w:t>
            </w:r>
            <w:r>
              <w:rPr>
                <w:rFonts w:hint="eastAsia" w:eastAsia="宋体" w:cs="宋体"/>
                <w:color w:val="0D0D0D" w:themeColor="text1" w:themeTint="F2"/>
                <w:kern w:val="0"/>
                <w:sz w:val="24"/>
                <w:szCs w:val="24"/>
                <w14:textFill>
                  <w14:solidFill>
                    <w14:schemeClr w14:val="tx1">
                      <w14:lumMod w14:val="95000"/>
                      <w14:lumOff w14:val="5000"/>
                    </w14:schemeClr>
                  </w14:solidFill>
                </w14:textFill>
              </w:rPr>
              <w:t>,</w:t>
            </w:r>
            <w:r>
              <w:rPr>
                <w:rFonts w:eastAsia="宋体" w:cs="宋体"/>
                <w:color w:val="0D0D0D" w:themeColor="text1" w:themeTint="F2"/>
                <w:kern w:val="0"/>
                <w:sz w:val="24"/>
                <w:szCs w:val="24"/>
                <w14:textFill>
                  <w14:solidFill>
                    <w14:schemeClr w14:val="tx1">
                      <w14:lumMod w14:val="95000"/>
                      <w14:lumOff w14:val="5000"/>
                    </w14:schemeClr>
                  </w14:solidFill>
                </w14:textFill>
              </w:rPr>
              <w:t>078</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二、专项转移支付收入</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18,482</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240" w:firstLineChars="10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国防</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240" w:firstLineChars="10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卫生健康</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200</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240" w:firstLineChars="10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节能环保</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3,051</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240" w:firstLineChars="10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农林水</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1,108</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240" w:firstLineChars="10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交通运输</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34</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240" w:firstLineChars="10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资源勘探工业信息等</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11,000</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240" w:firstLineChars="10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商业服务业等</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3,049</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240" w:firstLineChars="10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灾害防治及应急管理</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30</w:t>
            </w:r>
          </w:p>
        </w:tc>
        <w:tc>
          <w:tcPr>
            <w:tcW w:w="212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9356" w:type="dxa"/>
            <w:gridSpan w:val="4"/>
            <w:tcBorders>
              <w:top w:val="nil"/>
              <w:left w:val="nil"/>
              <w:bottom w:val="nil"/>
              <w:right w:val="nil"/>
            </w:tcBorders>
            <w:shd w:val="clear" w:color="auto" w:fill="auto"/>
          </w:tcPr>
          <w:p>
            <w:pPr>
              <w:widowControl/>
              <w:adjustRightInd w:val="0"/>
              <w:snapToGrid w:val="0"/>
              <w:spacing w:line="240" w:lineRule="auto"/>
              <w:ind w:firstLine="0" w:firstLineChars="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注：本表详细反映2023年一般公共预算转移支付收入和转移支付支出情况。</w:t>
            </w:r>
          </w:p>
        </w:tc>
      </w:tr>
    </w:tbl>
    <w:p>
      <w:pPr>
        <w:widowControl/>
        <w:spacing w:line="240" w:lineRule="auto"/>
        <w:ind w:firstLine="0" w:firstLineChars="0"/>
        <w:rPr>
          <w:rFonts w:eastAsia="方正楷体_GBK"/>
          <w:bCs/>
          <w:color w:val="0D0D0D" w:themeColor="text1" w:themeTint="F2"/>
          <w:kern w:val="44"/>
          <w:szCs w:val="44"/>
          <w14:textFill>
            <w14:solidFill>
              <w14:schemeClr w14:val="tx1">
                <w14:lumMod w14:val="95000"/>
                <w14:lumOff w14:val="5000"/>
              </w14:schemeClr>
            </w14:solidFill>
          </w14:textFill>
        </w:rPr>
      </w:pPr>
    </w:p>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pPr>
      <w:r>
        <w:rPr>
          <w:rFonts w:eastAsia="方正楷体_GBK"/>
          <w:bCs/>
          <w:color w:val="0D0D0D" w:themeColor="text1" w:themeTint="F2"/>
          <w:kern w:val="44"/>
          <w:szCs w:val="44"/>
          <w14:textFill>
            <w14:solidFill>
              <w14:schemeClr w14:val="tx1">
                <w14:lumMod w14:val="95000"/>
                <w14:lumOff w14:val="5000"/>
              </w14:schemeClr>
            </w14:solidFill>
          </w14:textFill>
        </w:rPr>
        <w:br w:type="page"/>
      </w:r>
    </w:p>
    <w:p>
      <w:pPr>
        <w:widowControl/>
        <w:spacing w:line="240" w:lineRule="auto"/>
        <w:ind w:firstLine="0" w:firstLineChars="0"/>
        <w:rPr>
          <w:rFonts w:eastAsia="方正黑体_GBK"/>
          <w:bCs/>
          <w:color w:val="0D0D0D" w:themeColor="text1" w:themeTint="F2"/>
          <w:kern w:val="44"/>
          <w:szCs w:val="44"/>
          <w14:textFill>
            <w14:solidFill>
              <w14:schemeClr w14:val="tx1">
                <w14:lumMod w14:val="95000"/>
                <w14:lumOff w14:val="5000"/>
              </w14:schemeClr>
            </w14:solidFill>
          </w14:textFill>
        </w:rPr>
      </w:pPr>
      <w:r>
        <w:rPr>
          <w:rFonts w:hint="eastAsia" w:eastAsia="方正黑体_GBK"/>
          <w:bCs/>
          <w:color w:val="0D0D0D" w:themeColor="text1" w:themeTint="F2"/>
          <w:kern w:val="44"/>
          <w:szCs w:val="44"/>
          <w14:textFill>
            <w14:solidFill>
              <w14:schemeClr w14:val="tx1">
                <w14:lumMod w14:val="95000"/>
                <w14:lumOff w14:val="5000"/>
              </w14:schemeClr>
            </w14:solidFill>
          </w14:textFill>
        </w:rPr>
        <w:t>表14</w:t>
      </w:r>
    </w:p>
    <w:tbl>
      <w:tblPr>
        <w:tblStyle w:val="7"/>
        <w:tblW w:w="9923" w:type="dxa"/>
        <w:tblInd w:w="0" w:type="dxa"/>
        <w:tblLayout w:type="autofit"/>
        <w:tblCellMar>
          <w:top w:w="0" w:type="dxa"/>
          <w:left w:w="108" w:type="dxa"/>
          <w:bottom w:w="0" w:type="dxa"/>
          <w:right w:w="108" w:type="dxa"/>
        </w:tblCellMar>
      </w:tblPr>
      <w:tblGrid>
        <w:gridCol w:w="2977"/>
        <w:gridCol w:w="1305"/>
        <w:gridCol w:w="1814"/>
        <w:gridCol w:w="1305"/>
        <w:gridCol w:w="1246"/>
        <w:gridCol w:w="1276"/>
      </w:tblGrid>
      <w:tr>
        <w:tblPrEx>
          <w:tblCellMar>
            <w:top w:w="0" w:type="dxa"/>
            <w:left w:w="108" w:type="dxa"/>
            <w:bottom w:w="0" w:type="dxa"/>
            <w:right w:w="108" w:type="dxa"/>
          </w:tblCellMar>
        </w:tblPrEx>
        <w:trPr>
          <w:trHeight w:val="660" w:hRule="atLeast"/>
        </w:trPr>
        <w:tc>
          <w:tcPr>
            <w:tcW w:w="9923" w:type="dxa"/>
            <w:gridSpan w:val="6"/>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方正小标宋_GBK" w:cs="宋体"/>
                <w:color w:val="0D0D0D" w:themeColor="text1" w:themeTint="F2"/>
                <w:kern w:val="0"/>
                <w:sz w:val="36"/>
                <w:szCs w:val="36"/>
                <w14:textFill>
                  <w14:solidFill>
                    <w14:schemeClr w14:val="tx1">
                      <w14:lumMod w14:val="95000"/>
                      <w14:lumOff w14:val="5000"/>
                    </w14:schemeClr>
                  </w14:solidFill>
                </w14:textFill>
              </w:rPr>
            </w:pPr>
            <w:r>
              <w:rPr>
                <w:rFonts w:hint="eastAsia" w:eastAsia="方正小标宋_GBK" w:cs="宋体"/>
                <w:color w:val="0D0D0D" w:themeColor="text1" w:themeTint="F2"/>
                <w:kern w:val="0"/>
                <w:sz w:val="36"/>
                <w:szCs w:val="36"/>
                <w14:textFill>
                  <w14:solidFill>
                    <w14:schemeClr w14:val="tx1">
                      <w14:lumMod w14:val="95000"/>
                      <w14:lumOff w14:val="5000"/>
                    </w14:schemeClr>
                  </w14:solidFill>
                </w14:textFill>
              </w:rPr>
              <w:t>2023年政府性基金预算收支预算表</w:t>
            </w:r>
          </w:p>
        </w:tc>
      </w:tr>
      <w:tr>
        <w:tblPrEx>
          <w:tblCellMar>
            <w:top w:w="0" w:type="dxa"/>
            <w:left w:w="108" w:type="dxa"/>
            <w:bottom w:w="0" w:type="dxa"/>
            <w:right w:w="108" w:type="dxa"/>
          </w:tblCellMar>
        </w:tblPrEx>
        <w:trPr>
          <w:trHeight w:val="405" w:hRule="atLeast"/>
        </w:trPr>
        <w:tc>
          <w:tcPr>
            <w:tcW w:w="6096" w:type="dxa"/>
            <w:gridSpan w:val="3"/>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center"/>
              <w:rPr>
                <w:rFonts w:eastAsia="等线" w:cs="Times New Roman"/>
                <w:color w:val="0D0D0D" w:themeColor="text1" w:themeTint="F2"/>
                <w:kern w:val="0"/>
                <w:sz w:val="22"/>
                <w14:textFill>
                  <w14:solidFill>
                    <w14:schemeClr w14:val="tx1">
                      <w14:lumMod w14:val="95000"/>
                      <w14:lumOff w14:val="5000"/>
                    </w14:schemeClr>
                  </w14:solidFill>
                </w14:textFill>
              </w:rPr>
            </w:pPr>
          </w:p>
        </w:tc>
        <w:tc>
          <w:tcPr>
            <w:tcW w:w="1305"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等线" w:cs="Times New Roman"/>
                <w:color w:val="0D0D0D" w:themeColor="text1" w:themeTint="F2"/>
                <w:kern w:val="0"/>
                <w:sz w:val="22"/>
                <w14:textFill>
                  <w14:solidFill>
                    <w14:schemeClr w14:val="tx1">
                      <w14:lumMod w14:val="95000"/>
                      <w14:lumOff w14:val="5000"/>
                    </w14:schemeClr>
                  </w14:solidFill>
                </w14:textFill>
              </w:rPr>
            </w:pPr>
          </w:p>
        </w:tc>
        <w:tc>
          <w:tcPr>
            <w:tcW w:w="2522" w:type="dxa"/>
            <w:gridSpan w:val="2"/>
            <w:tcBorders>
              <w:top w:val="nil"/>
              <w:left w:val="nil"/>
              <w:bottom w:val="single" w:color="auto" w:sz="4" w:space="0"/>
              <w:right w:val="nil"/>
            </w:tcBorders>
            <w:shd w:val="clear" w:color="auto" w:fill="auto"/>
            <w:noWrap/>
            <w:vAlign w:val="bottom"/>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cs="Times New Roman"/>
                <w:color w:val="0D0D0D" w:themeColor="text1" w:themeTint="F2"/>
                <w:kern w:val="0"/>
                <w:sz w:val="22"/>
                <w14:textFill>
                  <w14:solidFill>
                    <w14:schemeClr w14:val="tx1">
                      <w14:lumMod w14:val="95000"/>
                      <w14:lumOff w14:val="5000"/>
                    </w14:schemeClr>
                  </w14:solidFill>
                </w14:textFill>
              </w:rPr>
              <w:t>单位：万元</w:t>
            </w:r>
          </w:p>
        </w:tc>
      </w:tr>
      <w:tr>
        <w:tblPrEx>
          <w:tblCellMar>
            <w:top w:w="0" w:type="dxa"/>
            <w:left w:w="108" w:type="dxa"/>
            <w:bottom w:w="0" w:type="dxa"/>
            <w:right w:w="108" w:type="dxa"/>
          </w:tblCellMar>
        </w:tblPrEx>
        <w:trPr>
          <w:trHeight w:val="465" w:hRule="atLeast"/>
        </w:trPr>
        <w:tc>
          <w:tcPr>
            <w:tcW w:w="297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收    入</w:t>
            </w:r>
          </w:p>
        </w:tc>
        <w:tc>
          <w:tcPr>
            <w:tcW w:w="1305"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2023年预算数</w:t>
            </w:r>
          </w:p>
        </w:tc>
        <w:tc>
          <w:tcPr>
            <w:tcW w:w="181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支        出</w:t>
            </w:r>
          </w:p>
        </w:tc>
        <w:tc>
          <w:tcPr>
            <w:tcW w:w="3827"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2023年预算数</w:t>
            </w:r>
          </w:p>
        </w:tc>
      </w:tr>
      <w:tr>
        <w:tblPrEx>
          <w:tblCellMar>
            <w:top w:w="0" w:type="dxa"/>
            <w:left w:w="108" w:type="dxa"/>
            <w:bottom w:w="0" w:type="dxa"/>
            <w:right w:w="108" w:type="dxa"/>
          </w:tblCellMar>
        </w:tblPrEx>
        <w:trPr>
          <w:trHeight w:val="465" w:hRule="atLeast"/>
        </w:trPr>
        <w:tc>
          <w:tcPr>
            <w:tcW w:w="297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p>
        </w:tc>
        <w:tc>
          <w:tcPr>
            <w:tcW w:w="130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p>
        </w:tc>
        <w:tc>
          <w:tcPr>
            <w:tcW w:w="181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p>
        </w:tc>
        <w:tc>
          <w:tcPr>
            <w:tcW w:w="130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小计</w:t>
            </w:r>
          </w:p>
        </w:tc>
        <w:tc>
          <w:tcPr>
            <w:tcW w:w="124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当年预算</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上年结转</w:t>
            </w:r>
          </w:p>
        </w:tc>
      </w:tr>
      <w:tr>
        <w:tblPrEx>
          <w:tblCellMar>
            <w:top w:w="0" w:type="dxa"/>
            <w:left w:w="108" w:type="dxa"/>
            <w:bottom w:w="0" w:type="dxa"/>
            <w:right w:w="108" w:type="dxa"/>
          </w:tblCellMar>
        </w:tblPrEx>
        <w:trPr>
          <w:trHeight w:val="465"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b/>
                <w:bCs/>
                <w:color w:val="0D0D0D" w:themeColor="text1" w:themeTint="F2"/>
                <w:kern w:val="0"/>
                <w:sz w:val="24"/>
                <w:szCs w:val="24"/>
                <w14:textFill>
                  <w14:solidFill>
                    <w14:schemeClr w14:val="tx1">
                      <w14:lumMod w14:val="95000"/>
                      <w14:lumOff w14:val="5000"/>
                    </w14:schemeClr>
                  </w14:solidFill>
                </w14:textFill>
              </w:rPr>
              <w:t>总计</w:t>
            </w:r>
          </w:p>
        </w:tc>
        <w:tc>
          <w:tcPr>
            <w:tcW w:w="130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eastAsia="宋体" w:cs="Times New Roman"/>
                <w:b/>
                <w:bCs/>
                <w:color w:val="0D0D0D" w:themeColor="text1" w:themeTint="F2"/>
                <w:kern w:val="0"/>
                <w:sz w:val="24"/>
                <w:szCs w:val="24"/>
                <w14:textFill>
                  <w14:solidFill>
                    <w14:schemeClr w14:val="tx1">
                      <w14:lumMod w14:val="95000"/>
                      <w14:lumOff w14:val="5000"/>
                    </w14:schemeClr>
                  </w14:solidFill>
                </w14:textFill>
              </w:rPr>
              <w:t xml:space="preserve">1,010,270 </w:t>
            </w:r>
          </w:p>
        </w:tc>
        <w:tc>
          <w:tcPr>
            <w:tcW w:w="181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b/>
                <w:bCs/>
                <w:color w:val="0D0D0D" w:themeColor="text1" w:themeTint="F2"/>
                <w:kern w:val="0"/>
                <w:sz w:val="24"/>
                <w:szCs w:val="24"/>
                <w14:textFill>
                  <w14:solidFill>
                    <w14:schemeClr w14:val="tx1">
                      <w14:lumMod w14:val="95000"/>
                      <w14:lumOff w14:val="5000"/>
                    </w14:schemeClr>
                  </w14:solidFill>
                </w14:textFill>
              </w:rPr>
              <w:t>总计</w:t>
            </w:r>
          </w:p>
        </w:tc>
        <w:tc>
          <w:tcPr>
            <w:tcW w:w="130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eastAsia="宋体" w:cs="Times New Roman"/>
                <w:b/>
                <w:bCs/>
                <w:color w:val="0D0D0D" w:themeColor="text1" w:themeTint="F2"/>
                <w:kern w:val="0"/>
                <w:sz w:val="24"/>
                <w:szCs w:val="24"/>
                <w14:textFill>
                  <w14:solidFill>
                    <w14:schemeClr w14:val="tx1">
                      <w14:lumMod w14:val="95000"/>
                      <w14:lumOff w14:val="5000"/>
                    </w14:schemeClr>
                  </w14:solidFill>
                </w14:textFill>
              </w:rPr>
              <w:t>1,010,270</w:t>
            </w:r>
          </w:p>
        </w:tc>
        <w:tc>
          <w:tcPr>
            <w:tcW w:w="124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eastAsia="宋体" w:cs="Times New Roman"/>
                <w:b/>
                <w:bCs/>
                <w:color w:val="0D0D0D" w:themeColor="text1" w:themeTint="F2"/>
                <w:kern w:val="0"/>
                <w:sz w:val="24"/>
                <w:szCs w:val="24"/>
                <w14:textFill>
                  <w14:solidFill>
                    <w14:schemeClr w14:val="tx1">
                      <w14:lumMod w14:val="95000"/>
                      <w14:lumOff w14:val="5000"/>
                    </w14:schemeClr>
                  </w14:solidFill>
                </w14:textFill>
              </w:rPr>
              <w:t>850,596</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eastAsia="宋体" w:cs="Times New Roman"/>
                <w:b/>
                <w:bCs/>
                <w:color w:val="0D0D0D" w:themeColor="text1" w:themeTint="F2"/>
                <w:kern w:val="0"/>
                <w:sz w:val="24"/>
                <w:szCs w:val="24"/>
                <w14:textFill>
                  <w14:solidFill>
                    <w14:schemeClr w14:val="tx1">
                      <w14:lumMod w14:val="95000"/>
                      <w14:lumOff w14:val="5000"/>
                    </w14:schemeClr>
                  </w14:solidFill>
                </w14:textFill>
              </w:rPr>
              <w:t>159,674</w:t>
            </w:r>
          </w:p>
        </w:tc>
      </w:tr>
      <w:tr>
        <w:tblPrEx>
          <w:tblCellMar>
            <w:top w:w="0" w:type="dxa"/>
            <w:left w:w="108" w:type="dxa"/>
            <w:bottom w:w="0" w:type="dxa"/>
            <w:right w:w="108" w:type="dxa"/>
          </w:tblCellMar>
        </w:tblPrEx>
        <w:trPr>
          <w:trHeight w:val="465"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b/>
                <w:bCs/>
                <w:color w:val="0D0D0D" w:themeColor="text1" w:themeTint="F2"/>
                <w:kern w:val="0"/>
                <w:sz w:val="24"/>
                <w:szCs w:val="24"/>
                <w14:textFill>
                  <w14:solidFill>
                    <w14:schemeClr w14:val="tx1">
                      <w14:lumMod w14:val="95000"/>
                      <w14:lumOff w14:val="5000"/>
                    </w14:schemeClr>
                  </w14:solidFill>
                </w14:textFill>
              </w:rPr>
              <w:t>本级收入合计</w:t>
            </w:r>
          </w:p>
        </w:tc>
        <w:tc>
          <w:tcPr>
            <w:tcW w:w="130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w:t>
            </w:r>
          </w:p>
        </w:tc>
        <w:tc>
          <w:tcPr>
            <w:tcW w:w="181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b/>
                <w:bCs/>
                <w:color w:val="0D0D0D" w:themeColor="text1" w:themeTint="F2"/>
                <w:kern w:val="0"/>
                <w:sz w:val="24"/>
                <w:szCs w:val="24"/>
                <w14:textFill>
                  <w14:solidFill>
                    <w14:schemeClr w14:val="tx1">
                      <w14:lumMod w14:val="95000"/>
                      <w14:lumOff w14:val="5000"/>
                    </w14:schemeClr>
                  </w14:solidFill>
                </w14:textFill>
              </w:rPr>
              <w:t>本级支出合计</w:t>
            </w:r>
          </w:p>
        </w:tc>
        <w:tc>
          <w:tcPr>
            <w:tcW w:w="130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eastAsia="宋体" w:cs="Times New Roman"/>
                <w:b/>
                <w:bCs/>
                <w:color w:val="0D0D0D" w:themeColor="text1" w:themeTint="F2"/>
                <w:kern w:val="0"/>
                <w:sz w:val="24"/>
                <w:szCs w:val="24"/>
                <w14:textFill>
                  <w14:solidFill>
                    <w14:schemeClr w14:val="tx1">
                      <w14:lumMod w14:val="95000"/>
                      <w14:lumOff w14:val="5000"/>
                    </w14:schemeClr>
                  </w14:solidFill>
                </w14:textFill>
              </w:rPr>
              <w:t>673,592</w:t>
            </w:r>
          </w:p>
        </w:tc>
        <w:tc>
          <w:tcPr>
            <w:tcW w:w="124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eastAsia="宋体" w:cs="Times New Roman"/>
                <w:b/>
                <w:bCs/>
                <w:color w:val="0D0D0D" w:themeColor="text1" w:themeTint="F2"/>
                <w:kern w:val="0"/>
                <w:sz w:val="24"/>
                <w:szCs w:val="24"/>
                <w14:textFill>
                  <w14:solidFill>
                    <w14:schemeClr w14:val="tx1">
                      <w14:lumMod w14:val="95000"/>
                      <w14:lumOff w14:val="5000"/>
                    </w14:schemeClr>
                  </w14:solidFill>
                </w14:textFill>
              </w:rPr>
              <w:t>513,918</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eastAsia="宋体" w:cs="Times New Roman"/>
                <w:b/>
                <w:bCs/>
                <w:color w:val="0D0D0D" w:themeColor="text1" w:themeTint="F2"/>
                <w:kern w:val="0"/>
                <w:sz w:val="24"/>
                <w:szCs w:val="24"/>
                <w14:textFill>
                  <w14:solidFill>
                    <w14:schemeClr w14:val="tx1">
                      <w14:lumMod w14:val="95000"/>
                      <w14:lumOff w14:val="5000"/>
                    </w14:schemeClr>
                  </w14:solidFill>
                </w14:textFill>
              </w:rPr>
              <w:t>159,674</w:t>
            </w:r>
          </w:p>
        </w:tc>
      </w:tr>
      <w:tr>
        <w:tblPrEx>
          <w:tblCellMar>
            <w:top w:w="0" w:type="dxa"/>
            <w:left w:w="108" w:type="dxa"/>
            <w:bottom w:w="0" w:type="dxa"/>
            <w:right w:w="108" w:type="dxa"/>
          </w:tblCellMar>
        </w:tblPrEx>
        <w:trPr>
          <w:trHeight w:val="465"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一、其他政府性基金收入</w:t>
            </w:r>
          </w:p>
        </w:tc>
        <w:tc>
          <w:tcPr>
            <w:tcW w:w="130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w:t>
            </w:r>
          </w:p>
        </w:tc>
        <w:tc>
          <w:tcPr>
            <w:tcW w:w="181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一、社会保障和就业支出</w:t>
            </w:r>
          </w:p>
        </w:tc>
        <w:tc>
          <w:tcPr>
            <w:tcW w:w="130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4</w:t>
            </w:r>
          </w:p>
        </w:tc>
        <w:tc>
          <w:tcPr>
            <w:tcW w:w="124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3</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1</w:t>
            </w:r>
          </w:p>
        </w:tc>
      </w:tr>
      <w:tr>
        <w:tblPrEx>
          <w:tblCellMar>
            <w:top w:w="0" w:type="dxa"/>
            <w:left w:w="108" w:type="dxa"/>
            <w:bottom w:w="0" w:type="dxa"/>
            <w:right w:w="108" w:type="dxa"/>
          </w:tblCellMar>
        </w:tblPrEx>
        <w:trPr>
          <w:trHeight w:val="465"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w:t>
            </w:r>
          </w:p>
        </w:tc>
        <w:tc>
          <w:tcPr>
            <w:tcW w:w="130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w:t>
            </w:r>
          </w:p>
        </w:tc>
        <w:tc>
          <w:tcPr>
            <w:tcW w:w="181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二、城乡社区支出</w:t>
            </w:r>
          </w:p>
        </w:tc>
        <w:tc>
          <w:tcPr>
            <w:tcW w:w="130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556,410</w:t>
            </w:r>
          </w:p>
        </w:tc>
        <w:tc>
          <w:tcPr>
            <w:tcW w:w="124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398,322</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158,088</w:t>
            </w:r>
          </w:p>
        </w:tc>
      </w:tr>
      <w:tr>
        <w:tblPrEx>
          <w:tblCellMar>
            <w:top w:w="0" w:type="dxa"/>
            <w:left w:w="108" w:type="dxa"/>
            <w:bottom w:w="0" w:type="dxa"/>
            <w:right w:w="108" w:type="dxa"/>
          </w:tblCellMar>
        </w:tblPrEx>
        <w:trPr>
          <w:trHeight w:val="465"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w:t>
            </w:r>
          </w:p>
        </w:tc>
        <w:tc>
          <w:tcPr>
            <w:tcW w:w="130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w:t>
            </w:r>
          </w:p>
        </w:tc>
        <w:tc>
          <w:tcPr>
            <w:tcW w:w="181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三、农林水支出</w:t>
            </w:r>
          </w:p>
        </w:tc>
        <w:tc>
          <w:tcPr>
            <w:tcW w:w="130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171</w:t>
            </w:r>
          </w:p>
        </w:tc>
        <w:tc>
          <w:tcPr>
            <w:tcW w:w="124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160</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11</w:t>
            </w:r>
          </w:p>
        </w:tc>
      </w:tr>
      <w:tr>
        <w:tblPrEx>
          <w:tblCellMar>
            <w:top w:w="0" w:type="dxa"/>
            <w:left w:w="108" w:type="dxa"/>
            <w:bottom w:w="0" w:type="dxa"/>
            <w:right w:w="108" w:type="dxa"/>
          </w:tblCellMar>
        </w:tblPrEx>
        <w:trPr>
          <w:trHeight w:val="465" w:hRule="atLeast"/>
        </w:trPr>
        <w:tc>
          <w:tcPr>
            <w:tcW w:w="2977" w:type="dxa"/>
            <w:tcBorders>
              <w:top w:val="nil"/>
              <w:left w:val="single" w:color="auto" w:sz="4" w:space="0"/>
              <w:bottom w:val="single" w:color="auto" w:sz="4" w:space="0"/>
              <w:right w:val="single" w:color="auto" w:sz="4" w:space="0"/>
            </w:tcBorders>
            <w:shd w:val="clear" w:color="auto" w:fill="auto"/>
            <w:noWrap/>
            <w:vAlign w:val="bottom"/>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w:t>
            </w:r>
          </w:p>
        </w:tc>
        <w:tc>
          <w:tcPr>
            <w:tcW w:w="130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w:t>
            </w:r>
          </w:p>
        </w:tc>
        <w:tc>
          <w:tcPr>
            <w:tcW w:w="181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color w:val="0D0D0D" w:themeColor="text1" w:themeTint="F2"/>
                <w:kern w:val="0"/>
                <w:sz w:val="24"/>
                <w:szCs w:val="24"/>
                <w14:textFill>
                  <w14:solidFill>
                    <w14:schemeClr w14:val="tx1">
                      <w14:lumMod w14:val="95000"/>
                      <w14:lumOff w14:val="5000"/>
                    </w14:schemeClr>
                  </w14:solidFill>
                </w14:textFill>
              </w:rPr>
              <w:t>四、其他支出</w:t>
            </w:r>
          </w:p>
        </w:tc>
        <w:tc>
          <w:tcPr>
            <w:tcW w:w="130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2,007</w:t>
            </w:r>
          </w:p>
        </w:tc>
        <w:tc>
          <w:tcPr>
            <w:tcW w:w="124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433</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1,574</w:t>
            </w:r>
          </w:p>
        </w:tc>
      </w:tr>
      <w:tr>
        <w:tblPrEx>
          <w:tblCellMar>
            <w:top w:w="0" w:type="dxa"/>
            <w:left w:w="108" w:type="dxa"/>
            <w:bottom w:w="0" w:type="dxa"/>
            <w:right w:w="108" w:type="dxa"/>
          </w:tblCellMar>
        </w:tblPrEx>
        <w:trPr>
          <w:trHeight w:val="465" w:hRule="atLeast"/>
        </w:trPr>
        <w:tc>
          <w:tcPr>
            <w:tcW w:w="2977" w:type="dxa"/>
            <w:tcBorders>
              <w:top w:val="nil"/>
              <w:left w:val="single" w:color="auto" w:sz="4" w:space="0"/>
              <w:bottom w:val="single" w:color="auto" w:sz="4" w:space="0"/>
              <w:right w:val="single" w:color="auto" w:sz="4" w:space="0"/>
            </w:tcBorders>
            <w:shd w:val="clear" w:color="auto" w:fill="auto"/>
            <w:noWrap/>
            <w:vAlign w:val="bottom"/>
          </w:tcPr>
          <w:p>
            <w:pPr>
              <w:widowControl/>
              <w:adjustRightInd w:val="0"/>
              <w:snapToGrid w:val="0"/>
              <w:spacing w:line="240" w:lineRule="auto"/>
              <w:ind w:firstLine="0" w:firstLineChars="0"/>
              <w:jc w:val="lef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w:t>
            </w:r>
          </w:p>
        </w:tc>
        <w:tc>
          <w:tcPr>
            <w:tcW w:w="130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　</w:t>
            </w:r>
          </w:p>
        </w:tc>
        <w:tc>
          <w:tcPr>
            <w:tcW w:w="181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五、债务付息支出</w:t>
            </w:r>
          </w:p>
        </w:tc>
        <w:tc>
          <w:tcPr>
            <w:tcW w:w="130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115,000</w:t>
            </w:r>
          </w:p>
        </w:tc>
        <w:tc>
          <w:tcPr>
            <w:tcW w:w="124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r>
              <w:rPr>
                <w:rFonts w:eastAsia="宋体" w:cs="Times New Roman"/>
                <w:color w:val="0D0D0D" w:themeColor="text1" w:themeTint="F2"/>
                <w:kern w:val="0"/>
                <w:sz w:val="24"/>
                <w:szCs w:val="24"/>
                <w14:textFill>
                  <w14:solidFill>
                    <w14:schemeClr w14:val="tx1">
                      <w14:lumMod w14:val="95000"/>
                      <w14:lumOff w14:val="5000"/>
                    </w14:schemeClr>
                  </w14:solidFill>
                </w14:textFill>
              </w:rPr>
              <w:t>115,000</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65"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b/>
                <w:bCs/>
                <w:color w:val="0D0D0D" w:themeColor="text1" w:themeTint="F2"/>
                <w:kern w:val="0"/>
                <w:sz w:val="24"/>
                <w:szCs w:val="24"/>
                <w14:textFill>
                  <w14:solidFill>
                    <w14:schemeClr w14:val="tx1">
                      <w14:lumMod w14:val="95000"/>
                      <w14:lumOff w14:val="5000"/>
                    </w14:schemeClr>
                  </w14:solidFill>
                </w14:textFill>
              </w:rPr>
              <w:t>转移性收入合计</w:t>
            </w:r>
          </w:p>
        </w:tc>
        <w:tc>
          <w:tcPr>
            <w:tcW w:w="130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eastAsia="宋体" w:cs="Times New Roman"/>
                <w:b/>
                <w:bCs/>
                <w:color w:val="0D0D0D" w:themeColor="text1" w:themeTint="F2"/>
                <w:kern w:val="0"/>
                <w:sz w:val="24"/>
                <w:szCs w:val="24"/>
                <w14:textFill>
                  <w14:solidFill>
                    <w14:schemeClr w14:val="tx1">
                      <w14:lumMod w14:val="95000"/>
                      <w14:lumOff w14:val="5000"/>
                    </w14:schemeClr>
                  </w14:solidFill>
                </w14:textFill>
              </w:rPr>
              <w:t xml:space="preserve">1,010,270 </w:t>
            </w:r>
          </w:p>
        </w:tc>
        <w:tc>
          <w:tcPr>
            <w:tcW w:w="181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Times New Roman"/>
                <w:b/>
                <w:bCs/>
                <w:color w:val="0D0D0D" w:themeColor="text1" w:themeTint="F2"/>
                <w:kern w:val="0"/>
                <w:sz w:val="24"/>
                <w:szCs w:val="24"/>
                <w14:textFill>
                  <w14:solidFill>
                    <w14:schemeClr w14:val="tx1">
                      <w14:lumMod w14:val="95000"/>
                      <w14:lumOff w14:val="5000"/>
                    </w14:schemeClr>
                  </w14:solidFill>
                </w14:textFill>
              </w:rPr>
              <w:t>转移性支出合计</w:t>
            </w:r>
          </w:p>
        </w:tc>
        <w:tc>
          <w:tcPr>
            <w:tcW w:w="130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eastAsia="宋体" w:cs="Times New Roman"/>
                <w:b/>
                <w:bCs/>
                <w:color w:val="0D0D0D" w:themeColor="text1" w:themeTint="F2"/>
                <w:kern w:val="0"/>
                <w:sz w:val="24"/>
                <w:szCs w:val="24"/>
                <w14:textFill>
                  <w14:solidFill>
                    <w14:schemeClr w14:val="tx1">
                      <w14:lumMod w14:val="95000"/>
                      <w14:lumOff w14:val="5000"/>
                    </w14:schemeClr>
                  </w14:solidFill>
                </w14:textFill>
              </w:rPr>
              <w:t>336,678</w:t>
            </w:r>
          </w:p>
        </w:tc>
        <w:tc>
          <w:tcPr>
            <w:tcW w:w="124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r>
              <w:rPr>
                <w:rFonts w:eastAsia="宋体" w:cs="Times New Roman"/>
                <w:b/>
                <w:bCs/>
                <w:color w:val="0D0D0D" w:themeColor="text1" w:themeTint="F2"/>
                <w:kern w:val="0"/>
                <w:sz w:val="24"/>
                <w:szCs w:val="24"/>
                <w14:textFill>
                  <w14:solidFill>
                    <w14:schemeClr w14:val="tx1">
                      <w14:lumMod w14:val="95000"/>
                      <w14:lumOff w14:val="5000"/>
                    </w14:schemeClr>
                  </w14:solidFill>
                </w14:textFill>
              </w:rPr>
              <w:t>336,678</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65"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一、上级补助收入</w:t>
            </w:r>
          </w:p>
        </w:tc>
        <w:tc>
          <w:tcPr>
            <w:tcW w:w="130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80</w:t>
            </w:r>
            <w:r>
              <w:rPr>
                <w:rFonts w:eastAsia="宋体" w:cs="宋体"/>
                <w:color w:val="0D0D0D" w:themeColor="text1" w:themeTint="F2"/>
                <w:kern w:val="0"/>
                <w:sz w:val="24"/>
                <w:szCs w:val="24"/>
                <w14:textFill>
                  <w14:solidFill>
                    <w14:schemeClr w14:val="tx1">
                      <w14:lumMod w14:val="95000"/>
                      <w14:lumOff w14:val="5000"/>
                    </w14:schemeClr>
                  </w14:solidFill>
                </w14:textFill>
              </w:rPr>
              <w:t>0</w:t>
            </w:r>
            <w:r>
              <w:rPr>
                <w:rFonts w:hint="eastAsia" w:eastAsia="宋体" w:cs="宋体"/>
                <w:color w:val="0D0D0D" w:themeColor="text1" w:themeTint="F2"/>
                <w:kern w:val="0"/>
                <w:sz w:val="24"/>
                <w:szCs w:val="24"/>
                <w14:textFill>
                  <w14:solidFill>
                    <w14:schemeClr w14:val="tx1">
                      <w14:lumMod w14:val="95000"/>
                      <w14:lumOff w14:val="5000"/>
                    </w14:schemeClr>
                  </w14:solidFill>
                </w14:textFill>
              </w:rPr>
              <w:t>,</w:t>
            </w:r>
            <w:r>
              <w:rPr>
                <w:rFonts w:eastAsia="宋体" w:cs="宋体"/>
                <w:color w:val="0D0D0D" w:themeColor="text1" w:themeTint="F2"/>
                <w:kern w:val="0"/>
                <w:sz w:val="24"/>
                <w:szCs w:val="24"/>
                <w14:textFill>
                  <w14:solidFill>
                    <w14:schemeClr w14:val="tx1">
                      <w14:lumMod w14:val="95000"/>
                      <w14:lumOff w14:val="5000"/>
                    </w14:schemeClr>
                  </w14:solidFill>
                </w14:textFill>
              </w:rPr>
              <w:t>596</w:t>
            </w:r>
          </w:p>
        </w:tc>
        <w:tc>
          <w:tcPr>
            <w:tcW w:w="181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一、上解上级</w:t>
            </w:r>
          </w:p>
        </w:tc>
        <w:tc>
          <w:tcPr>
            <w:tcW w:w="130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c>
          <w:tcPr>
            <w:tcW w:w="124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65"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二、地方政府债务转贷收入</w:t>
            </w:r>
          </w:p>
        </w:tc>
        <w:tc>
          <w:tcPr>
            <w:tcW w:w="130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50,000 </w:t>
            </w:r>
          </w:p>
        </w:tc>
        <w:tc>
          <w:tcPr>
            <w:tcW w:w="181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二、地方政府债务还本支出</w:t>
            </w:r>
          </w:p>
        </w:tc>
        <w:tc>
          <w:tcPr>
            <w:tcW w:w="130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50,000</w:t>
            </w:r>
          </w:p>
        </w:tc>
        <w:tc>
          <w:tcPr>
            <w:tcW w:w="124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50,000</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65"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二、上年结转 </w:t>
            </w:r>
          </w:p>
        </w:tc>
        <w:tc>
          <w:tcPr>
            <w:tcW w:w="130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159,67</w:t>
            </w:r>
            <w:r>
              <w:rPr>
                <w:rFonts w:eastAsia="宋体" w:cs="宋体"/>
                <w:color w:val="0D0D0D" w:themeColor="text1" w:themeTint="F2"/>
                <w:kern w:val="0"/>
                <w:sz w:val="24"/>
                <w:szCs w:val="24"/>
                <w14:textFill>
                  <w14:solidFill>
                    <w14:schemeClr w14:val="tx1">
                      <w14:lumMod w14:val="95000"/>
                      <w14:lumOff w14:val="5000"/>
                    </w14:schemeClr>
                  </w14:solidFill>
                </w14:textFill>
              </w:rPr>
              <w:t>4</w:t>
            </w:r>
          </w:p>
        </w:tc>
        <w:tc>
          <w:tcPr>
            <w:tcW w:w="181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三、调出资金</w:t>
            </w:r>
          </w:p>
        </w:tc>
        <w:tc>
          <w:tcPr>
            <w:tcW w:w="1305"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286,678</w:t>
            </w:r>
          </w:p>
        </w:tc>
        <w:tc>
          <w:tcPr>
            <w:tcW w:w="124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286,678</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255" w:hRule="atLeast"/>
        </w:trPr>
        <w:tc>
          <w:tcPr>
            <w:tcW w:w="2977"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right"/>
              <w:rPr>
                <w:rFonts w:cs="宋体"/>
                <w:color w:val="0D0D0D" w:themeColor="text1" w:themeTint="F2"/>
                <w:kern w:val="0"/>
                <w:sz w:val="24"/>
                <w:szCs w:val="24"/>
                <w14:textFill>
                  <w14:solidFill>
                    <w14:schemeClr w14:val="tx1">
                      <w14:lumMod w14:val="95000"/>
                      <w14:lumOff w14:val="5000"/>
                    </w14:schemeClr>
                  </w14:solidFill>
                </w14:textFill>
              </w:rPr>
            </w:pPr>
          </w:p>
        </w:tc>
        <w:tc>
          <w:tcPr>
            <w:tcW w:w="1305"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814"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righ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305"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246"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righ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276"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righ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9923" w:type="dxa"/>
            <w:gridSpan w:val="6"/>
            <w:tcBorders>
              <w:top w:val="nil"/>
              <w:left w:val="nil"/>
              <w:bottom w:val="nil"/>
              <w:right w:val="nil"/>
            </w:tcBorders>
            <w:shd w:val="clear" w:color="auto" w:fill="auto"/>
            <w:vAlign w:val="center"/>
          </w:tcPr>
          <w:p>
            <w:pPr>
              <w:widowControl/>
              <w:adjustRightInd w:val="0"/>
              <w:snapToGrid w:val="0"/>
              <w:spacing w:line="240" w:lineRule="auto"/>
              <w:ind w:firstLine="0" w:firstLineChars="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注：1.本表直观反映2023年政府性基金预算收入与支出的平衡关系。</w:t>
            </w:r>
          </w:p>
        </w:tc>
      </w:tr>
      <w:tr>
        <w:tblPrEx>
          <w:tblCellMar>
            <w:top w:w="0" w:type="dxa"/>
            <w:left w:w="108" w:type="dxa"/>
            <w:bottom w:w="0" w:type="dxa"/>
            <w:right w:w="108" w:type="dxa"/>
          </w:tblCellMar>
        </w:tblPrEx>
        <w:trPr>
          <w:trHeight w:val="324" w:hRule="atLeast"/>
        </w:trPr>
        <w:tc>
          <w:tcPr>
            <w:tcW w:w="9923" w:type="dxa"/>
            <w:gridSpan w:val="6"/>
            <w:tcBorders>
              <w:top w:val="nil"/>
              <w:left w:val="nil"/>
              <w:bottom w:val="nil"/>
              <w:right w:val="nil"/>
            </w:tcBorders>
            <w:shd w:val="clear" w:color="auto" w:fill="auto"/>
            <w:vAlign w:val="center"/>
          </w:tcPr>
          <w:p>
            <w:pPr>
              <w:widowControl/>
              <w:adjustRightInd w:val="0"/>
              <w:snapToGrid w:val="0"/>
              <w:spacing w:line="240" w:lineRule="auto"/>
              <w:ind w:firstLine="0" w:firstLineChars="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 xml:space="preserve">2.收入总计（本级收入合计+转移性收入合计）=支出总计（本级支出合计+转移性支出合计）                      </w:t>
            </w:r>
          </w:p>
        </w:tc>
      </w:tr>
    </w:tbl>
    <w:p>
      <w:pPr>
        <w:widowControl/>
        <w:spacing w:line="240" w:lineRule="auto"/>
        <w:ind w:firstLine="0" w:firstLineChars="0"/>
        <w:rPr>
          <w:rFonts w:eastAsia="方正楷体_GBK"/>
          <w:bCs/>
          <w:color w:val="0D0D0D" w:themeColor="text1" w:themeTint="F2"/>
          <w:kern w:val="44"/>
          <w:szCs w:val="44"/>
          <w14:textFill>
            <w14:solidFill>
              <w14:schemeClr w14:val="tx1">
                <w14:lumMod w14:val="95000"/>
                <w14:lumOff w14:val="5000"/>
              </w14:schemeClr>
            </w14:solidFill>
          </w14:textFill>
        </w:rPr>
      </w:pPr>
    </w:p>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pPr>
      <w:r>
        <w:rPr>
          <w:rFonts w:eastAsia="方正楷体_GBK"/>
          <w:bCs/>
          <w:color w:val="0D0D0D" w:themeColor="text1" w:themeTint="F2"/>
          <w:kern w:val="44"/>
          <w:szCs w:val="44"/>
          <w14:textFill>
            <w14:solidFill>
              <w14:schemeClr w14:val="tx1">
                <w14:lumMod w14:val="95000"/>
                <w14:lumOff w14:val="5000"/>
              </w14:schemeClr>
            </w14:solidFill>
          </w14:textFill>
        </w:rPr>
        <w:br w:type="page"/>
      </w:r>
    </w:p>
    <w:tbl>
      <w:tblPr>
        <w:tblStyle w:val="7"/>
        <w:tblW w:w="9356" w:type="dxa"/>
        <w:tblInd w:w="0" w:type="dxa"/>
        <w:tblLayout w:type="autofit"/>
        <w:tblCellMar>
          <w:top w:w="0" w:type="dxa"/>
          <w:left w:w="108" w:type="dxa"/>
          <w:bottom w:w="0" w:type="dxa"/>
          <w:right w:w="108" w:type="dxa"/>
        </w:tblCellMar>
      </w:tblPr>
      <w:tblGrid>
        <w:gridCol w:w="5387"/>
        <w:gridCol w:w="1176"/>
        <w:gridCol w:w="1134"/>
        <w:gridCol w:w="1701"/>
      </w:tblGrid>
      <w:tr>
        <w:tblPrEx>
          <w:tblCellMar>
            <w:top w:w="0" w:type="dxa"/>
            <w:left w:w="108" w:type="dxa"/>
            <w:bottom w:w="0" w:type="dxa"/>
            <w:right w:w="108" w:type="dxa"/>
          </w:tblCellMar>
        </w:tblPrEx>
        <w:trPr>
          <w:trHeight w:val="372" w:hRule="atLeast"/>
        </w:trPr>
        <w:tc>
          <w:tcPr>
            <w:tcW w:w="7655" w:type="dxa"/>
            <w:gridSpan w:val="3"/>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方正黑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表15</w:t>
            </w:r>
          </w:p>
        </w:tc>
        <w:tc>
          <w:tcPr>
            <w:tcW w:w="1701"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方正黑体_GBK" w:cs="宋体"/>
                <w:color w:val="0D0D0D" w:themeColor="text1" w:themeTint="F2"/>
                <w:kern w:val="0"/>
                <w:sz w:val="28"/>
                <w:szCs w:val="28"/>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32" w:hRule="atLeast"/>
        </w:trPr>
        <w:tc>
          <w:tcPr>
            <w:tcW w:w="9356" w:type="dxa"/>
            <w:gridSpan w:val="4"/>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方正小标宋_GBK" w:cs="宋体"/>
                <w:color w:val="0D0D0D" w:themeColor="text1" w:themeTint="F2"/>
                <w:kern w:val="0"/>
                <w:szCs w:val="32"/>
                <w14:textFill>
                  <w14:solidFill>
                    <w14:schemeClr w14:val="tx1">
                      <w14:lumMod w14:val="95000"/>
                      <w14:lumOff w14:val="5000"/>
                    </w14:schemeClr>
                  </w14:solidFill>
                </w14:textFill>
              </w:rPr>
            </w:pPr>
            <w:r>
              <w:rPr>
                <w:rFonts w:hint="eastAsia" w:eastAsia="方正小标宋_GBK" w:cs="宋体"/>
                <w:color w:val="0D0D0D" w:themeColor="text1" w:themeTint="F2"/>
                <w:kern w:val="0"/>
                <w:szCs w:val="32"/>
                <w14:textFill>
                  <w14:solidFill>
                    <w14:schemeClr w14:val="tx1">
                      <w14:lumMod w14:val="95000"/>
                      <w14:lumOff w14:val="5000"/>
                    </w14:schemeClr>
                  </w14:solidFill>
                </w14:textFill>
              </w:rPr>
              <w:t>2023年政府性基金预算收入预算表</w:t>
            </w:r>
          </w:p>
        </w:tc>
      </w:tr>
      <w:tr>
        <w:tblPrEx>
          <w:tblCellMar>
            <w:top w:w="0" w:type="dxa"/>
            <w:left w:w="108" w:type="dxa"/>
            <w:bottom w:w="0" w:type="dxa"/>
            <w:right w:w="108" w:type="dxa"/>
          </w:tblCellMar>
        </w:tblPrEx>
        <w:trPr>
          <w:trHeight w:val="288" w:hRule="atLeast"/>
        </w:trPr>
        <w:tc>
          <w:tcPr>
            <w:tcW w:w="5387"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方正小标宋_GBK" w:cs="宋体"/>
                <w:color w:val="0D0D0D" w:themeColor="text1" w:themeTint="F2"/>
                <w:kern w:val="0"/>
                <w:szCs w:val="32"/>
                <w14:textFill>
                  <w14:solidFill>
                    <w14:schemeClr w14:val="tx1">
                      <w14:lumMod w14:val="95000"/>
                      <w14:lumOff w14:val="5000"/>
                    </w14:schemeClr>
                  </w14:solidFill>
                </w14:textFill>
              </w:rPr>
            </w:pPr>
          </w:p>
        </w:tc>
        <w:tc>
          <w:tcPr>
            <w:tcW w:w="1134"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134"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701" w:type="dxa"/>
            <w:tcBorders>
              <w:top w:val="nil"/>
              <w:left w:val="nil"/>
              <w:bottom w:val="nil"/>
              <w:right w:val="nil"/>
            </w:tcBorders>
            <w:shd w:val="clear" w:color="auto" w:fill="auto"/>
            <w:noWrap/>
            <w:vAlign w:val="bottom"/>
          </w:tcPr>
          <w:p>
            <w:pPr>
              <w:widowControl/>
              <w:adjustRightInd w:val="0"/>
              <w:snapToGrid w:val="0"/>
              <w:spacing w:line="240" w:lineRule="auto"/>
              <w:ind w:firstLine="0" w:firstLineChars="0"/>
              <w:jc w:val="right"/>
              <w:rPr>
                <w:rFonts w:eastAsia="方正楷体_GBK" w:cs="宋体"/>
                <w:color w:val="0D0D0D" w:themeColor="text1" w:themeTint="F2"/>
                <w:kern w:val="0"/>
                <w:sz w:val="22"/>
                <w14:textFill>
                  <w14:solidFill>
                    <w14:schemeClr w14:val="tx1">
                      <w14:lumMod w14:val="95000"/>
                      <w14:lumOff w14:val="5000"/>
                    </w14:schemeClr>
                  </w14:solidFill>
                </w14:textFill>
              </w:rPr>
            </w:pPr>
            <w:r>
              <w:rPr>
                <w:rFonts w:hint="eastAsia" w:eastAsia="方正楷体_GBK" w:cs="宋体"/>
                <w:color w:val="0D0D0D" w:themeColor="text1" w:themeTint="F2"/>
                <w:kern w:val="0"/>
                <w:sz w:val="22"/>
                <w14:textFill>
                  <w14:solidFill>
                    <w14:schemeClr w14:val="tx1">
                      <w14:lumMod w14:val="95000"/>
                      <w14:lumOff w14:val="5000"/>
                    </w14:schemeClr>
                  </w14:solidFill>
                </w14:textFill>
              </w:rPr>
              <w:t>单位：万元</w:t>
            </w:r>
          </w:p>
        </w:tc>
      </w:tr>
      <w:tr>
        <w:tblPrEx>
          <w:tblCellMar>
            <w:top w:w="0" w:type="dxa"/>
            <w:left w:w="108" w:type="dxa"/>
            <w:bottom w:w="0" w:type="dxa"/>
            <w:right w:w="108" w:type="dxa"/>
          </w:tblCellMar>
        </w:tblPrEx>
        <w:trPr>
          <w:trHeight w:val="648" w:hRule="atLeast"/>
        </w:trPr>
        <w:tc>
          <w:tcPr>
            <w:tcW w:w="53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黑体" w:cs="宋体"/>
                <w:color w:val="0D0D0D" w:themeColor="text1" w:themeTint="F2"/>
                <w:kern w:val="0"/>
                <w:sz w:val="24"/>
                <w:szCs w:val="24"/>
                <w14:textFill>
                  <w14:solidFill>
                    <w14:schemeClr w14:val="tx1">
                      <w14:lumMod w14:val="95000"/>
                      <w14:lumOff w14:val="5000"/>
                    </w14:schemeClr>
                  </w14:solidFill>
                </w14:textFill>
              </w:rPr>
            </w:pPr>
            <w:r>
              <w:rPr>
                <w:rFonts w:hint="eastAsia" w:eastAsia="黑体" w:cs="宋体"/>
                <w:color w:val="0D0D0D" w:themeColor="text1" w:themeTint="F2"/>
                <w:kern w:val="0"/>
                <w:sz w:val="24"/>
                <w:szCs w:val="24"/>
                <w14:textFill>
                  <w14:solidFill>
                    <w14:schemeClr w14:val="tx1">
                      <w14:lumMod w14:val="95000"/>
                      <w14:lumOff w14:val="5000"/>
                    </w14:schemeClr>
                  </w14:solidFill>
                </w14:textFill>
              </w:rPr>
              <w:t>项    目</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黑体" w:cs="宋体"/>
                <w:color w:val="0D0D0D" w:themeColor="text1" w:themeTint="F2"/>
                <w:kern w:val="0"/>
                <w:sz w:val="24"/>
                <w:szCs w:val="24"/>
                <w14:textFill>
                  <w14:solidFill>
                    <w14:schemeClr w14:val="tx1">
                      <w14:lumMod w14:val="95000"/>
                      <w14:lumOff w14:val="5000"/>
                    </w14:schemeClr>
                  </w14:solidFill>
                </w14:textFill>
              </w:rPr>
            </w:pPr>
            <w:r>
              <w:rPr>
                <w:rFonts w:hint="eastAsia" w:eastAsia="黑体" w:cs="宋体"/>
                <w:color w:val="0D0D0D" w:themeColor="text1" w:themeTint="F2"/>
                <w:kern w:val="0"/>
                <w:sz w:val="24"/>
                <w:szCs w:val="24"/>
                <w14:textFill>
                  <w14:solidFill>
                    <w14:schemeClr w14:val="tx1">
                      <w14:lumMod w14:val="95000"/>
                      <w14:lumOff w14:val="5000"/>
                    </w14:schemeClr>
                  </w14:solidFill>
                </w14:textFill>
              </w:rPr>
              <w:t>2022年执行数</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黑体" w:cs="宋体"/>
                <w:color w:val="0D0D0D" w:themeColor="text1" w:themeTint="F2"/>
                <w:kern w:val="0"/>
                <w:sz w:val="24"/>
                <w:szCs w:val="24"/>
                <w14:textFill>
                  <w14:solidFill>
                    <w14:schemeClr w14:val="tx1">
                      <w14:lumMod w14:val="95000"/>
                      <w14:lumOff w14:val="5000"/>
                    </w14:schemeClr>
                  </w14:solidFill>
                </w14:textFill>
              </w:rPr>
            </w:pPr>
            <w:r>
              <w:rPr>
                <w:rFonts w:hint="eastAsia" w:eastAsia="黑体" w:cs="宋体"/>
                <w:color w:val="0D0D0D" w:themeColor="text1" w:themeTint="F2"/>
                <w:kern w:val="0"/>
                <w:sz w:val="24"/>
                <w:szCs w:val="24"/>
                <w14:textFill>
                  <w14:solidFill>
                    <w14:schemeClr w14:val="tx1">
                      <w14:lumMod w14:val="95000"/>
                      <w14:lumOff w14:val="5000"/>
                    </w14:schemeClr>
                  </w14:solidFill>
                </w14:textFill>
              </w:rPr>
              <w:t>2023年预算数</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黑体" w:cs="宋体"/>
                <w:color w:val="0D0D0D" w:themeColor="text1" w:themeTint="F2"/>
                <w:kern w:val="0"/>
                <w:sz w:val="24"/>
                <w:szCs w:val="24"/>
                <w14:textFill>
                  <w14:solidFill>
                    <w14:schemeClr w14:val="tx1">
                      <w14:lumMod w14:val="95000"/>
                      <w14:lumOff w14:val="5000"/>
                    </w14:schemeClr>
                  </w14:solidFill>
                </w14:textFill>
              </w:rPr>
            </w:pPr>
            <w:r>
              <w:rPr>
                <w:rFonts w:hint="eastAsia" w:eastAsia="黑体" w:cs="宋体"/>
                <w:color w:val="0D0D0D" w:themeColor="text1" w:themeTint="F2"/>
                <w:kern w:val="0"/>
                <w:sz w:val="24"/>
                <w:szCs w:val="24"/>
                <w14:textFill>
                  <w14:solidFill>
                    <w14:schemeClr w14:val="tx1">
                      <w14:lumMod w14:val="95000"/>
                      <w14:lumOff w14:val="5000"/>
                    </w14:schemeClr>
                  </w14:solidFill>
                </w14:textFill>
              </w:rPr>
              <w:t>预算数为上年</w:t>
            </w:r>
          </w:p>
          <w:p>
            <w:pPr>
              <w:widowControl/>
              <w:adjustRightInd w:val="0"/>
              <w:snapToGrid w:val="0"/>
              <w:spacing w:line="240" w:lineRule="auto"/>
              <w:ind w:firstLine="0" w:firstLineChars="0"/>
              <w:jc w:val="center"/>
              <w:rPr>
                <w:rFonts w:eastAsia="黑体" w:cs="宋体"/>
                <w:color w:val="0D0D0D" w:themeColor="text1" w:themeTint="F2"/>
                <w:kern w:val="0"/>
                <w:sz w:val="24"/>
                <w:szCs w:val="24"/>
                <w14:textFill>
                  <w14:solidFill>
                    <w14:schemeClr w14:val="tx1">
                      <w14:lumMod w14:val="95000"/>
                      <w14:lumOff w14:val="5000"/>
                    </w14:schemeClr>
                  </w14:solidFill>
                </w14:textFill>
              </w:rPr>
            </w:pPr>
            <w:r>
              <w:rPr>
                <w:rFonts w:hint="eastAsia" w:eastAsia="黑体" w:cs="宋体"/>
                <w:color w:val="0D0D0D" w:themeColor="text1" w:themeTint="F2"/>
                <w:kern w:val="0"/>
                <w:sz w:val="24"/>
                <w:szCs w:val="24"/>
                <w14:textFill>
                  <w14:solidFill>
                    <w14:schemeClr w14:val="tx1">
                      <w14:lumMod w14:val="95000"/>
                      <w14:lumOff w14:val="5000"/>
                    </w14:schemeClr>
                  </w14:solidFill>
                </w14:textFill>
              </w:rPr>
              <w:t>执行数的%</w:t>
            </w:r>
          </w:p>
        </w:tc>
      </w:tr>
      <w:tr>
        <w:tblPrEx>
          <w:tblCellMar>
            <w:top w:w="0" w:type="dxa"/>
            <w:left w:w="108" w:type="dxa"/>
            <w:bottom w:w="0" w:type="dxa"/>
            <w:right w:w="108" w:type="dxa"/>
          </w:tblCellMar>
        </w:tblPrEx>
        <w:trPr>
          <w:trHeight w:val="324" w:hRule="atLeast"/>
        </w:trPr>
        <w:tc>
          <w:tcPr>
            <w:tcW w:w="5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收入合计</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1,088,40</w:t>
            </w:r>
            <w:r>
              <w:rPr>
                <w:rFonts w:eastAsia="宋体" w:cs="宋体"/>
                <w:b/>
                <w:bCs/>
                <w:color w:val="0D0D0D" w:themeColor="text1" w:themeTint="F2"/>
                <w:kern w:val="0"/>
                <w:sz w:val="24"/>
                <w:szCs w:val="24"/>
                <w14:textFill>
                  <w14:solidFill>
                    <w14:schemeClr w14:val="tx1">
                      <w14:lumMod w14:val="95000"/>
                      <w14:lumOff w14:val="5000"/>
                    </w14:schemeClr>
                  </w14:solidFill>
                </w14:textFill>
              </w:rPr>
              <w:t>9</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80</w:t>
            </w:r>
            <w:r>
              <w:rPr>
                <w:rFonts w:eastAsia="宋体" w:cs="宋体"/>
                <w:b/>
                <w:bCs/>
                <w:color w:val="0D0D0D" w:themeColor="text1" w:themeTint="F2"/>
                <w:kern w:val="0"/>
                <w:sz w:val="24"/>
                <w:szCs w:val="24"/>
                <w14:textFill>
                  <w14:solidFill>
                    <w14:schemeClr w14:val="tx1">
                      <w14:lumMod w14:val="95000"/>
                      <w14:lumOff w14:val="5000"/>
                    </w14:schemeClr>
                  </w14:solidFill>
                </w14:textFill>
              </w:rPr>
              <w:t>0</w:t>
            </w: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w:t>
            </w:r>
            <w:r>
              <w:rPr>
                <w:rFonts w:eastAsia="宋体" w:cs="宋体"/>
                <w:b/>
                <w:bCs/>
                <w:color w:val="0D0D0D" w:themeColor="text1" w:themeTint="F2"/>
                <w:kern w:val="0"/>
                <w:sz w:val="24"/>
                <w:szCs w:val="24"/>
                <w14:textFill>
                  <w14:solidFill>
                    <w14:schemeClr w14:val="tx1">
                      <w14:lumMod w14:val="95000"/>
                      <w14:lumOff w14:val="5000"/>
                    </w14:schemeClr>
                  </w14:solidFill>
                </w14:textFill>
              </w:rPr>
              <w:t>596</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73.</w:t>
            </w:r>
            <w:r>
              <w:rPr>
                <w:rFonts w:eastAsia="宋体" w:cs="宋体"/>
                <w:b/>
                <w:bCs/>
                <w:color w:val="0D0D0D" w:themeColor="text1" w:themeTint="F2"/>
                <w:kern w:val="0"/>
                <w:sz w:val="24"/>
                <w:szCs w:val="24"/>
                <w14:textFill>
                  <w14:solidFill>
                    <w14:schemeClr w14:val="tx1">
                      <w14:lumMod w14:val="95000"/>
                      <w14:lumOff w14:val="5000"/>
                    </w14:schemeClr>
                  </w14:solidFill>
                </w14:textFill>
              </w:rPr>
              <w:t>6</w:t>
            </w:r>
          </w:p>
        </w:tc>
      </w:tr>
      <w:tr>
        <w:tblPrEx>
          <w:tblCellMar>
            <w:top w:w="0" w:type="dxa"/>
            <w:left w:w="108" w:type="dxa"/>
            <w:bottom w:w="0" w:type="dxa"/>
            <w:right w:w="108" w:type="dxa"/>
          </w:tblCellMar>
        </w:tblPrEx>
        <w:trPr>
          <w:trHeight w:val="324" w:hRule="atLeast"/>
        </w:trPr>
        <w:tc>
          <w:tcPr>
            <w:tcW w:w="5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一、农网还贷资金收入</w:t>
            </w:r>
          </w:p>
        </w:tc>
        <w:tc>
          <w:tcPr>
            <w:tcW w:w="113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5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二、港口建设费收入</w:t>
            </w:r>
          </w:p>
        </w:tc>
        <w:tc>
          <w:tcPr>
            <w:tcW w:w="113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5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三、国家电影事业发展专项资金收入</w:t>
            </w:r>
          </w:p>
        </w:tc>
        <w:tc>
          <w:tcPr>
            <w:tcW w:w="113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5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四、城市公用事业附加收入</w:t>
            </w:r>
          </w:p>
        </w:tc>
        <w:tc>
          <w:tcPr>
            <w:tcW w:w="113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5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五、国有土地收益基金收入</w:t>
            </w:r>
          </w:p>
        </w:tc>
        <w:tc>
          <w:tcPr>
            <w:tcW w:w="1134"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160</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5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六、农业土地开发资金收入</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5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七、国有土地使用权出让收入</w:t>
            </w:r>
          </w:p>
        </w:tc>
        <w:tc>
          <w:tcPr>
            <w:tcW w:w="1134"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1,084,</w:t>
            </w:r>
            <w:r>
              <w:rPr>
                <w:rFonts w:eastAsia="宋体" w:cs="宋体"/>
                <w:color w:val="0D0D0D" w:themeColor="text1" w:themeTint="F2"/>
                <w:kern w:val="0"/>
                <w:sz w:val="24"/>
                <w:szCs w:val="24"/>
                <w14:textFill>
                  <w14:solidFill>
                    <w14:schemeClr w14:val="tx1">
                      <w14:lumMod w14:val="95000"/>
                      <w14:lumOff w14:val="5000"/>
                    </w14:schemeClr>
                  </w14:solidFill>
                </w14:textFill>
              </w:rPr>
              <w:t>739</w:t>
            </w:r>
          </w:p>
        </w:tc>
        <w:tc>
          <w:tcPr>
            <w:tcW w:w="1134" w:type="dxa"/>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800,000</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73.8</w:t>
            </w:r>
          </w:p>
        </w:tc>
      </w:tr>
      <w:tr>
        <w:tblPrEx>
          <w:tblCellMar>
            <w:top w:w="0" w:type="dxa"/>
            <w:left w:w="108" w:type="dxa"/>
            <w:bottom w:w="0" w:type="dxa"/>
            <w:right w:w="108" w:type="dxa"/>
          </w:tblCellMar>
        </w:tblPrEx>
        <w:trPr>
          <w:trHeight w:val="324" w:hRule="atLeast"/>
        </w:trPr>
        <w:tc>
          <w:tcPr>
            <w:tcW w:w="5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八、大中型水库库区基金收入</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w:t>
            </w:r>
          </w:p>
        </w:tc>
        <w:tc>
          <w:tcPr>
            <w:tcW w:w="113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100.0</w:t>
            </w:r>
          </w:p>
        </w:tc>
      </w:tr>
      <w:tr>
        <w:tblPrEx>
          <w:tblCellMar>
            <w:top w:w="0" w:type="dxa"/>
            <w:left w:w="108" w:type="dxa"/>
            <w:bottom w:w="0" w:type="dxa"/>
            <w:right w:w="108" w:type="dxa"/>
          </w:tblCellMar>
        </w:tblPrEx>
        <w:trPr>
          <w:trHeight w:val="324" w:hRule="atLeast"/>
        </w:trPr>
        <w:tc>
          <w:tcPr>
            <w:tcW w:w="5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九、彩票公益金收入</w:t>
            </w:r>
          </w:p>
        </w:tc>
        <w:tc>
          <w:tcPr>
            <w:tcW w:w="1134"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w:t>
            </w:r>
            <w:r>
              <w:rPr>
                <w:rFonts w:eastAsia="宋体" w:cs="宋体"/>
                <w:color w:val="0D0D0D" w:themeColor="text1" w:themeTint="F2"/>
                <w:kern w:val="0"/>
                <w:sz w:val="24"/>
                <w:szCs w:val="24"/>
                <w14:textFill>
                  <w14:solidFill>
                    <w14:schemeClr w14:val="tx1">
                      <w14:lumMod w14:val="95000"/>
                      <w14:lumOff w14:val="5000"/>
                    </w14:schemeClr>
                  </w14:solidFill>
                </w14:textFill>
              </w:rPr>
              <w:t>181</w:t>
            </w:r>
          </w:p>
        </w:tc>
        <w:tc>
          <w:tcPr>
            <w:tcW w:w="1134" w:type="dxa"/>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4</w:t>
            </w:r>
            <w:r>
              <w:rPr>
                <w:rFonts w:eastAsia="宋体" w:cs="宋体"/>
                <w:color w:val="0D0D0D" w:themeColor="text1" w:themeTint="F2"/>
                <w:kern w:val="0"/>
                <w:sz w:val="24"/>
                <w:szCs w:val="24"/>
                <w14:textFill>
                  <w14:solidFill>
                    <w14:schemeClr w14:val="tx1">
                      <w14:lumMod w14:val="95000"/>
                      <w14:lumOff w14:val="5000"/>
                    </w14:schemeClr>
                  </w14:solidFill>
                </w14:textFill>
              </w:rPr>
              <w:t>33</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w:t>
            </w:r>
            <w:r>
              <w:rPr>
                <w:rFonts w:eastAsia="宋体" w:cs="宋体"/>
                <w:color w:val="0D0D0D" w:themeColor="text1" w:themeTint="F2"/>
                <w:kern w:val="0"/>
                <w:sz w:val="24"/>
                <w:szCs w:val="24"/>
                <w14:textFill>
                  <w14:solidFill>
                    <w14:schemeClr w14:val="tx1">
                      <w14:lumMod w14:val="95000"/>
                      <w14:lumOff w14:val="5000"/>
                    </w14:schemeClr>
                  </w14:solidFill>
                </w14:textFill>
              </w:rPr>
              <w:t>6.7</w:t>
            </w:r>
          </w:p>
        </w:tc>
      </w:tr>
      <w:tr>
        <w:tblPrEx>
          <w:tblCellMar>
            <w:top w:w="0" w:type="dxa"/>
            <w:left w:w="108" w:type="dxa"/>
            <w:bottom w:w="0" w:type="dxa"/>
            <w:right w:w="108" w:type="dxa"/>
          </w:tblCellMar>
        </w:tblPrEx>
        <w:trPr>
          <w:trHeight w:val="324" w:hRule="atLeast"/>
        </w:trPr>
        <w:tc>
          <w:tcPr>
            <w:tcW w:w="5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十、小型水库移民扶助基金收入</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5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十一、污水处理费收入</w:t>
            </w:r>
          </w:p>
        </w:tc>
        <w:tc>
          <w:tcPr>
            <w:tcW w:w="113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53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十二、彩票发行机构和彩票销售机构的业务费用收入</w:t>
            </w:r>
          </w:p>
        </w:tc>
        <w:tc>
          <w:tcPr>
            <w:tcW w:w="113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c>
          <w:tcPr>
            <w:tcW w:w="1134"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53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十三、城市基础设施配套费收入</w:t>
            </w:r>
          </w:p>
        </w:tc>
        <w:tc>
          <w:tcPr>
            <w:tcW w:w="1134"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w:t>
            </w:r>
            <w:r>
              <w:rPr>
                <w:rFonts w:eastAsia="宋体" w:cs="宋体"/>
                <w:color w:val="0D0D0D" w:themeColor="text1" w:themeTint="F2"/>
                <w:kern w:val="0"/>
                <w:sz w:val="24"/>
                <w:szCs w:val="24"/>
                <w14:textFill>
                  <w14:solidFill>
                    <w14:schemeClr w14:val="tx1">
                      <w14:lumMod w14:val="95000"/>
                      <w14:lumOff w14:val="5000"/>
                    </w14:schemeClr>
                  </w14:solidFill>
                </w14:textFill>
              </w:rPr>
              <w:t>477</w:t>
            </w:r>
          </w:p>
        </w:tc>
        <w:tc>
          <w:tcPr>
            <w:tcW w:w="1134" w:type="dxa"/>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5387" w:type="dxa"/>
            <w:tcBorders>
              <w:top w:val="single" w:color="auto" w:sz="4" w:space="0"/>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十四、三峡水库库区基金收入</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5387" w:type="dxa"/>
            <w:tcBorders>
              <w:top w:val="single" w:color="auto" w:sz="4" w:space="0"/>
              <w:left w:val="single" w:color="auto" w:sz="4" w:space="0"/>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十五、国家重大水利工程建设基金补助</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6</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12" w:hRule="atLeast"/>
        </w:trPr>
        <w:tc>
          <w:tcPr>
            <w:tcW w:w="9356" w:type="dxa"/>
            <w:gridSpan w:val="4"/>
            <w:tcBorders>
              <w:top w:val="single" w:color="auto" w:sz="4" w:space="0"/>
              <w:left w:val="nil"/>
              <w:bottom w:val="nil"/>
              <w:right w:val="nil"/>
            </w:tcBorders>
            <w:shd w:val="clear" w:color="auto" w:fill="auto"/>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cs="Times New Roman"/>
                <w:color w:val="0D0D0D" w:themeColor="text1" w:themeTint="F2"/>
                <w:kern w:val="0"/>
                <w:sz w:val="22"/>
                <w14:textFill>
                  <w14:solidFill>
                    <w14:schemeClr w14:val="tx1">
                      <w14:lumMod w14:val="95000"/>
                      <w14:lumOff w14:val="5000"/>
                    </w14:schemeClr>
                  </w14:solidFill>
                </w14:textFill>
              </w:rPr>
              <w:t>注：按照我市市级对区县的财政体制，</w:t>
            </w:r>
            <w:r>
              <w:rPr>
                <w:rFonts w:eastAsia="等线" w:cs="Times New Roman"/>
                <w:color w:val="0D0D0D" w:themeColor="text1" w:themeTint="F2"/>
                <w:kern w:val="0"/>
                <w:sz w:val="22"/>
                <w14:textFill>
                  <w14:solidFill>
                    <w14:schemeClr w14:val="tx1">
                      <w14:lumMod w14:val="95000"/>
                      <w14:lumOff w14:val="5000"/>
                    </w14:schemeClr>
                  </w14:solidFill>
                </w14:textFill>
              </w:rPr>
              <w:t>2023</w:t>
            </w:r>
            <w:r>
              <w:rPr>
                <w:rFonts w:hint="eastAsia" w:cs="Times New Roman"/>
                <w:color w:val="0D0D0D" w:themeColor="text1" w:themeTint="F2"/>
                <w:kern w:val="0"/>
                <w:sz w:val="22"/>
                <w14:textFill>
                  <w14:solidFill>
                    <w14:schemeClr w14:val="tx1">
                      <w14:lumMod w14:val="95000"/>
                      <w14:lumOff w14:val="5000"/>
                    </w14:schemeClr>
                  </w14:solidFill>
                </w14:textFill>
              </w:rPr>
              <w:t>年我区无区级政府性基金预算收入，政府性基金收入均为上级补助收入。</w:t>
            </w:r>
          </w:p>
        </w:tc>
      </w:tr>
    </w:tbl>
    <w:p>
      <w:pPr>
        <w:widowControl/>
        <w:spacing w:line="240" w:lineRule="auto"/>
        <w:ind w:firstLine="0" w:firstLineChars="0"/>
        <w:rPr>
          <w:rFonts w:eastAsia="方正楷体_GBK"/>
          <w:bCs/>
          <w:color w:val="0D0D0D" w:themeColor="text1" w:themeTint="F2"/>
          <w:kern w:val="44"/>
          <w:szCs w:val="44"/>
          <w14:textFill>
            <w14:solidFill>
              <w14:schemeClr w14:val="tx1">
                <w14:lumMod w14:val="95000"/>
                <w14:lumOff w14:val="5000"/>
              </w14:schemeClr>
            </w14:solidFill>
          </w14:textFill>
        </w:rPr>
      </w:pPr>
    </w:p>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pPr>
      <w:r>
        <w:rPr>
          <w:rFonts w:eastAsia="方正楷体_GBK"/>
          <w:bCs/>
          <w:color w:val="0D0D0D" w:themeColor="text1" w:themeTint="F2"/>
          <w:kern w:val="44"/>
          <w:szCs w:val="44"/>
          <w14:textFill>
            <w14:solidFill>
              <w14:schemeClr w14:val="tx1">
                <w14:lumMod w14:val="95000"/>
                <w14:lumOff w14:val="5000"/>
              </w14:schemeClr>
            </w14:solidFill>
          </w14:textFill>
        </w:rPr>
        <w:br w:type="page"/>
      </w:r>
    </w:p>
    <w:p>
      <w:pPr>
        <w:widowControl/>
        <w:spacing w:line="240" w:lineRule="auto"/>
        <w:ind w:firstLine="0" w:firstLineChars="0"/>
        <w:rPr>
          <w:rFonts w:eastAsia="方正黑体_GBK"/>
          <w:bCs/>
          <w:color w:val="0D0D0D" w:themeColor="text1" w:themeTint="F2"/>
          <w:kern w:val="44"/>
          <w:szCs w:val="44"/>
          <w14:textFill>
            <w14:solidFill>
              <w14:schemeClr w14:val="tx1">
                <w14:lumMod w14:val="95000"/>
                <w14:lumOff w14:val="5000"/>
              </w14:schemeClr>
            </w14:solidFill>
          </w14:textFill>
        </w:rPr>
      </w:pPr>
      <w:r>
        <w:rPr>
          <w:rFonts w:hint="eastAsia" w:eastAsia="方正黑体_GBK"/>
          <w:bCs/>
          <w:color w:val="0D0D0D" w:themeColor="text1" w:themeTint="F2"/>
          <w:kern w:val="44"/>
          <w:szCs w:val="44"/>
          <w14:textFill>
            <w14:solidFill>
              <w14:schemeClr w14:val="tx1">
                <w14:lumMod w14:val="95000"/>
                <w14:lumOff w14:val="5000"/>
              </w14:schemeClr>
            </w14:solidFill>
          </w14:textFill>
        </w:rPr>
        <w:t>表16</w:t>
      </w:r>
    </w:p>
    <w:tbl>
      <w:tblPr>
        <w:tblStyle w:val="7"/>
        <w:tblW w:w="9639" w:type="dxa"/>
        <w:tblInd w:w="0" w:type="dxa"/>
        <w:tblLayout w:type="autofit"/>
        <w:tblCellMar>
          <w:top w:w="0" w:type="dxa"/>
          <w:left w:w="108" w:type="dxa"/>
          <w:bottom w:w="0" w:type="dxa"/>
          <w:right w:w="108" w:type="dxa"/>
        </w:tblCellMar>
      </w:tblPr>
      <w:tblGrid>
        <w:gridCol w:w="5550"/>
        <w:gridCol w:w="1254"/>
        <w:gridCol w:w="1418"/>
        <w:gridCol w:w="1417"/>
      </w:tblGrid>
      <w:tr>
        <w:tblPrEx>
          <w:tblCellMar>
            <w:top w:w="0" w:type="dxa"/>
            <w:left w:w="108" w:type="dxa"/>
            <w:bottom w:w="0" w:type="dxa"/>
            <w:right w:w="108" w:type="dxa"/>
          </w:tblCellMar>
        </w:tblPrEx>
        <w:trPr>
          <w:trHeight w:val="516" w:hRule="atLeast"/>
          <w:tblHeader/>
        </w:trPr>
        <w:tc>
          <w:tcPr>
            <w:tcW w:w="9639" w:type="dxa"/>
            <w:gridSpan w:val="4"/>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方正小标宋_GBK" w:cs="宋体"/>
                <w:color w:val="0D0D0D" w:themeColor="text1" w:themeTint="F2"/>
                <w:kern w:val="0"/>
                <w:sz w:val="40"/>
                <w:szCs w:val="40"/>
                <w14:textFill>
                  <w14:solidFill>
                    <w14:schemeClr w14:val="tx1">
                      <w14:lumMod w14:val="95000"/>
                      <w14:lumOff w14:val="5000"/>
                    </w14:schemeClr>
                  </w14:solidFill>
                </w14:textFill>
              </w:rPr>
            </w:pPr>
            <w:r>
              <w:rPr>
                <w:rFonts w:hint="eastAsia" w:eastAsia="方正小标宋_GBK" w:cs="宋体"/>
                <w:color w:val="0D0D0D" w:themeColor="text1" w:themeTint="F2"/>
                <w:kern w:val="0"/>
                <w:sz w:val="36"/>
                <w:szCs w:val="36"/>
                <w14:textFill>
                  <w14:solidFill>
                    <w14:schemeClr w14:val="tx1">
                      <w14:lumMod w14:val="95000"/>
                      <w14:lumOff w14:val="5000"/>
                    </w14:schemeClr>
                  </w14:solidFill>
                </w14:textFill>
              </w:rPr>
              <w:t>2023年政府性基金预算本级支出表</w:t>
            </w:r>
          </w:p>
        </w:tc>
      </w:tr>
      <w:tr>
        <w:tblPrEx>
          <w:tblCellMar>
            <w:top w:w="0" w:type="dxa"/>
            <w:left w:w="108" w:type="dxa"/>
            <w:bottom w:w="0" w:type="dxa"/>
            <w:right w:w="108" w:type="dxa"/>
          </w:tblCellMar>
        </w:tblPrEx>
        <w:trPr>
          <w:trHeight w:val="81" w:hRule="atLeast"/>
          <w:tblHeader/>
        </w:trPr>
        <w:tc>
          <w:tcPr>
            <w:tcW w:w="5550"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方正楷体_GBK" w:cs="宋体"/>
                <w:color w:val="0D0D0D" w:themeColor="text1" w:themeTint="F2"/>
                <w:kern w:val="0"/>
                <w:sz w:val="24"/>
                <w:szCs w:val="24"/>
                <w14:textFill>
                  <w14:solidFill>
                    <w14:schemeClr w14:val="tx1">
                      <w14:lumMod w14:val="95000"/>
                      <w14:lumOff w14:val="5000"/>
                    </w14:schemeClr>
                  </w14:solidFill>
                </w14:textFill>
              </w:rPr>
            </w:pPr>
          </w:p>
        </w:tc>
        <w:tc>
          <w:tcPr>
            <w:tcW w:w="1254"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418"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417"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right"/>
              <w:rPr>
                <w:rFonts w:eastAsia="方正楷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楷体_GBK" w:cs="宋体"/>
                <w:color w:val="0D0D0D" w:themeColor="text1" w:themeTint="F2"/>
                <w:kern w:val="0"/>
                <w:sz w:val="24"/>
                <w:szCs w:val="24"/>
                <w14:textFill>
                  <w14:solidFill>
                    <w14:schemeClr w14:val="tx1">
                      <w14:lumMod w14:val="95000"/>
                      <w14:lumOff w14:val="5000"/>
                    </w14:schemeClr>
                  </w14:solidFill>
                </w14:textFill>
              </w:rPr>
              <w:t>单位：万元</w:t>
            </w:r>
          </w:p>
        </w:tc>
      </w:tr>
      <w:tr>
        <w:tblPrEx>
          <w:tblCellMar>
            <w:top w:w="0" w:type="dxa"/>
            <w:left w:w="108" w:type="dxa"/>
            <w:bottom w:w="0" w:type="dxa"/>
            <w:right w:w="108" w:type="dxa"/>
          </w:tblCellMar>
        </w:tblPrEx>
        <w:trPr>
          <w:trHeight w:val="324" w:hRule="atLeast"/>
          <w:tblHeader/>
        </w:trPr>
        <w:tc>
          <w:tcPr>
            <w:tcW w:w="55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支出科目</w:t>
            </w:r>
          </w:p>
        </w:tc>
        <w:tc>
          <w:tcPr>
            <w:tcW w:w="125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预算数</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上年结转</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本年安排</w:t>
            </w:r>
          </w:p>
        </w:tc>
      </w:tr>
      <w:tr>
        <w:tblPrEx>
          <w:tblCellMar>
            <w:top w:w="0" w:type="dxa"/>
            <w:left w:w="108" w:type="dxa"/>
            <w:bottom w:w="0" w:type="dxa"/>
            <w:right w:w="108" w:type="dxa"/>
          </w:tblCellMar>
        </w:tblPrEx>
        <w:trPr>
          <w:trHeight w:val="324" w:hRule="atLeast"/>
        </w:trPr>
        <w:tc>
          <w:tcPr>
            <w:tcW w:w="55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政府性基金预算支出合计</w:t>
            </w:r>
          </w:p>
        </w:tc>
        <w:tc>
          <w:tcPr>
            <w:tcW w:w="1254"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673,592</w:t>
            </w:r>
          </w:p>
        </w:tc>
        <w:tc>
          <w:tcPr>
            <w:tcW w:w="1418"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159,674</w:t>
            </w:r>
          </w:p>
        </w:tc>
        <w:tc>
          <w:tcPr>
            <w:tcW w:w="1417"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513,918</w:t>
            </w:r>
          </w:p>
        </w:tc>
      </w:tr>
      <w:tr>
        <w:tblPrEx>
          <w:tblCellMar>
            <w:top w:w="0" w:type="dxa"/>
            <w:left w:w="108" w:type="dxa"/>
            <w:bottom w:w="0" w:type="dxa"/>
            <w:right w:w="108" w:type="dxa"/>
          </w:tblCellMar>
        </w:tblPrEx>
        <w:trPr>
          <w:trHeight w:val="324" w:hRule="atLeast"/>
        </w:trPr>
        <w:tc>
          <w:tcPr>
            <w:tcW w:w="55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社会保障和就业支出</w:t>
            </w:r>
          </w:p>
        </w:tc>
        <w:tc>
          <w:tcPr>
            <w:tcW w:w="1254"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4</w:t>
            </w:r>
          </w:p>
        </w:tc>
        <w:tc>
          <w:tcPr>
            <w:tcW w:w="1418"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w:t>
            </w:r>
          </w:p>
        </w:tc>
        <w:tc>
          <w:tcPr>
            <w:tcW w:w="1417"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3</w:t>
            </w:r>
          </w:p>
        </w:tc>
      </w:tr>
      <w:tr>
        <w:tblPrEx>
          <w:tblCellMar>
            <w:top w:w="0" w:type="dxa"/>
            <w:left w:w="108" w:type="dxa"/>
            <w:bottom w:w="0" w:type="dxa"/>
            <w:right w:w="108" w:type="dxa"/>
          </w:tblCellMar>
        </w:tblPrEx>
        <w:trPr>
          <w:trHeight w:val="324" w:hRule="atLeast"/>
        </w:trPr>
        <w:tc>
          <w:tcPr>
            <w:tcW w:w="55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大中型水库移民后期扶持基金支出</w:t>
            </w:r>
          </w:p>
        </w:tc>
        <w:tc>
          <w:tcPr>
            <w:tcW w:w="1254"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4</w:t>
            </w:r>
          </w:p>
        </w:tc>
        <w:tc>
          <w:tcPr>
            <w:tcW w:w="1418"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w:t>
            </w:r>
          </w:p>
        </w:tc>
        <w:tc>
          <w:tcPr>
            <w:tcW w:w="1417"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3</w:t>
            </w:r>
          </w:p>
        </w:tc>
      </w:tr>
      <w:tr>
        <w:tblPrEx>
          <w:tblCellMar>
            <w:top w:w="0" w:type="dxa"/>
            <w:left w:w="108" w:type="dxa"/>
            <w:bottom w:w="0" w:type="dxa"/>
            <w:right w:w="108" w:type="dxa"/>
          </w:tblCellMar>
        </w:tblPrEx>
        <w:trPr>
          <w:trHeight w:val="324" w:hRule="atLeast"/>
        </w:trPr>
        <w:tc>
          <w:tcPr>
            <w:tcW w:w="55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移民补助</w:t>
            </w:r>
          </w:p>
        </w:tc>
        <w:tc>
          <w:tcPr>
            <w:tcW w:w="1254"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4</w:t>
            </w:r>
          </w:p>
        </w:tc>
        <w:tc>
          <w:tcPr>
            <w:tcW w:w="1418"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w:t>
            </w:r>
          </w:p>
        </w:tc>
        <w:tc>
          <w:tcPr>
            <w:tcW w:w="1417"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3</w:t>
            </w:r>
          </w:p>
        </w:tc>
      </w:tr>
      <w:tr>
        <w:tblPrEx>
          <w:tblCellMar>
            <w:top w:w="0" w:type="dxa"/>
            <w:left w:w="108" w:type="dxa"/>
            <w:bottom w:w="0" w:type="dxa"/>
            <w:right w:w="108" w:type="dxa"/>
          </w:tblCellMar>
        </w:tblPrEx>
        <w:trPr>
          <w:trHeight w:val="324" w:hRule="atLeast"/>
        </w:trPr>
        <w:tc>
          <w:tcPr>
            <w:tcW w:w="55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城乡社区支出</w:t>
            </w:r>
          </w:p>
        </w:tc>
        <w:tc>
          <w:tcPr>
            <w:tcW w:w="1254"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556,410</w:t>
            </w:r>
          </w:p>
        </w:tc>
        <w:tc>
          <w:tcPr>
            <w:tcW w:w="1418"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158,088</w:t>
            </w:r>
          </w:p>
        </w:tc>
        <w:tc>
          <w:tcPr>
            <w:tcW w:w="1417"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398,322</w:t>
            </w:r>
          </w:p>
        </w:tc>
      </w:tr>
      <w:tr>
        <w:tblPrEx>
          <w:tblCellMar>
            <w:top w:w="0" w:type="dxa"/>
            <w:left w:w="108" w:type="dxa"/>
            <w:bottom w:w="0" w:type="dxa"/>
            <w:right w:w="108" w:type="dxa"/>
          </w:tblCellMar>
        </w:tblPrEx>
        <w:trPr>
          <w:trHeight w:val="324" w:hRule="atLeast"/>
        </w:trPr>
        <w:tc>
          <w:tcPr>
            <w:tcW w:w="55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国有土地使用权出让收入安排的支出</w:t>
            </w:r>
          </w:p>
        </w:tc>
        <w:tc>
          <w:tcPr>
            <w:tcW w:w="1254"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555,707</w:t>
            </w:r>
          </w:p>
        </w:tc>
        <w:tc>
          <w:tcPr>
            <w:tcW w:w="1418"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157,385</w:t>
            </w:r>
          </w:p>
        </w:tc>
        <w:tc>
          <w:tcPr>
            <w:tcW w:w="1417"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398,322</w:t>
            </w:r>
          </w:p>
        </w:tc>
      </w:tr>
      <w:tr>
        <w:tblPrEx>
          <w:tblCellMar>
            <w:top w:w="0" w:type="dxa"/>
            <w:left w:w="108" w:type="dxa"/>
            <w:bottom w:w="0" w:type="dxa"/>
            <w:right w:w="108" w:type="dxa"/>
          </w:tblCellMar>
        </w:tblPrEx>
        <w:trPr>
          <w:trHeight w:val="324" w:hRule="atLeast"/>
        </w:trPr>
        <w:tc>
          <w:tcPr>
            <w:tcW w:w="55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征地和拆迁补偿支出</w:t>
            </w:r>
          </w:p>
        </w:tc>
        <w:tc>
          <w:tcPr>
            <w:tcW w:w="1254"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555,512</w:t>
            </w:r>
          </w:p>
        </w:tc>
        <w:tc>
          <w:tcPr>
            <w:tcW w:w="1418"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157,190</w:t>
            </w:r>
          </w:p>
        </w:tc>
        <w:tc>
          <w:tcPr>
            <w:tcW w:w="1417"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398,322</w:t>
            </w:r>
          </w:p>
        </w:tc>
      </w:tr>
      <w:tr>
        <w:tblPrEx>
          <w:tblCellMar>
            <w:top w:w="0" w:type="dxa"/>
            <w:left w:w="108" w:type="dxa"/>
            <w:bottom w:w="0" w:type="dxa"/>
            <w:right w:w="108" w:type="dxa"/>
          </w:tblCellMar>
        </w:tblPrEx>
        <w:trPr>
          <w:trHeight w:val="324" w:hRule="atLeast"/>
        </w:trPr>
        <w:tc>
          <w:tcPr>
            <w:tcW w:w="55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农村基础设施建设支出</w:t>
            </w:r>
          </w:p>
        </w:tc>
        <w:tc>
          <w:tcPr>
            <w:tcW w:w="1254"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w:t>
            </w:r>
          </w:p>
        </w:tc>
        <w:tc>
          <w:tcPr>
            <w:tcW w:w="1418"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p>
        </w:tc>
        <w:tc>
          <w:tcPr>
            <w:tcW w:w="1417"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55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其他国有土地使用权出让收入安排的支出</w:t>
            </w:r>
          </w:p>
        </w:tc>
        <w:tc>
          <w:tcPr>
            <w:tcW w:w="1254"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195</w:t>
            </w:r>
          </w:p>
        </w:tc>
        <w:tc>
          <w:tcPr>
            <w:tcW w:w="1418"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195</w:t>
            </w:r>
          </w:p>
        </w:tc>
        <w:tc>
          <w:tcPr>
            <w:tcW w:w="1417"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55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城市基础设施配套费安排的支出</w:t>
            </w:r>
          </w:p>
        </w:tc>
        <w:tc>
          <w:tcPr>
            <w:tcW w:w="1254"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703</w:t>
            </w:r>
          </w:p>
        </w:tc>
        <w:tc>
          <w:tcPr>
            <w:tcW w:w="1418"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703</w:t>
            </w:r>
          </w:p>
        </w:tc>
        <w:tc>
          <w:tcPr>
            <w:tcW w:w="1417"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55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城市公共设施</w:t>
            </w:r>
          </w:p>
        </w:tc>
        <w:tc>
          <w:tcPr>
            <w:tcW w:w="1254"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527</w:t>
            </w:r>
          </w:p>
        </w:tc>
        <w:tc>
          <w:tcPr>
            <w:tcW w:w="1418"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527</w:t>
            </w:r>
          </w:p>
        </w:tc>
        <w:tc>
          <w:tcPr>
            <w:tcW w:w="1417"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55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其他城市基础设施配套费安排的支出</w:t>
            </w:r>
          </w:p>
        </w:tc>
        <w:tc>
          <w:tcPr>
            <w:tcW w:w="1254"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176</w:t>
            </w:r>
          </w:p>
        </w:tc>
        <w:tc>
          <w:tcPr>
            <w:tcW w:w="1418"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176</w:t>
            </w:r>
          </w:p>
        </w:tc>
        <w:tc>
          <w:tcPr>
            <w:tcW w:w="1417"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55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农林水支出</w:t>
            </w:r>
          </w:p>
        </w:tc>
        <w:tc>
          <w:tcPr>
            <w:tcW w:w="1254"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171</w:t>
            </w:r>
          </w:p>
        </w:tc>
        <w:tc>
          <w:tcPr>
            <w:tcW w:w="1418"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11</w:t>
            </w:r>
          </w:p>
        </w:tc>
        <w:tc>
          <w:tcPr>
            <w:tcW w:w="1417"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160</w:t>
            </w:r>
          </w:p>
        </w:tc>
      </w:tr>
      <w:tr>
        <w:tblPrEx>
          <w:tblCellMar>
            <w:top w:w="0" w:type="dxa"/>
            <w:left w:w="108" w:type="dxa"/>
            <w:bottom w:w="0" w:type="dxa"/>
            <w:right w:w="108" w:type="dxa"/>
          </w:tblCellMar>
        </w:tblPrEx>
        <w:trPr>
          <w:trHeight w:val="324" w:hRule="atLeast"/>
        </w:trPr>
        <w:tc>
          <w:tcPr>
            <w:tcW w:w="55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三峡水库库区基金支出</w:t>
            </w:r>
          </w:p>
        </w:tc>
        <w:tc>
          <w:tcPr>
            <w:tcW w:w="1254"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4</w:t>
            </w:r>
          </w:p>
        </w:tc>
        <w:tc>
          <w:tcPr>
            <w:tcW w:w="1418"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w:t>
            </w:r>
          </w:p>
        </w:tc>
        <w:tc>
          <w:tcPr>
            <w:tcW w:w="1417"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3</w:t>
            </w:r>
          </w:p>
        </w:tc>
      </w:tr>
      <w:tr>
        <w:tblPrEx>
          <w:tblCellMar>
            <w:top w:w="0" w:type="dxa"/>
            <w:left w:w="108" w:type="dxa"/>
            <w:bottom w:w="0" w:type="dxa"/>
            <w:right w:w="108" w:type="dxa"/>
          </w:tblCellMar>
        </w:tblPrEx>
        <w:trPr>
          <w:trHeight w:val="324" w:hRule="atLeast"/>
        </w:trPr>
        <w:tc>
          <w:tcPr>
            <w:tcW w:w="55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基础设施建设和经济发展</w:t>
            </w:r>
          </w:p>
        </w:tc>
        <w:tc>
          <w:tcPr>
            <w:tcW w:w="1254"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2</w:t>
            </w:r>
          </w:p>
        </w:tc>
        <w:tc>
          <w:tcPr>
            <w:tcW w:w="1418"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w:t>
            </w:r>
          </w:p>
        </w:tc>
        <w:tc>
          <w:tcPr>
            <w:tcW w:w="1417"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w:t>
            </w:r>
          </w:p>
        </w:tc>
      </w:tr>
      <w:tr>
        <w:tblPrEx>
          <w:tblCellMar>
            <w:top w:w="0" w:type="dxa"/>
            <w:left w:w="108" w:type="dxa"/>
            <w:bottom w:w="0" w:type="dxa"/>
            <w:right w:w="108" w:type="dxa"/>
          </w:tblCellMar>
        </w:tblPrEx>
        <w:trPr>
          <w:trHeight w:val="324" w:hRule="atLeast"/>
        </w:trPr>
        <w:tc>
          <w:tcPr>
            <w:tcW w:w="55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解决移民遗留问题</w:t>
            </w:r>
          </w:p>
        </w:tc>
        <w:tc>
          <w:tcPr>
            <w:tcW w:w="1254"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2</w:t>
            </w:r>
          </w:p>
        </w:tc>
        <w:tc>
          <w:tcPr>
            <w:tcW w:w="1418"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p>
        </w:tc>
        <w:tc>
          <w:tcPr>
            <w:tcW w:w="1417"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2</w:t>
            </w:r>
          </w:p>
        </w:tc>
      </w:tr>
      <w:tr>
        <w:tblPrEx>
          <w:tblCellMar>
            <w:top w:w="0" w:type="dxa"/>
            <w:left w:w="108" w:type="dxa"/>
            <w:bottom w:w="0" w:type="dxa"/>
            <w:right w:w="108" w:type="dxa"/>
          </w:tblCellMar>
        </w:tblPrEx>
        <w:trPr>
          <w:trHeight w:val="324" w:hRule="atLeast"/>
        </w:trPr>
        <w:tc>
          <w:tcPr>
            <w:tcW w:w="55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国家重大水利工程建设基金安排的支出</w:t>
            </w:r>
          </w:p>
        </w:tc>
        <w:tc>
          <w:tcPr>
            <w:tcW w:w="1254"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167</w:t>
            </w:r>
          </w:p>
        </w:tc>
        <w:tc>
          <w:tcPr>
            <w:tcW w:w="1418"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10</w:t>
            </w:r>
          </w:p>
        </w:tc>
        <w:tc>
          <w:tcPr>
            <w:tcW w:w="1417"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157</w:t>
            </w:r>
          </w:p>
        </w:tc>
      </w:tr>
      <w:tr>
        <w:tblPrEx>
          <w:tblCellMar>
            <w:top w:w="0" w:type="dxa"/>
            <w:left w:w="108" w:type="dxa"/>
            <w:bottom w:w="0" w:type="dxa"/>
            <w:right w:w="108" w:type="dxa"/>
          </w:tblCellMar>
        </w:tblPrEx>
        <w:trPr>
          <w:trHeight w:val="324" w:hRule="atLeast"/>
        </w:trPr>
        <w:tc>
          <w:tcPr>
            <w:tcW w:w="55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三峡后续工作</w:t>
            </w:r>
          </w:p>
        </w:tc>
        <w:tc>
          <w:tcPr>
            <w:tcW w:w="1254"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167</w:t>
            </w:r>
          </w:p>
        </w:tc>
        <w:tc>
          <w:tcPr>
            <w:tcW w:w="1418"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10</w:t>
            </w:r>
          </w:p>
        </w:tc>
        <w:tc>
          <w:tcPr>
            <w:tcW w:w="1417"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157</w:t>
            </w:r>
          </w:p>
        </w:tc>
      </w:tr>
      <w:tr>
        <w:tblPrEx>
          <w:tblCellMar>
            <w:top w:w="0" w:type="dxa"/>
            <w:left w:w="108" w:type="dxa"/>
            <w:bottom w:w="0" w:type="dxa"/>
            <w:right w:w="108" w:type="dxa"/>
          </w:tblCellMar>
        </w:tblPrEx>
        <w:trPr>
          <w:trHeight w:val="324" w:hRule="atLeast"/>
        </w:trPr>
        <w:tc>
          <w:tcPr>
            <w:tcW w:w="55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其他支出</w:t>
            </w:r>
          </w:p>
        </w:tc>
        <w:tc>
          <w:tcPr>
            <w:tcW w:w="1254"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2,007</w:t>
            </w:r>
          </w:p>
        </w:tc>
        <w:tc>
          <w:tcPr>
            <w:tcW w:w="1418"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1,574</w:t>
            </w:r>
          </w:p>
        </w:tc>
        <w:tc>
          <w:tcPr>
            <w:tcW w:w="1417"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433</w:t>
            </w:r>
          </w:p>
        </w:tc>
      </w:tr>
      <w:tr>
        <w:tblPrEx>
          <w:tblCellMar>
            <w:top w:w="0" w:type="dxa"/>
            <w:left w:w="108" w:type="dxa"/>
            <w:bottom w:w="0" w:type="dxa"/>
            <w:right w:w="108" w:type="dxa"/>
          </w:tblCellMar>
        </w:tblPrEx>
        <w:trPr>
          <w:trHeight w:val="324" w:hRule="atLeast"/>
        </w:trPr>
        <w:tc>
          <w:tcPr>
            <w:tcW w:w="55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彩票发行销售机构业务费安排的支出</w:t>
            </w:r>
          </w:p>
        </w:tc>
        <w:tc>
          <w:tcPr>
            <w:tcW w:w="1254"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4</w:t>
            </w:r>
          </w:p>
        </w:tc>
        <w:tc>
          <w:tcPr>
            <w:tcW w:w="1418"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4</w:t>
            </w:r>
          </w:p>
        </w:tc>
        <w:tc>
          <w:tcPr>
            <w:tcW w:w="1417"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55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彩票市场调控资金支出</w:t>
            </w:r>
          </w:p>
        </w:tc>
        <w:tc>
          <w:tcPr>
            <w:tcW w:w="1254"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4</w:t>
            </w:r>
          </w:p>
        </w:tc>
        <w:tc>
          <w:tcPr>
            <w:tcW w:w="1418"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4</w:t>
            </w:r>
          </w:p>
        </w:tc>
        <w:tc>
          <w:tcPr>
            <w:tcW w:w="1417"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55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彩票公益金安排的支出</w:t>
            </w:r>
          </w:p>
        </w:tc>
        <w:tc>
          <w:tcPr>
            <w:tcW w:w="1254"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2,003</w:t>
            </w:r>
          </w:p>
        </w:tc>
        <w:tc>
          <w:tcPr>
            <w:tcW w:w="1418"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1,570</w:t>
            </w:r>
          </w:p>
        </w:tc>
        <w:tc>
          <w:tcPr>
            <w:tcW w:w="1417"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433</w:t>
            </w:r>
          </w:p>
        </w:tc>
      </w:tr>
      <w:tr>
        <w:tblPrEx>
          <w:tblCellMar>
            <w:top w:w="0" w:type="dxa"/>
            <w:left w:w="108" w:type="dxa"/>
            <w:bottom w:w="0" w:type="dxa"/>
            <w:right w:w="108" w:type="dxa"/>
          </w:tblCellMar>
        </w:tblPrEx>
        <w:trPr>
          <w:trHeight w:val="324" w:hRule="atLeast"/>
        </w:trPr>
        <w:tc>
          <w:tcPr>
            <w:tcW w:w="55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用于社会福利的彩票公益金支出</w:t>
            </w:r>
          </w:p>
        </w:tc>
        <w:tc>
          <w:tcPr>
            <w:tcW w:w="1254"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220</w:t>
            </w:r>
          </w:p>
        </w:tc>
        <w:tc>
          <w:tcPr>
            <w:tcW w:w="1418"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220</w:t>
            </w:r>
          </w:p>
        </w:tc>
        <w:tc>
          <w:tcPr>
            <w:tcW w:w="1417"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55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用于体育事业的彩票公益金支出</w:t>
            </w:r>
          </w:p>
        </w:tc>
        <w:tc>
          <w:tcPr>
            <w:tcW w:w="1254"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144</w:t>
            </w:r>
          </w:p>
        </w:tc>
        <w:tc>
          <w:tcPr>
            <w:tcW w:w="1418"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117</w:t>
            </w:r>
          </w:p>
        </w:tc>
        <w:tc>
          <w:tcPr>
            <w:tcW w:w="1417"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27</w:t>
            </w:r>
          </w:p>
        </w:tc>
      </w:tr>
      <w:tr>
        <w:tblPrEx>
          <w:tblCellMar>
            <w:top w:w="0" w:type="dxa"/>
            <w:left w:w="108" w:type="dxa"/>
            <w:bottom w:w="0" w:type="dxa"/>
            <w:right w:w="108" w:type="dxa"/>
          </w:tblCellMar>
        </w:tblPrEx>
        <w:trPr>
          <w:trHeight w:val="324" w:hRule="atLeast"/>
        </w:trPr>
        <w:tc>
          <w:tcPr>
            <w:tcW w:w="55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用于教育事业的彩票公益金支出</w:t>
            </w:r>
          </w:p>
        </w:tc>
        <w:tc>
          <w:tcPr>
            <w:tcW w:w="1254"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170</w:t>
            </w:r>
          </w:p>
        </w:tc>
        <w:tc>
          <w:tcPr>
            <w:tcW w:w="1418"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92</w:t>
            </w:r>
          </w:p>
        </w:tc>
        <w:tc>
          <w:tcPr>
            <w:tcW w:w="1417"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78</w:t>
            </w:r>
          </w:p>
        </w:tc>
      </w:tr>
      <w:tr>
        <w:tblPrEx>
          <w:tblCellMar>
            <w:top w:w="0" w:type="dxa"/>
            <w:left w:w="108" w:type="dxa"/>
            <w:bottom w:w="0" w:type="dxa"/>
            <w:right w:w="108" w:type="dxa"/>
          </w:tblCellMar>
        </w:tblPrEx>
        <w:trPr>
          <w:trHeight w:val="324" w:hRule="atLeast"/>
        </w:trPr>
        <w:tc>
          <w:tcPr>
            <w:tcW w:w="55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用于残疾人事业的彩票公益金支出</w:t>
            </w:r>
          </w:p>
        </w:tc>
        <w:tc>
          <w:tcPr>
            <w:tcW w:w="1254"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13</w:t>
            </w:r>
          </w:p>
        </w:tc>
        <w:tc>
          <w:tcPr>
            <w:tcW w:w="1418"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p>
        </w:tc>
        <w:tc>
          <w:tcPr>
            <w:tcW w:w="1417"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13</w:t>
            </w:r>
          </w:p>
        </w:tc>
      </w:tr>
      <w:tr>
        <w:tblPrEx>
          <w:tblCellMar>
            <w:top w:w="0" w:type="dxa"/>
            <w:left w:w="108" w:type="dxa"/>
            <w:bottom w:w="0" w:type="dxa"/>
            <w:right w:w="108" w:type="dxa"/>
          </w:tblCellMar>
        </w:tblPrEx>
        <w:trPr>
          <w:trHeight w:val="324" w:hRule="atLeast"/>
        </w:trPr>
        <w:tc>
          <w:tcPr>
            <w:tcW w:w="55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用于其他社会公益事业的彩票公益金支出</w:t>
            </w:r>
          </w:p>
        </w:tc>
        <w:tc>
          <w:tcPr>
            <w:tcW w:w="1254"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1,456</w:t>
            </w:r>
          </w:p>
        </w:tc>
        <w:tc>
          <w:tcPr>
            <w:tcW w:w="1418"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1,141</w:t>
            </w:r>
          </w:p>
        </w:tc>
        <w:tc>
          <w:tcPr>
            <w:tcW w:w="1417"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315</w:t>
            </w:r>
          </w:p>
        </w:tc>
      </w:tr>
      <w:tr>
        <w:tblPrEx>
          <w:tblCellMar>
            <w:top w:w="0" w:type="dxa"/>
            <w:left w:w="108" w:type="dxa"/>
            <w:bottom w:w="0" w:type="dxa"/>
            <w:right w:w="108" w:type="dxa"/>
          </w:tblCellMar>
        </w:tblPrEx>
        <w:trPr>
          <w:trHeight w:val="324" w:hRule="atLeast"/>
        </w:trPr>
        <w:tc>
          <w:tcPr>
            <w:tcW w:w="55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债务付息支出</w:t>
            </w:r>
          </w:p>
        </w:tc>
        <w:tc>
          <w:tcPr>
            <w:tcW w:w="1254"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115,000</w:t>
            </w:r>
          </w:p>
        </w:tc>
        <w:tc>
          <w:tcPr>
            <w:tcW w:w="1418"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p>
        </w:tc>
        <w:tc>
          <w:tcPr>
            <w:tcW w:w="1417"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115,000</w:t>
            </w:r>
          </w:p>
        </w:tc>
      </w:tr>
      <w:tr>
        <w:tblPrEx>
          <w:tblCellMar>
            <w:top w:w="0" w:type="dxa"/>
            <w:left w:w="108" w:type="dxa"/>
            <w:bottom w:w="0" w:type="dxa"/>
            <w:right w:w="108" w:type="dxa"/>
          </w:tblCellMar>
        </w:tblPrEx>
        <w:trPr>
          <w:trHeight w:val="324" w:hRule="atLeast"/>
        </w:trPr>
        <w:tc>
          <w:tcPr>
            <w:tcW w:w="55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    地方政府专项债务付息支出</w:t>
            </w:r>
          </w:p>
        </w:tc>
        <w:tc>
          <w:tcPr>
            <w:tcW w:w="1254"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115,000</w:t>
            </w:r>
          </w:p>
        </w:tc>
        <w:tc>
          <w:tcPr>
            <w:tcW w:w="1418"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p>
        </w:tc>
        <w:tc>
          <w:tcPr>
            <w:tcW w:w="1417"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115,000</w:t>
            </w:r>
          </w:p>
        </w:tc>
      </w:tr>
      <w:tr>
        <w:tblPrEx>
          <w:tblCellMar>
            <w:top w:w="0" w:type="dxa"/>
            <w:left w:w="108" w:type="dxa"/>
            <w:bottom w:w="0" w:type="dxa"/>
            <w:right w:w="108" w:type="dxa"/>
          </w:tblCellMar>
        </w:tblPrEx>
        <w:trPr>
          <w:trHeight w:val="324" w:hRule="atLeast"/>
        </w:trPr>
        <w:tc>
          <w:tcPr>
            <w:tcW w:w="55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其他地方自行试点项目收益专项债券付息</w:t>
            </w:r>
          </w:p>
        </w:tc>
        <w:tc>
          <w:tcPr>
            <w:tcW w:w="1254"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115,000</w:t>
            </w:r>
          </w:p>
        </w:tc>
        <w:tc>
          <w:tcPr>
            <w:tcW w:w="1418"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p>
        </w:tc>
        <w:tc>
          <w:tcPr>
            <w:tcW w:w="1417" w:type="dxa"/>
            <w:tcBorders>
              <w:top w:val="nil"/>
              <w:left w:val="nil"/>
              <w:bottom w:val="single" w:color="auto" w:sz="4" w:space="0"/>
              <w:right w:val="single" w:color="auto" w:sz="4" w:space="0"/>
            </w:tcBorders>
            <w:shd w:val="clear" w:color="auto" w:fill="auto"/>
            <w:noWrap/>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sz w:val="28"/>
                <w:szCs w:val="28"/>
              </w:rPr>
              <w:t>115,000</w:t>
            </w:r>
          </w:p>
        </w:tc>
      </w:tr>
    </w:tbl>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pPr>
      <w:r>
        <w:rPr>
          <w:rFonts w:eastAsia="方正楷体_GBK"/>
          <w:bCs/>
          <w:color w:val="0D0D0D" w:themeColor="text1" w:themeTint="F2"/>
          <w:kern w:val="44"/>
          <w:szCs w:val="44"/>
          <w14:textFill>
            <w14:solidFill>
              <w14:schemeClr w14:val="tx1">
                <w14:lumMod w14:val="95000"/>
                <w14:lumOff w14:val="5000"/>
              </w14:schemeClr>
            </w14:solidFill>
          </w14:textFill>
        </w:rPr>
        <w:br w:type="page"/>
      </w:r>
    </w:p>
    <w:tbl>
      <w:tblPr>
        <w:tblStyle w:val="7"/>
        <w:tblW w:w="9498" w:type="dxa"/>
        <w:tblInd w:w="0" w:type="dxa"/>
        <w:tblLayout w:type="autofit"/>
        <w:tblCellMar>
          <w:top w:w="0" w:type="dxa"/>
          <w:left w:w="108" w:type="dxa"/>
          <w:bottom w:w="0" w:type="dxa"/>
          <w:right w:w="108" w:type="dxa"/>
        </w:tblCellMar>
      </w:tblPr>
      <w:tblGrid>
        <w:gridCol w:w="3700"/>
        <w:gridCol w:w="1360"/>
        <w:gridCol w:w="2878"/>
        <w:gridCol w:w="1560"/>
      </w:tblGrid>
      <w:tr>
        <w:tblPrEx>
          <w:tblCellMar>
            <w:top w:w="0" w:type="dxa"/>
            <w:left w:w="108" w:type="dxa"/>
            <w:bottom w:w="0" w:type="dxa"/>
            <w:right w:w="108" w:type="dxa"/>
          </w:tblCellMar>
        </w:tblPrEx>
        <w:trPr>
          <w:trHeight w:val="372" w:hRule="atLeast"/>
        </w:trPr>
        <w:tc>
          <w:tcPr>
            <w:tcW w:w="5060" w:type="dxa"/>
            <w:gridSpan w:val="2"/>
            <w:tcBorders>
              <w:top w:val="nil"/>
              <w:left w:val="nil"/>
              <w:bottom w:val="nil"/>
              <w:right w:val="nil"/>
            </w:tcBorders>
            <w:shd w:val="clear" w:color="000000" w:fill="FFFFFF"/>
            <w:noWrap/>
            <w:vAlign w:val="center"/>
          </w:tcPr>
          <w:p>
            <w:pPr>
              <w:widowControl/>
              <w:adjustRightInd w:val="0"/>
              <w:snapToGrid w:val="0"/>
              <w:spacing w:line="240" w:lineRule="auto"/>
              <w:ind w:firstLine="0" w:firstLineChars="0"/>
              <w:jc w:val="left"/>
              <w:rPr>
                <w:rFonts w:eastAsia="方正黑体_GBK" w:cs="宋体"/>
                <w:color w:val="0D0D0D" w:themeColor="text1" w:themeTint="F2"/>
                <w:kern w:val="0"/>
                <w:sz w:val="28"/>
                <w:szCs w:val="28"/>
                <w14:textFill>
                  <w14:solidFill>
                    <w14:schemeClr w14:val="tx1">
                      <w14:lumMod w14:val="95000"/>
                      <w14:lumOff w14:val="5000"/>
                    </w14:schemeClr>
                  </w14:solidFill>
                </w14:textFill>
              </w:rPr>
            </w:pPr>
            <w:bookmarkStart w:id="6" w:name="RANGE!A1:D12"/>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表17</w:t>
            </w:r>
            <w:bookmarkEnd w:id="6"/>
          </w:p>
        </w:tc>
        <w:tc>
          <w:tcPr>
            <w:tcW w:w="2878" w:type="dxa"/>
            <w:tcBorders>
              <w:top w:val="nil"/>
              <w:left w:val="nil"/>
              <w:bottom w:val="nil"/>
              <w:right w:val="nil"/>
            </w:tcBorders>
            <w:shd w:val="clear" w:color="000000" w:fill="FFFFFF"/>
            <w:noWrap/>
            <w:vAlign w:val="bottom"/>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560" w:type="dxa"/>
            <w:tcBorders>
              <w:top w:val="nil"/>
              <w:left w:val="nil"/>
              <w:bottom w:val="nil"/>
              <w:right w:val="nil"/>
            </w:tcBorders>
            <w:shd w:val="clear" w:color="000000" w:fill="FFFFFF"/>
            <w:noWrap/>
            <w:vAlign w:val="bottom"/>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480" w:hRule="atLeast"/>
        </w:trPr>
        <w:tc>
          <w:tcPr>
            <w:tcW w:w="9498" w:type="dxa"/>
            <w:gridSpan w:val="4"/>
            <w:tcBorders>
              <w:top w:val="nil"/>
              <w:left w:val="nil"/>
              <w:bottom w:val="nil"/>
              <w:right w:val="nil"/>
            </w:tcBorders>
            <w:shd w:val="clear" w:color="000000" w:fill="FFFFFF"/>
            <w:noWrap/>
            <w:vAlign w:val="center"/>
          </w:tcPr>
          <w:p>
            <w:pPr>
              <w:widowControl/>
              <w:adjustRightInd w:val="0"/>
              <w:snapToGrid w:val="0"/>
              <w:spacing w:line="240" w:lineRule="auto"/>
              <w:ind w:firstLine="0" w:firstLineChars="0"/>
              <w:jc w:val="center"/>
              <w:rPr>
                <w:rFonts w:eastAsia="方正小标宋_GBK" w:cs="宋体"/>
                <w:color w:val="0D0D0D" w:themeColor="text1" w:themeTint="F2"/>
                <w:kern w:val="0"/>
                <w:sz w:val="36"/>
                <w:szCs w:val="36"/>
                <w14:textFill>
                  <w14:solidFill>
                    <w14:schemeClr w14:val="tx1">
                      <w14:lumMod w14:val="95000"/>
                      <w14:lumOff w14:val="5000"/>
                    </w14:schemeClr>
                  </w14:solidFill>
                </w14:textFill>
              </w:rPr>
            </w:pPr>
            <w:r>
              <w:rPr>
                <w:rFonts w:hint="eastAsia" w:eastAsia="方正小标宋_GBK" w:cs="宋体"/>
                <w:color w:val="0D0D0D" w:themeColor="text1" w:themeTint="F2"/>
                <w:kern w:val="0"/>
                <w:sz w:val="36"/>
                <w:szCs w:val="36"/>
                <w14:textFill>
                  <w14:solidFill>
                    <w14:schemeClr w14:val="tx1">
                      <w14:lumMod w14:val="95000"/>
                      <w14:lumOff w14:val="5000"/>
                    </w14:schemeClr>
                  </w14:solidFill>
                </w14:textFill>
              </w:rPr>
              <w:t xml:space="preserve">2023年国有资本经营预算收支预算表 </w:t>
            </w:r>
          </w:p>
        </w:tc>
      </w:tr>
      <w:tr>
        <w:tblPrEx>
          <w:tblCellMar>
            <w:top w:w="0" w:type="dxa"/>
            <w:left w:w="108" w:type="dxa"/>
            <w:bottom w:w="0" w:type="dxa"/>
            <w:right w:w="108" w:type="dxa"/>
          </w:tblCellMar>
        </w:tblPrEx>
        <w:trPr>
          <w:trHeight w:val="312" w:hRule="atLeast"/>
        </w:trPr>
        <w:tc>
          <w:tcPr>
            <w:tcW w:w="3700" w:type="dxa"/>
            <w:tcBorders>
              <w:top w:val="nil"/>
              <w:left w:val="nil"/>
              <w:bottom w:val="nil"/>
              <w:right w:val="nil"/>
            </w:tcBorders>
            <w:shd w:val="clear" w:color="000000" w:fill="FFFFFF"/>
            <w:noWrap/>
            <w:vAlign w:val="center"/>
          </w:tcPr>
          <w:p>
            <w:pPr>
              <w:widowControl/>
              <w:adjustRightInd w:val="0"/>
              <w:snapToGrid w:val="0"/>
              <w:spacing w:line="240" w:lineRule="auto"/>
              <w:ind w:firstLine="0" w:firstLineChars="0"/>
              <w:jc w:val="lef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360" w:type="dxa"/>
            <w:tcBorders>
              <w:top w:val="nil"/>
              <w:left w:val="nil"/>
              <w:bottom w:val="nil"/>
              <w:right w:val="nil"/>
            </w:tcBorders>
            <w:shd w:val="clear" w:color="000000" w:fill="FFFFFF"/>
            <w:noWrap/>
            <w:vAlign w:val="center"/>
          </w:tcPr>
          <w:p>
            <w:pPr>
              <w:widowControl/>
              <w:adjustRightInd w:val="0"/>
              <w:snapToGrid w:val="0"/>
              <w:spacing w:line="240" w:lineRule="auto"/>
              <w:ind w:firstLine="0" w:firstLineChars="0"/>
              <w:jc w:val="center"/>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2878" w:type="dxa"/>
            <w:tcBorders>
              <w:top w:val="nil"/>
              <w:left w:val="nil"/>
              <w:bottom w:val="nil"/>
              <w:right w:val="nil"/>
            </w:tcBorders>
            <w:shd w:val="clear" w:color="000000" w:fill="FFFFFF"/>
            <w:noWrap/>
            <w:vAlign w:val="bottom"/>
          </w:tcPr>
          <w:p>
            <w:pPr>
              <w:widowControl/>
              <w:adjustRightInd w:val="0"/>
              <w:snapToGrid w:val="0"/>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560" w:type="dxa"/>
            <w:tcBorders>
              <w:top w:val="nil"/>
              <w:left w:val="nil"/>
              <w:bottom w:val="nil"/>
              <w:right w:val="nil"/>
            </w:tcBorders>
            <w:shd w:val="clear" w:color="000000" w:fill="FFFFFF"/>
            <w:noWrap/>
            <w:vAlign w:val="bottom"/>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hint="eastAsia" w:cs="Times New Roman"/>
                <w:color w:val="0D0D0D" w:themeColor="text1" w:themeTint="F2"/>
                <w:kern w:val="0"/>
                <w:sz w:val="22"/>
                <w14:textFill>
                  <w14:solidFill>
                    <w14:schemeClr w14:val="tx1">
                      <w14:lumMod w14:val="95000"/>
                      <w14:lumOff w14:val="5000"/>
                    </w14:schemeClr>
                  </w14:solidFill>
                </w14:textFill>
              </w:rPr>
              <w:t>单位：万元</w:t>
            </w:r>
          </w:p>
        </w:tc>
      </w:tr>
      <w:tr>
        <w:tblPrEx>
          <w:tblCellMar>
            <w:top w:w="0" w:type="dxa"/>
            <w:left w:w="108" w:type="dxa"/>
            <w:bottom w:w="0" w:type="dxa"/>
            <w:right w:w="108" w:type="dxa"/>
          </w:tblCellMar>
        </w:tblPrEx>
        <w:trPr>
          <w:trHeight w:val="324" w:hRule="atLeast"/>
        </w:trPr>
        <w:tc>
          <w:tcPr>
            <w:tcW w:w="37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收      入</w:t>
            </w:r>
          </w:p>
        </w:tc>
        <w:tc>
          <w:tcPr>
            <w:tcW w:w="1360" w:type="dxa"/>
            <w:tcBorders>
              <w:top w:val="single" w:color="auto" w:sz="4" w:space="0"/>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预算数</w:t>
            </w:r>
          </w:p>
        </w:tc>
        <w:tc>
          <w:tcPr>
            <w:tcW w:w="2878" w:type="dxa"/>
            <w:tcBorders>
              <w:top w:val="single" w:color="auto" w:sz="4" w:space="0"/>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支     出</w:t>
            </w:r>
          </w:p>
        </w:tc>
        <w:tc>
          <w:tcPr>
            <w:tcW w:w="1560" w:type="dxa"/>
            <w:tcBorders>
              <w:top w:val="single" w:color="auto" w:sz="4" w:space="0"/>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预算数</w:t>
            </w:r>
          </w:p>
        </w:tc>
      </w:tr>
      <w:tr>
        <w:tblPrEx>
          <w:tblCellMar>
            <w:top w:w="0" w:type="dxa"/>
            <w:left w:w="108" w:type="dxa"/>
            <w:bottom w:w="0" w:type="dxa"/>
            <w:right w:w="108" w:type="dxa"/>
          </w:tblCellMar>
        </w:tblPrEx>
        <w:trPr>
          <w:trHeight w:val="324" w:hRule="atLeast"/>
        </w:trPr>
        <w:tc>
          <w:tcPr>
            <w:tcW w:w="3700" w:type="dxa"/>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总  计</w:t>
            </w:r>
          </w:p>
        </w:tc>
        <w:tc>
          <w:tcPr>
            <w:tcW w:w="13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12,028 </w:t>
            </w:r>
          </w:p>
        </w:tc>
        <w:tc>
          <w:tcPr>
            <w:tcW w:w="2878"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总  计</w:t>
            </w:r>
          </w:p>
        </w:tc>
        <w:tc>
          <w:tcPr>
            <w:tcW w:w="15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12,028 </w:t>
            </w:r>
          </w:p>
        </w:tc>
      </w:tr>
      <w:tr>
        <w:tblPrEx>
          <w:tblCellMar>
            <w:top w:w="0" w:type="dxa"/>
            <w:left w:w="108" w:type="dxa"/>
            <w:bottom w:w="0" w:type="dxa"/>
            <w:right w:w="108" w:type="dxa"/>
          </w:tblCellMar>
        </w:tblPrEx>
        <w:trPr>
          <w:trHeight w:val="324" w:hRule="atLeast"/>
        </w:trPr>
        <w:tc>
          <w:tcPr>
            <w:tcW w:w="3700" w:type="dxa"/>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本级收入合计</w:t>
            </w:r>
          </w:p>
        </w:tc>
        <w:tc>
          <w:tcPr>
            <w:tcW w:w="13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12,000 </w:t>
            </w:r>
          </w:p>
        </w:tc>
        <w:tc>
          <w:tcPr>
            <w:tcW w:w="2878"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本级支出合计</w:t>
            </w:r>
          </w:p>
        </w:tc>
        <w:tc>
          <w:tcPr>
            <w:tcW w:w="15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3,478 </w:t>
            </w:r>
          </w:p>
        </w:tc>
      </w:tr>
      <w:tr>
        <w:tblPrEx>
          <w:tblCellMar>
            <w:top w:w="0" w:type="dxa"/>
            <w:left w:w="108" w:type="dxa"/>
            <w:bottom w:w="0" w:type="dxa"/>
            <w:right w:w="108" w:type="dxa"/>
          </w:tblCellMar>
        </w:tblPrEx>
        <w:trPr>
          <w:trHeight w:val="324" w:hRule="atLeast"/>
        </w:trPr>
        <w:tc>
          <w:tcPr>
            <w:tcW w:w="3700" w:type="dxa"/>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国有资本经营预算收入</w:t>
            </w:r>
          </w:p>
        </w:tc>
        <w:tc>
          <w:tcPr>
            <w:tcW w:w="13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12,000 </w:t>
            </w:r>
          </w:p>
        </w:tc>
        <w:tc>
          <w:tcPr>
            <w:tcW w:w="2878"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国有资本经营预算支出</w:t>
            </w:r>
          </w:p>
        </w:tc>
        <w:tc>
          <w:tcPr>
            <w:tcW w:w="15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3,478 </w:t>
            </w:r>
          </w:p>
        </w:tc>
      </w:tr>
      <w:tr>
        <w:tblPrEx>
          <w:tblCellMar>
            <w:top w:w="0" w:type="dxa"/>
            <w:left w:w="108" w:type="dxa"/>
            <w:bottom w:w="0" w:type="dxa"/>
            <w:right w:w="108" w:type="dxa"/>
          </w:tblCellMar>
        </w:tblPrEx>
        <w:trPr>
          <w:trHeight w:val="324" w:hRule="atLeast"/>
        </w:trPr>
        <w:tc>
          <w:tcPr>
            <w:tcW w:w="3700" w:type="dxa"/>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利润收入</w:t>
            </w:r>
          </w:p>
        </w:tc>
        <w:tc>
          <w:tcPr>
            <w:tcW w:w="13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12,000 </w:t>
            </w:r>
          </w:p>
        </w:tc>
        <w:tc>
          <w:tcPr>
            <w:tcW w:w="2878"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5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648" w:hRule="atLeast"/>
        </w:trPr>
        <w:tc>
          <w:tcPr>
            <w:tcW w:w="3700"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其他国有资本经营预算企业利润收入</w:t>
            </w:r>
          </w:p>
        </w:tc>
        <w:tc>
          <w:tcPr>
            <w:tcW w:w="13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12,000 </w:t>
            </w:r>
          </w:p>
        </w:tc>
        <w:tc>
          <w:tcPr>
            <w:tcW w:w="2878"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c>
          <w:tcPr>
            <w:tcW w:w="15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24" w:hRule="atLeast"/>
        </w:trPr>
        <w:tc>
          <w:tcPr>
            <w:tcW w:w="3700" w:type="dxa"/>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转移性收入合计</w:t>
            </w:r>
          </w:p>
        </w:tc>
        <w:tc>
          <w:tcPr>
            <w:tcW w:w="13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28 </w:t>
            </w:r>
          </w:p>
        </w:tc>
        <w:tc>
          <w:tcPr>
            <w:tcW w:w="2878"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转移性支出合计</w:t>
            </w:r>
          </w:p>
        </w:tc>
        <w:tc>
          <w:tcPr>
            <w:tcW w:w="15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8,550 </w:t>
            </w:r>
          </w:p>
        </w:tc>
      </w:tr>
      <w:tr>
        <w:tblPrEx>
          <w:tblCellMar>
            <w:top w:w="0" w:type="dxa"/>
            <w:left w:w="108" w:type="dxa"/>
            <w:bottom w:w="0" w:type="dxa"/>
            <w:right w:w="108" w:type="dxa"/>
          </w:tblCellMar>
        </w:tblPrEx>
        <w:trPr>
          <w:trHeight w:val="324" w:hRule="atLeast"/>
        </w:trPr>
        <w:tc>
          <w:tcPr>
            <w:tcW w:w="3700" w:type="dxa"/>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240" w:firstLineChars="10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上年结转</w:t>
            </w:r>
          </w:p>
        </w:tc>
        <w:tc>
          <w:tcPr>
            <w:tcW w:w="13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28 </w:t>
            </w:r>
          </w:p>
        </w:tc>
        <w:tc>
          <w:tcPr>
            <w:tcW w:w="2878"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调出资金</w:t>
            </w:r>
          </w:p>
        </w:tc>
        <w:tc>
          <w:tcPr>
            <w:tcW w:w="156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8,550 </w:t>
            </w:r>
          </w:p>
        </w:tc>
      </w:tr>
      <w:tr>
        <w:tblPrEx>
          <w:tblCellMar>
            <w:top w:w="0" w:type="dxa"/>
            <w:left w:w="108" w:type="dxa"/>
            <w:bottom w:w="0" w:type="dxa"/>
            <w:right w:w="108" w:type="dxa"/>
          </w:tblCellMar>
        </w:tblPrEx>
        <w:trPr>
          <w:trHeight w:val="816" w:hRule="atLeast"/>
        </w:trPr>
        <w:tc>
          <w:tcPr>
            <w:tcW w:w="9498" w:type="dxa"/>
            <w:gridSpan w:val="4"/>
            <w:tcBorders>
              <w:top w:val="nil"/>
              <w:left w:val="nil"/>
              <w:bottom w:val="nil"/>
              <w:right w:val="nil"/>
            </w:tcBorders>
            <w:shd w:val="clear" w:color="000000" w:fill="FFFFFF"/>
            <w:vAlign w:val="center"/>
          </w:tcPr>
          <w:p>
            <w:pPr>
              <w:widowControl/>
              <w:adjustRightInd w:val="0"/>
              <w:snapToGrid w:val="0"/>
              <w:spacing w:line="240" w:lineRule="auto"/>
              <w:ind w:firstLine="0" w:firstLineChars="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注：1.本表直观反映2023年国有资本经营预算收入与支出的平衡关系。</w:t>
            </w:r>
          </w:p>
          <w:p>
            <w:pPr>
              <w:widowControl/>
              <w:adjustRightInd w:val="0"/>
              <w:snapToGrid w:val="0"/>
              <w:spacing w:line="240" w:lineRule="auto"/>
              <w:ind w:firstLine="0" w:firstLineChars="0"/>
              <w:jc w:val="left"/>
              <w:rPr>
                <w:rFonts w:cs="宋体"/>
                <w:color w:val="0D0D0D" w:themeColor="text1" w:themeTint="F2"/>
                <w:kern w:val="0"/>
                <w:sz w:val="24"/>
                <w:szCs w:val="24"/>
                <w14:textFill>
                  <w14:solidFill>
                    <w14:schemeClr w14:val="tx1">
                      <w14:lumMod w14:val="95000"/>
                      <w14:lumOff w14:val="5000"/>
                    </w14:schemeClr>
                  </w14:solidFill>
                </w14:textFill>
              </w:rPr>
            </w:pPr>
            <w:r>
              <w:rPr>
                <w:rFonts w:hint="eastAsia" w:cs="宋体"/>
                <w:color w:val="0D0D0D" w:themeColor="text1" w:themeTint="F2"/>
                <w:kern w:val="0"/>
                <w:sz w:val="24"/>
                <w:szCs w:val="24"/>
                <w14:textFill>
                  <w14:solidFill>
                    <w14:schemeClr w14:val="tx1">
                      <w14:lumMod w14:val="95000"/>
                      <w14:lumOff w14:val="5000"/>
                    </w14:schemeClr>
                  </w14:solidFill>
                </w14:textFill>
              </w:rPr>
              <w:t>2.收入总计（本级收入合计+转移性收入合计）=支出总计（本级支出合计+转移性支出合计）。</w:t>
            </w:r>
          </w:p>
        </w:tc>
      </w:tr>
    </w:tbl>
    <w:p>
      <w:pPr>
        <w:widowControl/>
        <w:spacing w:line="240" w:lineRule="auto"/>
        <w:ind w:firstLine="0" w:firstLineChars="0"/>
        <w:rPr>
          <w:rFonts w:eastAsia="方正楷体_GBK"/>
          <w:bCs/>
          <w:color w:val="0D0D0D" w:themeColor="text1" w:themeTint="F2"/>
          <w:kern w:val="44"/>
          <w:szCs w:val="44"/>
          <w14:textFill>
            <w14:solidFill>
              <w14:schemeClr w14:val="tx1">
                <w14:lumMod w14:val="95000"/>
                <w14:lumOff w14:val="5000"/>
              </w14:schemeClr>
            </w14:solidFill>
          </w14:textFill>
        </w:rPr>
      </w:pPr>
    </w:p>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pPr>
      <w:r>
        <w:rPr>
          <w:rFonts w:eastAsia="方正楷体_GBK"/>
          <w:bCs/>
          <w:color w:val="0D0D0D" w:themeColor="text1" w:themeTint="F2"/>
          <w:kern w:val="44"/>
          <w:szCs w:val="44"/>
          <w14:textFill>
            <w14:solidFill>
              <w14:schemeClr w14:val="tx1">
                <w14:lumMod w14:val="95000"/>
                <w14:lumOff w14:val="5000"/>
              </w14:schemeClr>
            </w14:solidFill>
          </w14:textFill>
        </w:rPr>
        <w:br w:type="page"/>
      </w:r>
    </w:p>
    <w:tbl>
      <w:tblPr>
        <w:tblStyle w:val="7"/>
        <w:tblW w:w="9498" w:type="dxa"/>
        <w:tblInd w:w="0" w:type="dxa"/>
        <w:tblLayout w:type="autofit"/>
        <w:tblCellMar>
          <w:top w:w="0" w:type="dxa"/>
          <w:left w:w="108" w:type="dxa"/>
          <w:bottom w:w="0" w:type="dxa"/>
          <w:right w:w="108" w:type="dxa"/>
        </w:tblCellMar>
      </w:tblPr>
      <w:tblGrid>
        <w:gridCol w:w="5387"/>
        <w:gridCol w:w="1276"/>
        <w:gridCol w:w="1417"/>
        <w:gridCol w:w="1418"/>
      </w:tblGrid>
      <w:tr>
        <w:tblPrEx>
          <w:tblCellMar>
            <w:top w:w="0" w:type="dxa"/>
            <w:left w:w="108" w:type="dxa"/>
            <w:bottom w:w="0" w:type="dxa"/>
            <w:right w:w="108" w:type="dxa"/>
          </w:tblCellMar>
        </w:tblPrEx>
        <w:trPr>
          <w:trHeight w:val="372" w:hRule="atLeast"/>
        </w:trPr>
        <w:tc>
          <w:tcPr>
            <w:tcW w:w="6663" w:type="dxa"/>
            <w:gridSpan w:val="2"/>
            <w:tcBorders>
              <w:top w:val="nil"/>
              <w:left w:val="nil"/>
              <w:bottom w:val="nil"/>
              <w:right w:val="nil"/>
            </w:tcBorders>
            <w:shd w:val="clear" w:color="000000" w:fill="FFFFFF"/>
            <w:noWrap/>
            <w:vAlign w:val="center"/>
          </w:tcPr>
          <w:p>
            <w:pPr>
              <w:widowControl/>
              <w:adjustRightInd w:val="0"/>
              <w:snapToGrid w:val="0"/>
              <w:spacing w:line="240" w:lineRule="auto"/>
              <w:ind w:firstLine="0" w:firstLineChars="0"/>
              <w:jc w:val="left"/>
              <w:rPr>
                <w:rFonts w:eastAsia="方正黑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表18</w:t>
            </w:r>
          </w:p>
        </w:tc>
        <w:tc>
          <w:tcPr>
            <w:tcW w:w="1417" w:type="dxa"/>
            <w:tcBorders>
              <w:top w:val="nil"/>
              <w:left w:val="nil"/>
              <w:bottom w:val="nil"/>
              <w:right w:val="nil"/>
            </w:tcBorders>
            <w:shd w:val="clear" w:color="auto" w:fill="auto"/>
            <w:noWrap/>
            <w:vAlign w:val="bottom"/>
          </w:tcPr>
          <w:p>
            <w:pPr>
              <w:widowControl/>
              <w:adjustRightInd w:val="0"/>
              <w:snapToGrid w:val="0"/>
              <w:spacing w:line="240" w:lineRule="auto"/>
              <w:ind w:firstLine="0" w:firstLineChars="0"/>
              <w:jc w:val="left"/>
              <w:rPr>
                <w:rFonts w:eastAsia="方正黑体_GBK" w:cs="宋体"/>
                <w:color w:val="0D0D0D" w:themeColor="text1" w:themeTint="F2"/>
                <w:kern w:val="0"/>
                <w:sz w:val="28"/>
                <w:szCs w:val="28"/>
                <w14:textFill>
                  <w14:solidFill>
                    <w14:schemeClr w14:val="tx1">
                      <w14:lumMod w14:val="95000"/>
                      <w14:lumOff w14:val="5000"/>
                    </w14:schemeClr>
                  </w14:solidFill>
                </w14:textFill>
              </w:rPr>
            </w:pPr>
          </w:p>
        </w:tc>
        <w:tc>
          <w:tcPr>
            <w:tcW w:w="1418" w:type="dxa"/>
            <w:tcBorders>
              <w:top w:val="nil"/>
              <w:left w:val="nil"/>
              <w:bottom w:val="nil"/>
              <w:right w:val="nil"/>
            </w:tcBorders>
            <w:shd w:val="clear" w:color="auto" w:fill="auto"/>
            <w:noWrap/>
            <w:vAlign w:val="bottom"/>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32" w:hRule="atLeast"/>
        </w:trPr>
        <w:tc>
          <w:tcPr>
            <w:tcW w:w="9498" w:type="dxa"/>
            <w:gridSpan w:val="4"/>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方正小标宋_GBK" w:cs="宋体"/>
                <w:color w:val="0D0D0D" w:themeColor="text1" w:themeTint="F2"/>
                <w:kern w:val="0"/>
                <w:szCs w:val="32"/>
                <w14:textFill>
                  <w14:solidFill>
                    <w14:schemeClr w14:val="tx1">
                      <w14:lumMod w14:val="95000"/>
                      <w14:lumOff w14:val="5000"/>
                    </w14:schemeClr>
                  </w14:solidFill>
                </w14:textFill>
              </w:rPr>
            </w:pPr>
            <w:r>
              <w:rPr>
                <w:rFonts w:hint="eastAsia" w:eastAsia="方正小标宋_GBK" w:cs="宋体"/>
                <w:color w:val="0D0D0D" w:themeColor="text1" w:themeTint="F2"/>
                <w:kern w:val="0"/>
                <w:szCs w:val="32"/>
                <w14:textFill>
                  <w14:solidFill>
                    <w14:schemeClr w14:val="tx1">
                      <w14:lumMod w14:val="95000"/>
                      <w14:lumOff w14:val="5000"/>
                    </w14:schemeClr>
                  </w14:solidFill>
                </w14:textFill>
              </w:rPr>
              <w:t>2023年国有资本经营预算本级支出预算表</w:t>
            </w:r>
          </w:p>
        </w:tc>
      </w:tr>
      <w:tr>
        <w:tblPrEx>
          <w:tblCellMar>
            <w:top w:w="0" w:type="dxa"/>
            <w:left w:w="108" w:type="dxa"/>
            <w:bottom w:w="0" w:type="dxa"/>
            <w:right w:w="108" w:type="dxa"/>
          </w:tblCellMar>
        </w:tblPrEx>
        <w:trPr>
          <w:trHeight w:val="288" w:hRule="atLeast"/>
        </w:trPr>
        <w:tc>
          <w:tcPr>
            <w:tcW w:w="5387" w:type="dxa"/>
            <w:tcBorders>
              <w:top w:val="nil"/>
              <w:left w:val="nil"/>
              <w:bottom w:val="nil"/>
              <w:right w:val="nil"/>
            </w:tcBorders>
            <w:shd w:val="clear" w:color="auto" w:fill="auto"/>
            <w:noWrap/>
            <w:vAlign w:val="bottom"/>
          </w:tcPr>
          <w:p>
            <w:pPr>
              <w:widowControl/>
              <w:adjustRightInd w:val="0"/>
              <w:snapToGrid w:val="0"/>
              <w:spacing w:line="240" w:lineRule="auto"/>
              <w:ind w:firstLine="0" w:firstLineChars="0"/>
              <w:jc w:val="center"/>
              <w:rPr>
                <w:rFonts w:eastAsia="方正小标宋_GBK" w:cs="宋体"/>
                <w:color w:val="0D0D0D" w:themeColor="text1" w:themeTint="F2"/>
                <w:kern w:val="0"/>
                <w:szCs w:val="32"/>
                <w14:textFill>
                  <w14:solidFill>
                    <w14:schemeClr w14:val="tx1">
                      <w14:lumMod w14:val="95000"/>
                      <w14:lumOff w14:val="5000"/>
                    </w14:schemeClr>
                  </w14:solidFill>
                </w14:textFill>
              </w:rPr>
            </w:pPr>
          </w:p>
        </w:tc>
        <w:tc>
          <w:tcPr>
            <w:tcW w:w="1276" w:type="dxa"/>
            <w:tcBorders>
              <w:top w:val="nil"/>
              <w:left w:val="nil"/>
              <w:bottom w:val="nil"/>
              <w:right w:val="nil"/>
            </w:tcBorders>
            <w:shd w:val="clear" w:color="auto" w:fill="auto"/>
            <w:noWrap/>
            <w:vAlign w:val="bottom"/>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417" w:type="dxa"/>
            <w:tcBorders>
              <w:top w:val="nil"/>
              <w:left w:val="nil"/>
              <w:bottom w:val="nil"/>
              <w:right w:val="nil"/>
            </w:tcBorders>
            <w:shd w:val="clear" w:color="auto" w:fill="auto"/>
            <w:noWrap/>
            <w:vAlign w:val="bottom"/>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418" w:type="dxa"/>
            <w:tcBorders>
              <w:top w:val="nil"/>
              <w:left w:val="nil"/>
              <w:bottom w:val="nil"/>
              <w:right w:val="nil"/>
            </w:tcBorders>
            <w:shd w:val="clear" w:color="auto" w:fill="auto"/>
            <w:noWrap/>
            <w:vAlign w:val="bottom"/>
          </w:tcPr>
          <w:p>
            <w:pPr>
              <w:widowControl/>
              <w:adjustRightInd w:val="0"/>
              <w:snapToGrid w:val="0"/>
              <w:spacing w:line="240" w:lineRule="auto"/>
              <w:ind w:firstLine="0" w:firstLineChars="0"/>
              <w:jc w:val="right"/>
              <w:rPr>
                <w:rFonts w:eastAsia="方正楷体_GBK" w:cs="Times New Roman"/>
                <w:color w:val="0D0D0D" w:themeColor="text1" w:themeTint="F2"/>
                <w:kern w:val="0"/>
                <w:sz w:val="22"/>
                <w14:textFill>
                  <w14:solidFill>
                    <w14:schemeClr w14:val="tx1">
                      <w14:lumMod w14:val="95000"/>
                      <w14:lumOff w14:val="5000"/>
                    </w14:schemeClr>
                  </w14:solidFill>
                </w14:textFill>
              </w:rPr>
            </w:pPr>
            <w:r>
              <w:rPr>
                <w:rFonts w:hint="eastAsia" w:eastAsia="方正楷体_GBK" w:cs="Times New Roman"/>
                <w:color w:val="0D0D0D" w:themeColor="text1" w:themeTint="F2"/>
                <w:kern w:val="0"/>
                <w:sz w:val="22"/>
                <w14:textFill>
                  <w14:solidFill>
                    <w14:schemeClr w14:val="tx1">
                      <w14:lumMod w14:val="95000"/>
                      <w14:lumOff w14:val="5000"/>
                    </w14:schemeClr>
                  </w14:solidFill>
                </w14:textFill>
              </w:rPr>
              <w:t>单位：万元</w:t>
            </w:r>
          </w:p>
        </w:tc>
      </w:tr>
      <w:tr>
        <w:tblPrEx>
          <w:tblCellMar>
            <w:top w:w="0" w:type="dxa"/>
            <w:left w:w="108" w:type="dxa"/>
            <w:bottom w:w="0" w:type="dxa"/>
            <w:right w:w="108" w:type="dxa"/>
          </w:tblCellMar>
        </w:tblPrEx>
        <w:trPr>
          <w:trHeight w:val="288" w:hRule="atLeast"/>
        </w:trPr>
        <w:tc>
          <w:tcPr>
            <w:tcW w:w="53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2"/>
                <w14:textFill>
                  <w14:solidFill>
                    <w14:schemeClr w14:val="tx1">
                      <w14:lumMod w14:val="95000"/>
                      <w14:lumOff w14:val="5000"/>
                    </w14:schemeClr>
                  </w14:solidFill>
                </w14:textFill>
              </w:rPr>
            </w:pPr>
            <w:r>
              <w:rPr>
                <w:rFonts w:hint="eastAsia" w:eastAsia="方正黑体_GBK" w:cs="宋体"/>
                <w:color w:val="0D0D0D" w:themeColor="text1" w:themeTint="F2"/>
                <w:kern w:val="0"/>
                <w:sz w:val="22"/>
                <w14:textFill>
                  <w14:solidFill>
                    <w14:schemeClr w14:val="tx1">
                      <w14:lumMod w14:val="95000"/>
                      <w14:lumOff w14:val="5000"/>
                    </w14:schemeClr>
                  </w14:solidFill>
                </w14:textFill>
              </w:rPr>
              <w:t>项    目</w:t>
            </w:r>
          </w:p>
        </w:tc>
        <w:tc>
          <w:tcPr>
            <w:tcW w:w="4111"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2"/>
                <w14:textFill>
                  <w14:solidFill>
                    <w14:schemeClr w14:val="tx1">
                      <w14:lumMod w14:val="95000"/>
                      <w14:lumOff w14:val="5000"/>
                    </w14:schemeClr>
                  </w14:solidFill>
                </w14:textFill>
              </w:rPr>
            </w:pPr>
            <w:r>
              <w:rPr>
                <w:rFonts w:hint="eastAsia" w:eastAsia="方正黑体_GBK" w:cs="宋体"/>
                <w:color w:val="0D0D0D" w:themeColor="text1" w:themeTint="F2"/>
                <w:kern w:val="0"/>
                <w:sz w:val="22"/>
                <w14:textFill>
                  <w14:solidFill>
                    <w14:schemeClr w14:val="tx1">
                      <w14:lumMod w14:val="95000"/>
                      <w14:lumOff w14:val="5000"/>
                    </w14:schemeClr>
                  </w14:solidFill>
                </w14:textFill>
              </w:rPr>
              <w:t>预算数</w:t>
            </w:r>
          </w:p>
        </w:tc>
      </w:tr>
      <w:tr>
        <w:tblPrEx>
          <w:tblCellMar>
            <w:top w:w="0" w:type="dxa"/>
            <w:left w:w="108" w:type="dxa"/>
            <w:bottom w:w="0" w:type="dxa"/>
            <w:right w:w="108" w:type="dxa"/>
          </w:tblCellMar>
        </w:tblPrEx>
        <w:trPr>
          <w:trHeight w:val="288" w:hRule="atLeast"/>
        </w:trPr>
        <w:tc>
          <w:tcPr>
            <w:tcW w:w="538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方正黑体_GBK" w:cs="宋体"/>
                <w:color w:val="0D0D0D" w:themeColor="text1" w:themeTint="F2"/>
                <w:kern w:val="0"/>
                <w:sz w:val="22"/>
                <w14:textFill>
                  <w14:solidFill>
                    <w14:schemeClr w14:val="tx1">
                      <w14:lumMod w14:val="95000"/>
                      <w14:lumOff w14:val="5000"/>
                    </w14:schemeClr>
                  </w14:solidFill>
                </w14:textFill>
              </w:rPr>
            </w:pP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2"/>
                <w14:textFill>
                  <w14:solidFill>
                    <w14:schemeClr w14:val="tx1">
                      <w14:lumMod w14:val="95000"/>
                      <w14:lumOff w14:val="5000"/>
                    </w14:schemeClr>
                  </w14:solidFill>
                </w14:textFill>
              </w:rPr>
            </w:pPr>
            <w:r>
              <w:rPr>
                <w:rFonts w:hint="eastAsia" w:eastAsia="方正黑体_GBK" w:cs="宋体"/>
                <w:color w:val="0D0D0D" w:themeColor="text1" w:themeTint="F2"/>
                <w:kern w:val="0"/>
                <w:sz w:val="22"/>
                <w14:textFill>
                  <w14:solidFill>
                    <w14:schemeClr w14:val="tx1">
                      <w14:lumMod w14:val="95000"/>
                      <w14:lumOff w14:val="5000"/>
                    </w14:schemeClr>
                  </w14:solidFill>
                </w14:textFill>
              </w:rPr>
              <w:t>合计</w:t>
            </w:r>
          </w:p>
        </w:tc>
        <w:tc>
          <w:tcPr>
            <w:tcW w:w="141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2"/>
                <w14:textFill>
                  <w14:solidFill>
                    <w14:schemeClr w14:val="tx1">
                      <w14:lumMod w14:val="95000"/>
                      <w14:lumOff w14:val="5000"/>
                    </w14:schemeClr>
                  </w14:solidFill>
                </w14:textFill>
              </w:rPr>
            </w:pPr>
            <w:r>
              <w:rPr>
                <w:rFonts w:hint="eastAsia" w:eastAsia="方正黑体_GBK" w:cs="宋体"/>
                <w:color w:val="0D0D0D" w:themeColor="text1" w:themeTint="F2"/>
                <w:kern w:val="0"/>
                <w:sz w:val="22"/>
                <w14:textFill>
                  <w14:solidFill>
                    <w14:schemeClr w14:val="tx1">
                      <w14:lumMod w14:val="95000"/>
                      <w14:lumOff w14:val="5000"/>
                    </w14:schemeClr>
                  </w14:solidFill>
                </w14:textFill>
              </w:rPr>
              <w:t>本年安排</w:t>
            </w:r>
          </w:p>
        </w:tc>
        <w:tc>
          <w:tcPr>
            <w:tcW w:w="14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2"/>
                <w14:textFill>
                  <w14:solidFill>
                    <w14:schemeClr w14:val="tx1">
                      <w14:lumMod w14:val="95000"/>
                      <w14:lumOff w14:val="5000"/>
                    </w14:schemeClr>
                  </w14:solidFill>
                </w14:textFill>
              </w:rPr>
            </w:pPr>
            <w:r>
              <w:rPr>
                <w:rFonts w:hint="eastAsia" w:eastAsia="方正黑体_GBK" w:cs="宋体"/>
                <w:color w:val="0D0D0D" w:themeColor="text1" w:themeTint="F2"/>
                <w:kern w:val="0"/>
                <w:sz w:val="22"/>
                <w14:textFill>
                  <w14:solidFill>
                    <w14:schemeClr w14:val="tx1">
                      <w14:lumMod w14:val="95000"/>
                      <w14:lumOff w14:val="5000"/>
                    </w14:schemeClr>
                  </w14:solidFill>
                </w14:textFill>
              </w:rPr>
              <w:t>上年结转</w:t>
            </w:r>
          </w:p>
        </w:tc>
      </w:tr>
      <w:tr>
        <w:tblPrEx>
          <w:tblCellMar>
            <w:top w:w="0" w:type="dxa"/>
            <w:left w:w="108" w:type="dxa"/>
            <w:bottom w:w="0" w:type="dxa"/>
            <w:right w:w="108" w:type="dxa"/>
          </w:tblCellMar>
        </w:tblPrEx>
        <w:trPr>
          <w:trHeight w:val="288" w:hRule="atLeast"/>
        </w:trPr>
        <w:tc>
          <w:tcPr>
            <w:tcW w:w="538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b/>
                <w:bCs/>
                <w:color w:val="0D0D0D" w:themeColor="text1" w:themeTint="F2"/>
                <w:kern w:val="0"/>
                <w:sz w:val="28"/>
                <w:szCs w:val="28"/>
                <w14:textFill>
                  <w14:solidFill>
                    <w14:schemeClr w14:val="tx1">
                      <w14:lumMod w14:val="95000"/>
                      <w14:lumOff w14:val="5000"/>
                    </w14:schemeClr>
                  </w14:solidFill>
                </w14:textFill>
              </w:rPr>
            </w:pPr>
            <w:r>
              <w:rPr>
                <w:rFonts w:hint="eastAsia" w:eastAsia="宋体" w:cs="Times New Roman"/>
                <w:b/>
                <w:bCs/>
                <w:color w:val="0D0D0D" w:themeColor="text1" w:themeTint="F2"/>
                <w:kern w:val="0"/>
                <w:sz w:val="28"/>
                <w:szCs w:val="28"/>
                <w14:textFill>
                  <w14:solidFill>
                    <w14:schemeClr w14:val="tx1">
                      <w14:lumMod w14:val="95000"/>
                      <w14:lumOff w14:val="5000"/>
                    </w14:schemeClr>
                  </w14:solidFill>
                </w14:textFill>
              </w:rPr>
              <w:t>支出合计</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8"/>
                <w:szCs w:val="28"/>
                <w14:textFill>
                  <w14:solidFill>
                    <w14:schemeClr w14:val="tx1">
                      <w14:lumMod w14:val="95000"/>
                      <w14:lumOff w14:val="5000"/>
                    </w14:schemeClr>
                  </w14:solidFill>
                </w14:textFill>
              </w:rPr>
            </w:pPr>
            <w:r>
              <w:rPr>
                <w:rFonts w:eastAsia="宋体" w:cs="Times New Roman"/>
                <w:b/>
                <w:bCs/>
                <w:color w:val="0D0D0D" w:themeColor="text1" w:themeTint="F2"/>
                <w:kern w:val="0"/>
                <w:sz w:val="28"/>
                <w:szCs w:val="28"/>
                <w14:textFill>
                  <w14:solidFill>
                    <w14:schemeClr w14:val="tx1">
                      <w14:lumMod w14:val="95000"/>
                      <w14:lumOff w14:val="5000"/>
                    </w14:schemeClr>
                  </w14:solidFill>
                </w14:textFill>
              </w:rPr>
              <w:t>3,478</w:t>
            </w:r>
          </w:p>
        </w:tc>
        <w:tc>
          <w:tcPr>
            <w:tcW w:w="141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8"/>
                <w:szCs w:val="28"/>
                <w14:textFill>
                  <w14:solidFill>
                    <w14:schemeClr w14:val="tx1">
                      <w14:lumMod w14:val="95000"/>
                      <w14:lumOff w14:val="5000"/>
                    </w14:schemeClr>
                  </w14:solidFill>
                </w14:textFill>
              </w:rPr>
            </w:pPr>
            <w:r>
              <w:rPr>
                <w:rFonts w:eastAsia="宋体" w:cs="Times New Roman"/>
                <w:b/>
                <w:bCs/>
                <w:color w:val="0D0D0D" w:themeColor="text1" w:themeTint="F2"/>
                <w:kern w:val="0"/>
                <w:sz w:val="28"/>
                <w:szCs w:val="28"/>
                <w14:textFill>
                  <w14:solidFill>
                    <w14:schemeClr w14:val="tx1">
                      <w14:lumMod w14:val="95000"/>
                      <w14:lumOff w14:val="5000"/>
                    </w14:schemeClr>
                  </w14:solidFill>
                </w14:textFill>
              </w:rPr>
              <w:t>3,450</w:t>
            </w:r>
          </w:p>
        </w:tc>
        <w:tc>
          <w:tcPr>
            <w:tcW w:w="14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8"/>
                <w:szCs w:val="28"/>
                <w14:textFill>
                  <w14:solidFill>
                    <w14:schemeClr w14:val="tx1">
                      <w14:lumMod w14:val="95000"/>
                      <w14:lumOff w14:val="5000"/>
                    </w14:schemeClr>
                  </w14:solidFill>
                </w14:textFill>
              </w:rPr>
            </w:pPr>
            <w:r>
              <w:rPr>
                <w:rFonts w:eastAsia="宋体" w:cs="Times New Roman"/>
                <w:b/>
                <w:bCs/>
                <w:color w:val="0D0D0D" w:themeColor="text1" w:themeTint="F2"/>
                <w:kern w:val="0"/>
                <w:sz w:val="28"/>
                <w:szCs w:val="28"/>
                <w14:textFill>
                  <w14:solidFill>
                    <w14:schemeClr w14:val="tx1">
                      <w14:lumMod w14:val="95000"/>
                      <w14:lumOff w14:val="5000"/>
                    </w14:schemeClr>
                  </w14:solidFill>
                </w14:textFill>
              </w:rPr>
              <w:t>28</w:t>
            </w:r>
          </w:p>
        </w:tc>
      </w:tr>
      <w:tr>
        <w:tblPrEx>
          <w:tblCellMar>
            <w:top w:w="0" w:type="dxa"/>
            <w:left w:w="108" w:type="dxa"/>
            <w:bottom w:w="0" w:type="dxa"/>
            <w:right w:w="108" w:type="dxa"/>
          </w:tblCellMar>
        </w:tblPrEx>
        <w:trPr>
          <w:trHeight w:val="288" w:hRule="atLeast"/>
        </w:trPr>
        <w:tc>
          <w:tcPr>
            <w:tcW w:w="538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rFonts w:hint="eastAsia" w:eastAsia="宋体" w:cs="Times New Roman"/>
                <w:color w:val="0D0D0D" w:themeColor="text1" w:themeTint="F2"/>
                <w:kern w:val="0"/>
                <w:sz w:val="28"/>
                <w:szCs w:val="28"/>
                <w14:textFill>
                  <w14:solidFill>
                    <w14:schemeClr w14:val="tx1">
                      <w14:lumMod w14:val="95000"/>
                      <w14:lumOff w14:val="5000"/>
                    </w14:schemeClr>
                  </w14:solidFill>
                </w14:textFill>
              </w:rPr>
              <w:t>一、解决历史遗留问题及改革成本支出</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8"/>
                <w:szCs w:val="28"/>
                <w14:textFill>
                  <w14:solidFill>
                    <w14:schemeClr w14:val="tx1">
                      <w14:lumMod w14:val="95000"/>
                      <w14:lumOff w14:val="5000"/>
                    </w14:schemeClr>
                  </w14:solidFill>
                </w14:textFill>
              </w:rPr>
            </w:pPr>
            <w:r>
              <w:rPr>
                <w:rFonts w:eastAsia="宋体" w:cs="Times New Roman"/>
                <w:b/>
                <w:bCs/>
                <w:color w:val="0D0D0D" w:themeColor="text1" w:themeTint="F2"/>
                <w:kern w:val="0"/>
                <w:sz w:val="28"/>
                <w:szCs w:val="28"/>
                <w14:textFill>
                  <w14:solidFill>
                    <w14:schemeClr w14:val="tx1">
                      <w14:lumMod w14:val="95000"/>
                      <w14:lumOff w14:val="5000"/>
                    </w14:schemeClr>
                  </w14:solidFill>
                </w14:textFill>
              </w:rPr>
              <w:t>28</w:t>
            </w:r>
          </w:p>
        </w:tc>
        <w:tc>
          <w:tcPr>
            <w:tcW w:w="141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p>
        </w:tc>
        <w:tc>
          <w:tcPr>
            <w:tcW w:w="14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rFonts w:eastAsia="宋体" w:cs="Times New Roman"/>
                <w:color w:val="0D0D0D" w:themeColor="text1" w:themeTint="F2"/>
                <w:kern w:val="0"/>
                <w:sz w:val="28"/>
                <w:szCs w:val="28"/>
                <w14:textFill>
                  <w14:solidFill>
                    <w14:schemeClr w14:val="tx1">
                      <w14:lumMod w14:val="95000"/>
                      <w14:lumOff w14:val="5000"/>
                    </w14:schemeClr>
                  </w14:solidFill>
                </w14:textFill>
              </w:rPr>
              <w:t>28</w:t>
            </w:r>
          </w:p>
        </w:tc>
      </w:tr>
      <w:tr>
        <w:tblPrEx>
          <w:tblCellMar>
            <w:top w:w="0" w:type="dxa"/>
            <w:left w:w="108" w:type="dxa"/>
            <w:bottom w:w="0" w:type="dxa"/>
            <w:right w:w="108" w:type="dxa"/>
          </w:tblCellMar>
        </w:tblPrEx>
        <w:trPr>
          <w:trHeight w:val="288" w:hRule="atLeast"/>
        </w:trPr>
        <w:tc>
          <w:tcPr>
            <w:tcW w:w="538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rFonts w:hint="eastAsia" w:eastAsia="宋体" w:cs="Times New Roman"/>
                <w:color w:val="0D0D0D" w:themeColor="text1" w:themeTint="F2"/>
                <w:kern w:val="0"/>
                <w:sz w:val="28"/>
                <w:szCs w:val="28"/>
                <w14:textFill>
                  <w14:solidFill>
                    <w14:schemeClr w14:val="tx1">
                      <w14:lumMod w14:val="95000"/>
                      <w14:lumOff w14:val="5000"/>
                    </w14:schemeClr>
                  </w14:solidFill>
                </w14:textFill>
              </w:rPr>
              <w:t>二、国有企业资本金注入</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8"/>
                <w:szCs w:val="28"/>
                <w14:textFill>
                  <w14:solidFill>
                    <w14:schemeClr w14:val="tx1">
                      <w14:lumMod w14:val="95000"/>
                      <w14:lumOff w14:val="5000"/>
                    </w14:schemeClr>
                  </w14:solidFill>
                </w14:textFill>
              </w:rPr>
            </w:pPr>
            <w:r>
              <w:rPr>
                <w:rFonts w:eastAsia="宋体" w:cs="Times New Roman"/>
                <w:b/>
                <w:bCs/>
                <w:color w:val="0D0D0D" w:themeColor="text1" w:themeTint="F2"/>
                <w:kern w:val="0"/>
                <w:sz w:val="28"/>
                <w:szCs w:val="28"/>
                <w14:textFill>
                  <w14:solidFill>
                    <w14:schemeClr w14:val="tx1">
                      <w14:lumMod w14:val="95000"/>
                      <w14:lumOff w14:val="5000"/>
                    </w14:schemeClr>
                  </w14:solidFill>
                </w14:textFill>
              </w:rPr>
              <w:t>3,450</w:t>
            </w:r>
          </w:p>
        </w:tc>
        <w:tc>
          <w:tcPr>
            <w:tcW w:w="141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rFonts w:eastAsia="宋体" w:cs="Times New Roman"/>
                <w:color w:val="0D0D0D" w:themeColor="text1" w:themeTint="F2"/>
                <w:kern w:val="0"/>
                <w:sz w:val="28"/>
                <w:szCs w:val="28"/>
                <w14:textFill>
                  <w14:solidFill>
                    <w14:schemeClr w14:val="tx1">
                      <w14:lumMod w14:val="95000"/>
                      <w14:lumOff w14:val="5000"/>
                    </w14:schemeClr>
                  </w14:solidFill>
                </w14:textFill>
              </w:rPr>
              <w:t>3,450</w:t>
            </w:r>
          </w:p>
        </w:tc>
        <w:tc>
          <w:tcPr>
            <w:tcW w:w="14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288" w:hRule="atLeast"/>
        </w:trPr>
        <w:tc>
          <w:tcPr>
            <w:tcW w:w="538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rFonts w:hint="eastAsia" w:eastAsia="宋体" w:cs="Times New Roman"/>
                <w:color w:val="0D0D0D" w:themeColor="text1" w:themeTint="F2"/>
                <w:kern w:val="0"/>
                <w:sz w:val="28"/>
                <w:szCs w:val="28"/>
                <w14:textFill>
                  <w14:solidFill>
                    <w14:schemeClr w14:val="tx1">
                      <w14:lumMod w14:val="95000"/>
                      <w14:lumOff w14:val="5000"/>
                    </w14:schemeClr>
                  </w14:solidFill>
                </w14:textFill>
              </w:rPr>
              <w:t>三、金融国有资本经营预算支出</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b/>
                <w:bCs/>
                <w:color w:val="0D0D0D" w:themeColor="text1" w:themeTint="F2"/>
                <w:kern w:val="0"/>
                <w:sz w:val="28"/>
                <w:szCs w:val="28"/>
                <w14:textFill>
                  <w14:solidFill>
                    <w14:schemeClr w14:val="tx1">
                      <w14:lumMod w14:val="95000"/>
                      <w14:lumOff w14:val="5000"/>
                    </w14:schemeClr>
                  </w14:solidFill>
                </w14:textFill>
              </w:rPr>
            </w:pPr>
            <w:r>
              <w:rPr>
                <w:rFonts w:eastAsia="宋体" w:cs="Times New Roman"/>
                <w:b/>
                <w:bCs/>
                <w:color w:val="0D0D0D" w:themeColor="text1" w:themeTint="F2"/>
                <w:kern w:val="0"/>
                <w:sz w:val="28"/>
                <w:szCs w:val="28"/>
                <w14:textFill>
                  <w14:solidFill>
                    <w14:schemeClr w14:val="tx1">
                      <w14:lumMod w14:val="95000"/>
                      <w14:lumOff w14:val="5000"/>
                    </w14:schemeClr>
                  </w14:solidFill>
                </w14:textFill>
              </w:rPr>
              <w:t>-</w:t>
            </w:r>
          </w:p>
        </w:tc>
        <w:tc>
          <w:tcPr>
            <w:tcW w:w="141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p>
        </w:tc>
        <w:tc>
          <w:tcPr>
            <w:tcW w:w="14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12" w:hRule="atLeast"/>
        </w:trPr>
        <w:tc>
          <w:tcPr>
            <w:tcW w:w="538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rFonts w:hint="eastAsia" w:eastAsia="宋体" w:cs="Times New Roman"/>
                <w:color w:val="0D0D0D" w:themeColor="text1" w:themeTint="F2"/>
                <w:kern w:val="0"/>
                <w:sz w:val="28"/>
                <w:szCs w:val="28"/>
                <w14:textFill>
                  <w14:solidFill>
                    <w14:schemeClr w14:val="tx1">
                      <w14:lumMod w14:val="95000"/>
                      <w14:lumOff w14:val="5000"/>
                    </w14:schemeClr>
                  </w14:solidFill>
                </w14:textFill>
              </w:rPr>
              <w:t>四、其他国有资本经营预算支出</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r>
              <w:rPr>
                <w:rFonts w:eastAsia="宋体" w:cs="Times New Roman"/>
                <w:color w:val="0D0D0D" w:themeColor="text1" w:themeTint="F2"/>
                <w:kern w:val="0"/>
                <w:sz w:val="28"/>
                <w:szCs w:val="28"/>
                <w14:textFill>
                  <w14:solidFill>
                    <w14:schemeClr w14:val="tx1">
                      <w14:lumMod w14:val="95000"/>
                      <w14:lumOff w14:val="5000"/>
                    </w14:schemeClr>
                  </w14:solidFill>
                </w14:textFill>
              </w:rPr>
              <w:t>-</w:t>
            </w:r>
          </w:p>
        </w:tc>
        <w:tc>
          <w:tcPr>
            <w:tcW w:w="141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Times New Roman"/>
                <w:color w:val="0D0D0D" w:themeColor="text1" w:themeTint="F2"/>
                <w:kern w:val="0"/>
                <w:sz w:val="28"/>
                <w:szCs w:val="28"/>
                <w14:textFill>
                  <w14:solidFill>
                    <w14:schemeClr w14:val="tx1">
                      <w14:lumMod w14:val="95000"/>
                      <w14:lumOff w14:val="5000"/>
                    </w14:schemeClr>
                  </w14:solidFill>
                </w14:textFill>
              </w:rPr>
            </w:pPr>
          </w:p>
        </w:tc>
      </w:tr>
    </w:tbl>
    <w:p>
      <w:pPr>
        <w:widowControl/>
        <w:spacing w:line="240" w:lineRule="auto"/>
        <w:ind w:firstLine="0" w:firstLineChars="0"/>
        <w:rPr>
          <w:rFonts w:eastAsia="方正楷体_GBK"/>
          <w:bCs/>
          <w:color w:val="0D0D0D" w:themeColor="text1" w:themeTint="F2"/>
          <w:kern w:val="44"/>
          <w:szCs w:val="44"/>
          <w14:textFill>
            <w14:solidFill>
              <w14:schemeClr w14:val="tx1">
                <w14:lumMod w14:val="95000"/>
                <w14:lumOff w14:val="5000"/>
              </w14:schemeClr>
            </w14:solidFill>
          </w14:textFill>
        </w:rPr>
      </w:pPr>
    </w:p>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pPr>
      <w:r>
        <w:rPr>
          <w:rFonts w:eastAsia="方正楷体_GBK"/>
          <w:bCs/>
          <w:color w:val="0D0D0D" w:themeColor="text1" w:themeTint="F2"/>
          <w:kern w:val="44"/>
          <w:szCs w:val="44"/>
          <w14:textFill>
            <w14:solidFill>
              <w14:schemeClr w14:val="tx1">
                <w14:lumMod w14:val="95000"/>
                <w14:lumOff w14:val="5000"/>
              </w14:schemeClr>
            </w14:solidFill>
          </w14:textFill>
        </w:rPr>
        <w:br w:type="page"/>
      </w:r>
    </w:p>
    <w:tbl>
      <w:tblPr>
        <w:tblStyle w:val="7"/>
        <w:tblW w:w="9356" w:type="dxa"/>
        <w:tblInd w:w="0" w:type="dxa"/>
        <w:tblLayout w:type="autofit"/>
        <w:tblCellMar>
          <w:top w:w="0" w:type="dxa"/>
          <w:left w:w="108" w:type="dxa"/>
          <w:bottom w:w="0" w:type="dxa"/>
          <w:right w:w="108" w:type="dxa"/>
        </w:tblCellMar>
      </w:tblPr>
      <w:tblGrid>
        <w:gridCol w:w="4678"/>
        <w:gridCol w:w="1418"/>
        <w:gridCol w:w="1701"/>
        <w:gridCol w:w="1559"/>
      </w:tblGrid>
      <w:tr>
        <w:tblPrEx>
          <w:tblCellMar>
            <w:top w:w="0" w:type="dxa"/>
            <w:left w:w="108" w:type="dxa"/>
            <w:bottom w:w="0" w:type="dxa"/>
            <w:right w:w="108" w:type="dxa"/>
          </w:tblCellMar>
        </w:tblPrEx>
        <w:trPr>
          <w:trHeight w:val="372" w:hRule="atLeast"/>
        </w:trPr>
        <w:tc>
          <w:tcPr>
            <w:tcW w:w="6096" w:type="dxa"/>
            <w:gridSpan w:val="2"/>
            <w:tcBorders>
              <w:top w:val="nil"/>
              <w:left w:val="nil"/>
              <w:bottom w:val="nil"/>
              <w:right w:val="nil"/>
            </w:tcBorders>
            <w:shd w:val="clear" w:color="auto" w:fill="auto"/>
            <w:noWrap/>
            <w:vAlign w:val="center"/>
          </w:tcPr>
          <w:p>
            <w:pPr>
              <w:widowControl/>
              <w:spacing w:line="240" w:lineRule="auto"/>
              <w:ind w:firstLine="0" w:firstLineChars="0"/>
              <w:jc w:val="left"/>
              <w:rPr>
                <w:rFonts w:eastAsia="方正黑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宋体"/>
                <w:color w:val="0D0D0D" w:themeColor="text1" w:themeTint="F2"/>
                <w:kern w:val="0"/>
                <w:sz w:val="30"/>
                <w:szCs w:val="30"/>
                <w14:textFill>
                  <w14:solidFill>
                    <w14:schemeClr w14:val="tx1">
                      <w14:lumMod w14:val="95000"/>
                      <w14:lumOff w14:val="5000"/>
                    </w14:schemeClr>
                  </w14:solidFill>
                </w14:textFill>
              </w:rPr>
              <w:t>表19</w:t>
            </w:r>
          </w:p>
        </w:tc>
        <w:tc>
          <w:tcPr>
            <w:tcW w:w="1701"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方正黑体_GBK" w:cs="宋体"/>
                <w:color w:val="0D0D0D" w:themeColor="text1" w:themeTint="F2"/>
                <w:kern w:val="0"/>
                <w:sz w:val="28"/>
                <w:szCs w:val="28"/>
                <w14:textFill>
                  <w14:solidFill>
                    <w14:schemeClr w14:val="tx1">
                      <w14:lumMod w14:val="95000"/>
                      <w14:lumOff w14:val="5000"/>
                    </w14:schemeClr>
                  </w14:solidFill>
                </w14:textFill>
              </w:rPr>
            </w:pPr>
          </w:p>
        </w:tc>
        <w:tc>
          <w:tcPr>
            <w:tcW w:w="1559"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80" w:hRule="atLeast"/>
        </w:trPr>
        <w:tc>
          <w:tcPr>
            <w:tcW w:w="9356" w:type="dxa"/>
            <w:gridSpan w:val="4"/>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方正小标宋_GBK" w:cs="宋体"/>
                <w:color w:val="0D0D0D" w:themeColor="text1" w:themeTint="F2"/>
                <w:kern w:val="0"/>
                <w:sz w:val="36"/>
                <w:szCs w:val="36"/>
                <w14:textFill>
                  <w14:solidFill>
                    <w14:schemeClr w14:val="tx1">
                      <w14:lumMod w14:val="95000"/>
                      <w14:lumOff w14:val="5000"/>
                    </w14:schemeClr>
                  </w14:solidFill>
                </w14:textFill>
              </w:rPr>
            </w:pPr>
            <w:r>
              <w:rPr>
                <w:rFonts w:hint="eastAsia" w:eastAsia="方正小标宋_GBK" w:cs="宋体"/>
                <w:color w:val="0D0D0D" w:themeColor="text1" w:themeTint="F2"/>
                <w:kern w:val="0"/>
                <w:sz w:val="36"/>
                <w:szCs w:val="36"/>
                <w14:textFill>
                  <w14:solidFill>
                    <w14:schemeClr w14:val="tx1">
                      <w14:lumMod w14:val="95000"/>
                      <w14:lumOff w14:val="5000"/>
                    </w14:schemeClr>
                  </w14:solidFill>
                </w14:textFill>
              </w:rPr>
              <w:t>2023年“三公”经费预算表</w:t>
            </w:r>
          </w:p>
        </w:tc>
      </w:tr>
      <w:tr>
        <w:tblPrEx>
          <w:tblCellMar>
            <w:top w:w="0" w:type="dxa"/>
            <w:left w:w="108" w:type="dxa"/>
            <w:bottom w:w="0" w:type="dxa"/>
            <w:right w:w="108" w:type="dxa"/>
          </w:tblCellMar>
        </w:tblPrEx>
        <w:trPr>
          <w:trHeight w:val="324" w:hRule="atLeast"/>
        </w:trPr>
        <w:tc>
          <w:tcPr>
            <w:tcW w:w="4678"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方正小标宋_GBK" w:cs="宋体"/>
                <w:color w:val="0D0D0D" w:themeColor="text1" w:themeTint="F2"/>
                <w:kern w:val="0"/>
                <w:sz w:val="36"/>
                <w:szCs w:val="36"/>
                <w14:textFill>
                  <w14:solidFill>
                    <w14:schemeClr w14:val="tx1">
                      <w14:lumMod w14:val="95000"/>
                      <w14:lumOff w14:val="5000"/>
                    </w14:schemeClr>
                  </w14:solidFill>
                </w14:textFill>
              </w:rPr>
            </w:pPr>
          </w:p>
        </w:tc>
        <w:tc>
          <w:tcPr>
            <w:tcW w:w="1418"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701"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559" w:type="dxa"/>
            <w:tcBorders>
              <w:top w:val="nil"/>
              <w:left w:val="nil"/>
              <w:bottom w:val="nil"/>
              <w:right w:val="nil"/>
            </w:tcBorders>
            <w:shd w:val="clear" w:color="auto" w:fill="auto"/>
            <w:noWrap/>
            <w:vAlign w:val="bottom"/>
          </w:tcPr>
          <w:p>
            <w:pPr>
              <w:widowControl/>
              <w:adjustRightInd w:val="0"/>
              <w:snapToGrid w:val="0"/>
              <w:spacing w:line="240" w:lineRule="auto"/>
              <w:ind w:firstLine="0" w:firstLineChars="0"/>
              <w:jc w:val="right"/>
              <w:rPr>
                <w:rFonts w:eastAsia="方正楷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楷体_GBK" w:cs="宋体"/>
                <w:color w:val="0D0D0D" w:themeColor="text1" w:themeTint="F2"/>
                <w:kern w:val="0"/>
                <w:sz w:val="24"/>
                <w:szCs w:val="24"/>
                <w14:textFill>
                  <w14:solidFill>
                    <w14:schemeClr w14:val="tx1">
                      <w14:lumMod w14:val="95000"/>
                      <w14:lumOff w14:val="5000"/>
                    </w14:schemeClr>
                  </w14:solidFill>
                </w14:textFill>
              </w:rPr>
              <w:t>单位：万元</w:t>
            </w:r>
          </w:p>
        </w:tc>
      </w:tr>
      <w:tr>
        <w:tblPrEx>
          <w:tblCellMar>
            <w:top w:w="0" w:type="dxa"/>
            <w:left w:w="108" w:type="dxa"/>
            <w:bottom w:w="0" w:type="dxa"/>
            <w:right w:w="108" w:type="dxa"/>
          </w:tblCellMar>
        </w:tblPrEx>
        <w:trPr>
          <w:trHeight w:val="324" w:hRule="atLeast"/>
        </w:trPr>
        <w:tc>
          <w:tcPr>
            <w:tcW w:w="46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项      目</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2022年</w:t>
            </w:r>
          </w:p>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预算数</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2023年</w:t>
            </w:r>
          </w:p>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预算数</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较2022年</w:t>
            </w:r>
          </w:p>
          <w:p>
            <w:pPr>
              <w:widowControl/>
              <w:adjustRightInd w:val="0"/>
              <w:snapToGrid w:val="0"/>
              <w:spacing w:line="240" w:lineRule="auto"/>
              <w:ind w:firstLine="0" w:firstLineChars="0"/>
              <w:jc w:val="center"/>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24"/>
                <w:szCs w:val="24"/>
                <w14:textFill>
                  <w14:solidFill>
                    <w14:schemeClr w14:val="tx1">
                      <w14:lumMod w14:val="95000"/>
                      <w14:lumOff w14:val="5000"/>
                    </w14:schemeClr>
                  </w14:solidFill>
                </w14:textFill>
              </w:rPr>
              <w:t>预算±%</w:t>
            </w:r>
          </w:p>
        </w:tc>
      </w:tr>
      <w:tr>
        <w:tblPrEx>
          <w:tblCellMar>
            <w:top w:w="0" w:type="dxa"/>
            <w:left w:w="108" w:type="dxa"/>
            <w:bottom w:w="0" w:type="dxa"/>
            <w:right w:w="108" w:type="dxa"/>
          </w:tblCellMar>
        </w:tblPrEx>
        <w:trPr>
          <w:trHeight w:val="324" w:hRule="atLeast"/>
        </w:trPr>
        <w:tc>
          <w:tcPr>
            <w:tcW w:w="467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 xml:space="preserve">合    计 </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eastAsia="宋体" w:cs="宋体"/>
                <w:b/>
                <w:bCs/>
                <w:color w:val="0D0D0D" w:themeColor="text1" w:themeTint="F2"/>
                <w:kern w:val="0"/>
                <w:sz w:val="24"/>
                <w:szCs w:val="24"/>
                <w14:textFill>
                  <w14:solidFill>
                    <w14:schemeClr w14:val="tx1">
                      <w14:lumMod w14:val="95000"/>
                      <w14:lumOff w14:val="5000"/>
                    </w14:schemeClr>
                  </w14:solidFill>
                </w14:textFill>
              </w:rPr>
              <w:t>1,876</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1,721</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eastAsia="宋体" w:cs="宋体"/>
                <w:b/>
                <w:bCs/>
                <w:color w:val="0D0D0D" w:themeColor="text1" w:themeTint="F2"/>
                <w:kern w:val="0"/>
                <w:sz w:val="24"/>
                <w:szCs w:val="24"/>
                <w14:textFill>
                  <w14:solidFill>
                    <w14:schemeClr w14:val="tx1">
                      <w14:lumMod w14:val="95000"/>
                      <w14:lumOff w14:val="5000"/>
                    </w14:schemeClr>
                  </w14:solidFill>
                </w14:textFill>
              </w:rPr>
              <w:t xml:space="preserve">-8.3 </w:t>
            </w:r>
          </w:p>
        </w:tc>
      </w:tr>
      <w:tr>
        <w:tblPrEx>
          <w:tblCellMar>
            <w:top w:w="0" w:type="dxa"/>
            <w:left w:w="108" w:type="dxa"/>
            <w:bottom w:w="0" w:type="dxa"/>
            <w:right w:w="108" w:type="dxa"/>
          </w:tblCellMar>
        </w:tblPrEx>
        <w:trPr>
          <w:trHeight w:val="324" w:hRule="atLeast"/>
        </w:trPr>
        <w:tc>
          <w:tcPr>
            <w:tcW w:w="467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1、因公出国（境）费用</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eastAsia="宋体" w:cs="宋体"/>
                <w:color w:val="0D0D0D" w:themeColor="text1" w:themeTint="F2"/>
                <w:kern w:val="0"/>
                <w:sz w:val="24"/>
                <w:szCs w:val="24"/>
                <w14:textFill>
                  <w14:solidFill>
                    <w14:schemeClr w14:val="tx1">
                      <w14:lumMod w14:val="95000"/>
                      <w14:lumOff w14:val="5000"/>
                    </w14:schemeClr>
                  </w14:solidFill>
                </w14:textFill>
              </w:rPr>
              <w:t>30</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100</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eastAsia="宋体" w:cs="宋体"/>
                <w:color w:val="0D0D0D" w:themeColor="text1" w:themeTint="F2"/>
                <w:kern w:val="0"/>
                <w:sz w:val="24"/>
                <w:szCs w:val="24"/>
                <w14:textFill>
                  <w14:solidFill>
                    <w14:schemeClr w14:val="tx1">
                      <w14:lumMod w14:val="95000"/>
                      <w14:lumOff w14:val="5000"/>
                    </w14:schemeClr>
                  </w14:solidFill>
                </w14:textFill>
              </w:rPr>
              <w:t xml:space="preserve">233.3 </w:t>
            </w:r>
          </w:p>
        </w:tc>
      </w:tr>
      <w:tr>
        <w:tblPrEx>
          <w:tblCellMar>
            <w:top w:w="0" w:type="dxa"/>
            <w:left w:w="108" w:type="dxa"/>
            <w:bottom w:w="0" w:type="dxa"/>
            <w:right w:w="108" w:type="dxa"/>
          </w:tblCellMar>
        </w:tblPrEx>
        <w:trPr>
          <w:trHeight w:val="324" w:hRule="atLeast"/>
        </w:trPr>
        <w:tc>
          <w:tcPr>
            <w:tcW w:w="467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2、公务接待费</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eastAsia="宋体" w:cs="宋体"/>
                <w:color w:val="0D0D0D" w:themeColor="text1" w:themeTint="F2"/>
                <w:kern w:val="0"/>
                <w:sz w:val="24"/>
                <w:szCs w:val="24"/>
                <w14:textFill>
                  <w14:solidFill>
                    <w14:schemeClr w14:val="tx1">
                      <w14:lumMod w14:val="95000"/>
                      <w14:lumOff w14:val="5000"/>
                    </w14:schemeClr>
                  </w14:solidFill>
                </w14:textFill>
              </w:rPr>
              <w:t>114</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93</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eastAsia="宋体" w:cs="宋体"/>
                <w:color w:val="0D0D0D" w:themeColor="text1" w:themeTint="F2"/>
                <w:kern w:val="0"/>
                <w:sz w:val="24"/>
                <w:szCs w:val="24"/>
                <w14:textFill>
                  <w14:solidFill>
                    <w14:schemeClr w14:val="tx1">
                      <w14:lumMod w14:val="95000"/>
                      <w14:lumOff w14:val="5000"/>
                    </w14:schemeClr>
                  </w14:solidFill>
                </w14:textFill>
              </w:rPr>
              <w:t xml:space="preserve">-18.4 </w:t>
            </w:r>
          </w:p>
        </w:tc>
      </w:tr>
      <w:tr>
        <w:tblPrEx>
          <w:tblCellMar>
            <w:top w:w="0" w:type="dxa"/>
            <w:left w:w="108" w:type="dxa"/>
            <w:bottom w:w="0" w:type="dxa"/>
            <w:right w:w="108" w:type="dxa"/>
          </w:tblCellMar>
        </w:tblPrEx>
        <w:trPr>
          <w:trHeight w:val="324" w:hRule="atLeast"/>
        </w:trPr>
        <w:tc>
          <w:tcPr>
            <w:tcW w:w="4678"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3、公务用车购置及运行维护费</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eastAsia="宋体" w:cs="宋体"/>
                <w:color w:val="0D0D0D" w:themeColor="text1" w:themeTint="F2"/>
                <w:kern w:val="0"/>
                <w:sz w:val="24"/>
                <w:szCs w:val="24"/>
                <w14:textFill>
                  <w14:solidFill>
                    <w14:schemeClr w14:val="tx1">
                      <w14:lumMod w14:val="95000"/>
                      <w14:lumOff w14:val="5000"/>
                    </w14:schemeClr>
                  </w14:solidFill>
                </w14:textFill>
              </w:rPr>
              <w:t>1,732</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1,528</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eastAsia="宋体" w:cs="宋体"/>
                <w:color w:val="0D0D0D" w:themeColor="text1" w:themeTint="F2"/>
                <w:kern w:val="0"/>
                <w:sz w:val="24"/>
                <w:szCs w:val="24"/>
                <w14:textFill>
                  <w14:solidFill>
                    <w14:schemeClr w14:val="tx1">
                      <w14:lumMod w14:val="95000"/>
                      <w14:lumOff w14:val="5000"/>
                    </w14:schemeClr>
                  </w14:solidFill>
                </w14:textFill>
              </w:rPr>
              <w:t xml:space="preserve">-11.8 </w:t>
            </w:r>
          </w:p>
        </w:tc>
      </w:tr>
      <w:tr>
        <w:tblPrEx>
          <w:tblCellMar>
            <w:top w:w="0" w:type="dxa"/>
            <w:left w:w="108" w:type="dxa"/>
            <w:bottom w:w="0" w:type="dxa"/>
            <w:right w:w="108" w:type="dxa"/>
          </w:tblCellMar>
        </w:tblPrEx>
        <w:trPr>
          <w:trHeight w:val="324" w:hRule="atLeast"/>
        </w:trPr>
        <w:tc>
          <w:tcPr>
            <w:tcW w:w="467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240" w:firstLineChars="10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其中：（1）公务用车运行维护费</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eastAsia="宋体" w:cs="宋体"/>
                <w:color w:val="0D0D0D" w:themeColor="text1" w:themeTint="F2"/>
                <w:kern w:val="0"/>
                <w:sz w:val="24"/>
                <w:szCs w:val="24"/>
                <w14:textFill>
                  <w14:solidFill>
                    <w14:schemeClr w14:val="tx1">
                      <w14:lumMod w14:val="95000"/>
                      <w14:lumOff w14:val="5000"/>
                    </w14:schemeClr>
                  </w14:solidFill>
                </w14:textFill>
              </w:rPr>
              <w:t>1,412</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1,214</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eastAsia="宋体" w:cs="宋体"/>
                <w:color w:val="0D0D0D" w:themeColor="text1" w:themeTint="F2"/>
                <w:kern w:val="0"/>
                <w:sz w:val="24"/>
                <w:szCs w:val="24"/>
                <w14:textFill>
                  <w14:solidFill>
                    <w14:schemeClr w14:val="tx1">
                      <w14:lumMod w14:val="95000"/>
                      <w14:lumOff w14:val="5000"/>
                    </w14:schemeClr>
                  </w14:solidFill>
                </w14:textFill>
              </w:rPr>
              <w:t xml:space="preserve">-14.0 </w:t>
            </w:r>
          </w:p>
        </w:tc>
      </w:tr>
      <w:tr>
        <w:tblPrEx>
          <w:tblCellMar>
            <w:top w:w="0" w:type="dxa"/>
            <w:left w:w="108" w:type="dxa"/>
            <w:bottom w:w="0" w:type="dxa"/>
            <w:right w:w="108" w:type="dxa"/>
          </w:tblCellMar>
        </w:tblPrEx>
        <w:trPr>
          <w:trHeight w:val="324" w:hRule="atLeast"/>
        </w:trPr>
        <w:tc>
          <w:tcPr>
            <w:tcW w:w="467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（2）公务用车购置费</w:t>
            </w:r>
          </w:p>
        </w:tc>
        <w:tc>
          <w:tcPr>
            <w:tcW w:w="14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eastAsia="宋体" w:cs="宋体"/>
                <w:color w:val="0D0D0D" w:themeColor="text1" w:themeTint="F2"/>
                <w:kern w:val="0"/>
                <w:sz w:val="24"/>
                <w:szCs w:val="24"/>
                <w14:textFill>
                  <w14:solidFill>
                    <w14:schemeClr w14:val="tx1">
                      <w14:lumMod w14:val="95000"/>
                      <w14:lumOff w14:val="5000"/>
                    </w14:schemeClr>
                  </w14:solidFill>
                </w14:textFill>
              </w:rPr>
              <w:t>320</w:t>
            </w:r>
          </w:p>
        </w:tc>
        <w:tc>
          <w:tcPr>
            <w:tcW w:w="1701"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314</w:t>
            </w:r>
          </w:p>
        </w:tc>
        <w:tc>
          <w:tcPr>
            <w:tcW w:w="155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eastAsia="宋体" w:cs="宋体"/>
                <w:color w:val="0D0D0D" w:themeColor="text1" w:themeTint="F2"/>
                <w:kern w:val="0"/>
                <w:sz w:val="24"/>
                <w:szCs w:val="24"/>
                <w14:textFill>
                  <w14:solidFill>
                    <w14:schemeClr w14:val="tx1">
                      <w14:lumMod w14:val="95000"/>
                      <w14:lumOff w14:val="5000"/>
                    </w14:schemeClr>
                  </w14:solidFill>
                </w14:textFill>
              </w:rPr>
              <w:t xml:space="preserve">-1.9 </w:t>
            </w:r>
          </w:p>
        </w:tc>
      </w:tr>
    </w:tbl>
    <w:p>
      <w:pPr>
        <w:widowControl/>
        <w:spacing w:line="240" w:lineRule="auto"/>
        <w:ind w:firstLine="0" w:firstLineChars="0"/>
        <w:rPr>
          <w:rFonts w:eastAsia="方正楷体_GBK"/>
          <w:bCs/>
          <w:color w:val="0D0D0D" w:themeColor="text1" w:themeTint="F2"/>
          <w:kern w:val="44"/>
          <w:szCs w:val="44"/>
          <w14:textFill>
            <w14:solidFill>
              <w14:schemeClr w14:val="tx1">
                <w14:lumMod w14:val="95000"/>
                <w14:lumOff w14:val="5000"/>
              </w14:schemeClr>
            </w14:solidFill>
          </w14:textFill>
        </w:rPr>
      </w:pPr>
    </w:p>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pPr>
      <w:r>
        <w:rPr>
          <w:rFonts w:eastAsia="方正楷体_GBK"/>
          <w:bCs/>
          <w:color w:val="0D0D0D" w:themeColor="text1" w:themeTint="F2"/>
          <w:kern w:val="44"/>
          <w:szCs w:val="44"/>
          <w14:textFill>
            <w14:solidFill>
              <w14:schemeClr w14:val="tx1">
                <w14:lumMod w14:val="95000"/>
                <w14:lumOff w14:val="5000"/>
              </w14:schemeClr>
            </w14:solidFill>
          </w14:textFill>
        </w:rPr>
        <w:br w:type="page"/>
      </w:r>
    </w:p>
    <w:tbl>
      <w:tblPr>
        <w:tblStyle w:val="7"/>
        <w:tblW w:w="9420" w:type="dxa"/>
        <w:tblInd w:w="0" w:type="dxa"/>
        <w:tblLayout w:type="autofit"/>
        <w:tblCellMar>
          <w:top w:w="0" w:type="dxa"/>
          <w:left w:w="108" w:type="dxa"/>
          <w:bottom w:w="0" w:type="dxa"/>
          <w:right w:w="108" w:type="dxa"/>
        </w:tblCellMar>
      </w:tblPr>
      <w:tblGrid>
        <w:gridCol w:w="1460"/>
        <w:gridCol w:w="1360"/>
        <w:gridCol w:w="1260"/>
        <w:gridCol w:w="1240"/>
        <w:gridCol w:w="907"/>
        <w:gridCol w:w="1440"/>
        <w:gridCol w:w="1900"/>
      </w:tblGrid>
      <w:tr>
        <w:tblPrEx>
          <w:tblCellMar>
            <w:top w:w="0" w:type="dxa"/>
            <w:left w:w="108" w:type="dxa"/>
            <w:bottom w:w="0" w:type="dxa"/>
            <w:right w:w="108" w:type="dxa"/>
          </w:tblCellMar>
        </w:tblPrEx>
        <w:trPr>
          <w:trHeight w:val="324" w:hRule="atLeast"/>
        </w:trPr>
        <w:tc>
          <w:tcPr>
            <w:tcW w:w="1460" w:type="dxa"/>
            <w:tcBorders>
              <w:top w:val="nil"/>
              <w:left w:val="nil"/>
              <w:bottom w:val="nil"/>
              <w:right w:val="nil"/>
            </w:tcBorders>
            <w:shd w:val="clear" w:color="auto" w:fill="auto"/>
            <w:noWrap/>
            <w:vAlign w:val="bottom"/>
          </w:tcPr>
          <w:p>
            <w:pPr>
              <w:widowControl/>
              <w:spacing w:line="240" w:lineRule="auto"/>
              <w:ind w:firstLine="0" w:firstLineChars="0"/>
              <w:jc w:val="left"/>
              <w:rPr>
                <w:rFonts w:eastAsia="方正黑体_GBK" w:cs="宋体"/>
                <w:color w:val="0D0D0D" w:themeColor="text1" w:themeTint="F2"/>
                <w:kern w:val="0"/>
                <w:sz w:val="24"/>
                <w:szCs w:val="24"/>
                <w14:textFill>
                  <w14:solidFill>
                    <w14:schemeClr w14:val="tx1">
                      <w14:lumMod w14:val="95000"/>
                      <w14:lumOff w14:val="5000"/>
                    </w14:schemeClr>
                  </w14:solidFill>
                </w14:textFill>
              </w:rPr>
            </w:pPr>
            <w:r>
              <w:rPr>
                <w:rFonts w:hint="eastAsia" w:eastAsia="方正黑体_GBK" w:cs="宋体"/>
                <w:color w:val="0D0D0D" w:themeColor="text1" w:themeTint="F2"/>
                <w:kern w:val="0"/>
                <w:sz w:val="30"/>
                <w:szCs w:val="30"/>
                <w14:textFill>
                  <w14:solidFill>
                    <w14:schemeClr w14:val="tx1">
                      <w14:lumMod w14:val="95000"/>
                      <w14:lumOff w14:val="5000"/>
                    </w14:schemeClr>
                  </w14:solidFill>
                </w14:textFill>
              </w:rPr>
              <w:t>表</w:t>
            </w:r>
            <w:r>
              <w:rPr>
                <w:rFonts w:eastAsia="方正黑体_GBK" w:cs="宋体"/>
                <w:color w:val="0D0D0D" w:themeColor="text1" w:themeTint="F2"/>
                <w:kern w:val="0"/>
                <w:sz w:val="30"/>
                <w:szCs w:val="30"/>
                <w14:textFill>
                  <w14:solidFill>
                    <w14:schemeClr w14:val="tx1">
                      <w14:lumMod w14:val="95000"/>
                      <w14:lumOff w14:val="5000"/>
                    </w14:schemeClr>
                  </w14:solidFill>
                </w14:textFill>
              </w:rPr>
              <w:t>20</w:t>
            </w:r>
          </w:p>
        </w:tc>
        <w:tc>
          <w:tcPr>
            <w:tcW w:w="1360" w:type="dxa"/>
            <w:tcBorders>
              <w:top w:val="nil"/>
              <w:left w:val="nil"/>
              <w:bottom w:val="nil"/>
              <w:right w:val="nil"/>
            </w:tcBorders>
            <w:shd w:val="clear" w:color="auto" w:fill="auto"/>
            <w:noWrap/>
            <w:vAlign w:val="bottom"/>
          </w:tcPr>
          <w:p>
            <w:pPr>
              <w:widowControl/>
              <w:spacing w:line="240" w:lineRule="auto"/>
              <w:ind w:firstLine="0" w:firstLineChars="0"/>
              <w:jc w:val="left"/>
              <w:rPr>
                <w:rFonts w:eastAsia="方正黑体_GBK" w:cs="宋体"/>
                <w:color w:val="0D0D0D" w:themeColor="text1" w:themeTint="F2"/>
                <w:kern w:val="0"/>
                <w:sz w:val="24"/>
                <w:szCs w:val="24"/>
                <w14:textFill>
                  <w14:solidFill>
                    <w14:schemeClr w14:val="tx1">
                      <w14:lumMod w14:val="95000"/>
                      <w14:lumOff w14:val="5000"/>
                    </w14:schemeClr>
                  </w14:solidFill>
                </w14:textFill>
              </w:rPr>
            </w:pPr>
          </w:p>
        </w:tc>
        <w:tc>
          <w:tcPr>
            <w:tcW w:w="1260" w:type="dxa"/>
            <w:tcBorders>
              <w:top w:val="nil"/>
              <w:left w:val="nil"/>
              <w:bottom w:val="nil"/>
              <w:right w:val="nil"/>
            </w:tcBorders>
            <w:shd w:val="clear" w:color="auto" w:fill="auto"/>
            <w:noWrap/>
            <w:vAlign w:val="bottom"/>
          </w:tcPr>
          <w:p>
            <w:pPr>
              <w:widowControl/>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240" w:type="dxa"/>
            <w:tcBorders>
              <w:top w:val="nil"/>
              <w:left w:val="nil"/>
              <w:bottom w:val="nil"/>
              <w:right w:val="nil"/>
            </w:tcBorders>
            <w:shd w:val="clear" w:color="auto" w:fill="auto"/>
            <w:noWrap/>
            <w:vAlign w:val="bottom"/>
          </w:tcPr>
          <w:p>
            <w:pPr>
              <w:widowControl/>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760" w:type="dxa"/>
            <w:tcBorders>
              <w:top w:val="nil"/>
              <w:left w:val="nil"/>
              <w:bottom w:val="nil"/>
              <w:right w:val="nil"/>
            </w:tcBorders>
            <w:shd w:val="clear" w:color="auto" w:fill="auto"/>
            <w:noWrap/>
            <w:vAlign w:val="bottom"/>
          </w:tcPr>
          <w:p>
            <w:pPr>
              <w:widowControl/>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440" w:type="dxa"/>
            <w:tcBorders>
              <w:top w:val="nil"/>
              <w:left w:val="nil"/>
              <w:bottom w:val="nil"/>
              <w:right w:val="nil"/>
            </w:tcBorders>
            <w:shd w:val="clear" w:color="auto" w:fill="auto"/>
            <w:noWrap/>
            <w:vAlign w:val="bottom"/>
          </w:tcPr>
          <w:p>
            <w:pPr>
              <w:widowControl/>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900" w:type="dxa"/>
            <w:tcBorders>
              <w:top w:val="nil"/>
              <w:left w:val="nil"/>
              <w:bottom w:val="nil"/>
              <w:right w:val="nil"/>
            </w:tcBorders>
            <w:shd w:val="clear" w:color="auto" w:fill="auto"/>
            <w:noWrap/>
            <w:vAlign w:val="bottom"/>
          </w:tcPr>
          <w:p>
            <w:pPr>
              <w:widowControl/>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32" w:hRule="atLeast"/>
        </w:trPr>
        <w:tc>
          <w:tcPr>
            <w:tcW w:w="9420" w:type="dxa"/>
            <w:gridSpan w:val="7"/>
            <w:tcBorders>
              <w:top w:val="nil"/>
              <w:left w:val="nil"/>
              <w:bottom w:val="nil"/>
              <w:right w:val="nil"/>
            </w:tcBorders>
            <w:shd w:val="clear" w:color="auto" w:fill="auto"/>
            <w:vAlign w:val="center"/>
          </w:tcPr>
          <w:p>
            <w:pPr>
              <w:widowControl/>
              <w:spacing w:line="240" w:lineRule="auto"/>
              <w:ind w:firstLine="0" w:firstLineChars="0"/>
              <w:jc w:val="center"/>
              <w:rPr>
                <w:rFonts w:eastAsia="方正小标宋_GBK" w:cs="宋体"/>
                <w:color w:val="0D0D0D" w:themeColor="text1" w:themeTint="F2"/>
                <w:kern w:val="0"/>
                <w:szCs w:val="32"/>
                <w14:textFill>
                  <w14:solidFill>
                    <w14:schemeClr w14:val="tx1">
                      <w14:lumMod w14:val="95000"/>
                      <w14:lumOff w14:val="5000"/>
                    </w14:schemeClr>
                  </w14:solidFill>
                </w14:textFill>
              </w:rPr>
            </w:pPr>
            <w:r>
              <w:rPr>
                <w:rFonts w:hint="eastAsia" w:eastAsia="方正小标宋_GBK" w:cs="宋体"/>
                <w:color w:val="0D0D0D" w:themeColor="text1" w:themeTint="F2"/>
                <w:kern w:val="0"/>
                <w:szCs w:val="32"/>
                <w14:textFill>
                  <w14:solidFill>
                    <w14:schemeClr w14:val="tx1">
                      <w14:lumMod w14:val="95000"/>
                      <w14:lumOff w14:val="5000"/>
                    </w14:schemeClr>
                  </w14:solidFill>
                </w14:textFill>
              </w:rPr>
              <w:t>2022年地方政府债务限额及余额情况表</w:t>
            </w:r>
          </w:p>
        </w:tc>
      </w:tr>
      <w:tr>
        <w:tblPrEx>
          <w:tblCellMar>
            <w:top w:w="0" w:type="dxa"/>
            <w:left w:w="108" w:type="dxa"/>
            <w:bottom w:w="0" w:type="dxa"/>
            <w:right w:w="108" w:type="dxa"/>
          </w:tblCellMar>
        </w:tblPrEx>
        <w:trPr>
          <w:trHeight w:val="288" w:hRule="atLeast"/>
        </w:trPr>
        <w:tc>
          <w:tcPr>
            <w:tcW w:w="1460"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rFonts w:eastAsia="方正小标宋_GBK" w:cs="宋体"/>
                <w:color w:val="0D0D0D" w:themeColor="text1" w:themeTint="F2"/>
                <w:kern w:val="0"/>
                <w:szCs w:val="32"/>
                <w14:textFill>
                  <w14:solidFill>
                    <w14:schemeClr w14:val="tx1">
                      <w14:lumMod w14:val="95000"/>
                      <w14:lumOff w14:val="5000"/>
                    </w14:schemeClr>
                  </w14:solidFill>
                </w14:textFill>
              </w:rPr>
            </w:pPr>
          </w:p>
        </w:tc>
        <w:tc>
          <w:tcPr>
            <w:tcW w:w="1360" w:type="dxa"/>
            <w:tcBorders>
              <w:top w:val="nil"/>
              <w:left w:val="nil"/>
              <w:bottom w:val="single" w:color="auto" w:sz="4" w:space="0"/>
              <w:right w:val="nil"/>
            </w:tcBorders>
            <w:shd w:val="clear" w:color="auto" w:fill="auto"/>
            <w:vAlign w:val="center"/>
          </w:tcPr>
          <w:p>
            <w:pPr>
              <w:widowControl/>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260"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240"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760"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440" w:type="dxa"/>
            <w:tcBorders>
              <w:top w:val="nil"/>
              <w:left w:val="nil"/>
              <w:bottom w:val="single" w:color="auto" w:sz="4" w:space="0"/>
              <w:right w:val="nil"/>
            </w:tcBorders>
            <w:shd w:val="clear" w:color="auto" w:fill="auto"/>
            <w:noWrap/>
            <w:vAlign w:val="center"/>
          </w:tcPr>
          <w:p>
            <w:pPr>
              <w:widowControl/>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900" w:type="dxa"/>
            <w:tcBorders>
              <w:top w:val="nil"/>
              <w:left w:val="nil"/>
              <w:bottom w:val="single" w:color="auto" w:sz="4" w:space="0"/>
              <w:right w:val="nil"/>
            </w:tcBorders>
            <w:shd w:val="clear" w:color="auto" w:fill="auto"/>
            <w:vAlign w:val="center"/>
          </w:tcPr>
          <w:p>
            <w:pPr>
              <w:widowControl/>
              <w:spacing w:line="240" w:lineRule="auto"/>
              <w:ind w:firstLine="0" w:firstLineChars="0"/>
              <w:jc w:val="right"/>
              <w:rPr>
                <w:rFonts w:eastAsia="宋体" w:cs="宋体"/>
                <w:color w:val="0D0D0D" w:themeColor="text1" w:themeTint="F2"/>
                <w:kern w:val="0"/>
                <w:sz w:val="18"/>
                <w:szCs w:val="18"/>
                <w14:textFill>
                  <w14:solidFill>
                    <w14:schemeClr w14:val="tx1">
                      <w14:lumMod w14:val="95000"/>
                      <w14:lumOff w14:val="5000"/>
                    </w14:schemeClr>
                  </w14:solidFill>
                </w14:textFill>
              </w:rPr>
            </w:pPr>
            <w:r>
              <w:rPr>
                <w:rFonts w:hint="eastAsia" w:eastAsia="宋体" w:cs="宋体"/>
                <w:color w:val="0D0D0D" w:themeColor="text1" w:themeTint="F2"/>
                <w:kern w:val="0"/>
                <w:sz w:val="18"/>
                <w:szCs w:val="18"/>
                <w14:textFill>
                  <w14:solidFill>
                    <w14:schemeClr w14:val="tx1">
                      <w14:lumMod w14:val="95000"/>
                      <w14:lumOff w14:val="5000"/>
                    </w14:schemeClr>
                  </w14:solidFill>
                </w14:textFill>
              </w:rPr>
              <w:t>单位：亿元</w:t>
            </w:r>
          </w:p>
        </w:tc>
      </w:tr>
      <w:tr>
        <w:tblPrEx>
          <w:tblCellMar>
            <w:top w:w="0" w:type="dxa"/>
            <w:left w:w="108" w:type="dxa"/>
            <w:bottom w:w="0" w:type="dxa"/>
            <w:right w:w="108" w:type="dxa"/>
          </w:tblCellMar>
        </w:tblPrEx>
        <w:trPr>
          <w:trHeight w:val="300" w:hRule="atLeast"/>
        </w:trPr>
        <w:tc>
          <w:tcPr>
            <w:tcW w:w="14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b/>
                <w:bCs/>
                <w:color w:val="0D0D0D" w:themeColor="text1" w:themeTint="F2"/>
                <w:kern w:val="0"/>
                <w:sz w:val="22"/>
                <w14:textFill>
                  <w14:solidFill>
                    <w14:schemeClr w14:val="tx1">
                      <w14:lumMod w14:val="95000"/>
                      <w14:lumOff w14:val="5000"/>
                    </w14:schemeClr>
                  </w14:solidFill>
                </w14:textFill>
              </w:rPr>
            </w:pPr>
            <w:r>
              <w:rPr>
                <w:rFonts w:hint="eastAsia" w:eastAsia="宋体" w:cs="宋体"/>
                <w:b/>
                <w:bCs/>
                <w:color w:val="0D0D0D" w:themeColor="text1" w:themeTint="F2"/>
                <w:kern w:val="0"/>
                <w:sz w:val="22"/>
                <w14:textFill>
                  <w14:solidFill>
                    <w14:schemeClr w14:val="tx1">
                      <w14:lumMod w14:val="95000"/>
                      <w14:lumOff w14:val="5000"/>
                    </w14:schemeClr>
                  </w14:solidFill>
                </w14:textFill>
              </w:rPr>
              <w:t>地   区</w:t>
            </w:r>
          </w:p>
        </w:tc>
        <w:tc>
          <w:tcPr>
            <w:tcW w:w="38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b/>
                <w:bCs/>
                <w:color w:val="0D0D0D" w:themeColor="text1" w:themeTint="F2"/>
                <w:kern w:val="0"/>
                <w:sz w:val="22"/>
                <w14:textFill>
                  <w14:solidFill>
                    <w14:schemeClr w14:val="tx1">
                      <w14:lumMod w14:val="95000"/>
                      <w14:lumOff w14:val="5000"/>
                    </w14:schemeClr>
                  </w14:solidFill>
                </w14:textFill>
              </w:rPr>
            </w:pPr>
            <w:r>
              <w:rPr>
                <w:rFonts w:hint="eastAsia" w:eastAsia="宋体" w:cs="宋体"/>
                <w:b/>
                <w:bCs/>
                <w:color w:val="0D0D0D" w:themeColor="text1" w:themeTint="F2"/>
                <w:kern w:val="0"/>
                <w:sz w:val="22"/>
                <w14:textFill>
                  <w14:solidFill>
                    <w14:schemeClr w14:val="tx1">
                      <w14:lumMod w14:val="95000"/>
                      <w14:lumOff w14:val="5000"/>
                    </w14:schemeClr>
                  </w14:solidFill>
                </w14:textFill>
              </w:rPr>
              <w:t>2022年债务限额</w:t>
            </w:r>
          </w:p>
        </w:tc>
        <w:tc>
          <w:tcPr>
            <w:tcW w:w="41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b/>
                <w:bCs/>
                <w:color w:val="0D0D0D" w:themeColor="text1" w:themeTint="F2"/>
                <w:kern w:val="0"/>
                <w:sz w:val="22"/>
                <w14:textFill>
                  <w14:solidFill>
                    <w14:schemeClr w14:val="tx1">
                      <w14:lumMod w14:val="95000"/>
                      <w14:lumOff w14:val="5000"/>
                    </w14:schemeClr>
                  </w14:solidFill>
                </w14:textFill>
              </w:rPr>
            </w:pPr>
            <w:r>
              <w:rPr>
                <w:rFonts w:hint="eastAsia" w:eastAsia="宋体" w:cs="宋体"/>
                <w:b/>
                <w:bCs/>
                <w:color w:val="0D0D0D" w:themeColor="text1" w:themeTint="F2"/>
                <w:kern w:val="0"/>
                <w:sz w:val="22"/>
                <w14:textFill>
                  <w14:solidFill>
                    <w14:schemeClr w14:val="tx1">
                      <w14:lumMod w14:val="95000"/>
                      <w14:lumOff w14:val="5000"/>
                    </w14:schemeClr>
                  </w14:solidFill>
                </w14:textFill>
              </w:rPr>
              <w:t>2022年债务余额预计执行数</w:t>
            </w:r>
          </w:p>
        </w:tc>
      </w:tr>
      <w:tr>
        <w:tblPrEx>
          <w:tblCellMar>
            <w:top w:w="0" w:type="dxa"/>
            <w:left w:w="108" w:type="dxa"/>
            <w:bottom w:w="0" w:type="dxa"/>
            <w:right w:w="108" w:type="dxa"/>
          </w:tblCellMar>
        </w:tblPrEx>
        <w:trPr>
          <w:trHeight w:val="300" w:hRule="atLeast"/>
        </w:trPr>
        <w:tc>
          <w:tcPr>
            <w:tcW w:w="14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cs="宋体"/>
                <w:b/>
                <w:bCs/>
                <w:color w:val="0D0D0D" w:themeColor="text1" w:themeTint="F2"/>
                <w:kern w:val="0"/>
                <w:sz w:val="22"/>
                <w14:textFill>
                  <w14:solidFill>
                    <w14:schemeClr w14:val="tx1">
                      <w14:lumMod w14:val="95000"/>
                      <w14:lumOff w14:val="5000"/>
                    </w14:schemeClr>
                  </w14:solidFill>
                </w14:textFill>
              </w:rPr>
            </w:pP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宋体" w:cs="宋体"/>
                <w:b/>
                <w:bCs/>
                <w:color w:val="0D0D0D" w:themeColor="text1" w:themeTint="F2"/>
                <w:kern w:val="0"/>
                <w:sz w:val="22"/>
                <w14:textFill>
                  <w14:solidFill>
                    <w14:schemeClr w14:val="tx1">
                      <w14:lumMod w14:val="95000"/>
                      <w14:lumOff w14:val="5000"/>
                    </w14:schemeClr>
                  </w14:solidFill>
                </w14:textFill>
              </w:rPr>
            </w:pPr>
            <w:r>
              <w:rPr>
                <w:rFonts w:hint="eastAsia" w:eastAsia="宋体" w:cs="宋体"/>
                <w:b/>
                <w:bCs/>
                <w:color w:val="0D0D0D" w:themeColor="text1" w:themeTint="F2"/>
                <w:kern w:val="0"/>
                <w:sz w:val="22"/>
                <w14:textFill>
                  <w14:solidFill>
                    <w14:schemeClr w14:val="tx1">
                      <w14:lumMod w14:val="95000"/>
                      <w14:lumOff w14:val="5000"/>
                    </w14:schemeClr>
                  </w14:solidFill>
                </w14:textFill>
              </w:rPr>
              <w:t>　</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b/>
                <w:bCs/>
                <w:color w:val="0D0D0D" w:themeColor="text1" w:themeTint="F2"/>
                <w:kern w:val="0"/>
                <w:sz w:val="22"/>
                <w14:textFill>
                  <w14:solidFill>
                    <w14:schemeClr w14:val="tx1">
                      <w14:lumMod w14:val="95000"/>
                      <w14:lumOff w14:val="5000"/>
                    </w14:schemeClr>
                  </w14:solidFill>
                </w14:textFill>
              </w:rPr>
            </w:pPr>
            <w:r>
              <w:rPr>
                <w:rFonts w:hint="eastAsia" w:eastAsia="宋体" w:cs="宋体"/>
                <w:b/>
                <w:bCs/>
                <w:color w:val="0D0D0D" w:themeColor="text1" w:themeTint="F2"/>
                <w:kern w:val="0"/>
                <w:sz w:val="22"/>
                <w14:textFill>
                  <w14:solidFill>
                    <w14:schemeClr w14:val="tx1">
                      <w14:lumMod w14:val="95000"/>
                      <w14:lumOff w14:val="5000"/>
                    </w14:schemeClr>
                  </w14:solidFill>
                </w14:textFill>
              </w:rPr>
              <w:t>一般债务</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b/>
                <w:bCs/>
                <w:color w:val="0D0D0D" w:themeColor="text1" w:themeTint="F2"/>
                <w:kern w:val="0"/>
                <w:sz w:val="22"/>
                <w14:textFill>
                  <w14:solidFill>
                    <w14:schemeClr w14:val="tx1">
                      <w14:lumMod w14:val="95000"/>
                      <w14:lumOff w14:val="5000"/>
                    </w14:schemeClr>
                  </w14:solidFill>
                </w14:textFill>
              </w:rPr>
            </w:pPr>
            <w:r>
              <w:rPr>
                <w:rFonts w:hint="eastAsia" w:eastAsia="宋体" w:cs="宋体"/>
                <w:b/>
                <w:bCs/>
                <w:color w:val="0D0D0D" w:themeColor="text1" w:themeTint="F2"/>
                <w:kern w:val="0"/>
                <w:sz w:val="22"/>
                <w14:textFill>
                  <w14:solidFill>
                    <w14:schemeClr w14:val="tx1">
                      <w14:lumMod w14:val="95000"/>
                      <w14:lumOff w14:val="5000"/>
                    </w14:schemeClr>
                  </w14:solidFill>
                </w14:textFill>
              </w:rPr>
              <w:t>专项债务</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宋体" w:cs="宋体"/>
                <w:b/>
                <w:bCs/>
                <w:color w:val="0D0D0D" w:themeColor="text1" w:themeTint="F2"/>
                <w:kern w:val="0"/>
                <w:sz w:val="22"/>
                <w14:textFill>
                  <w14:solidFill>
                    <w14:schemeClr w14:val="tx1">
                      <w14:lumMod w14:val="95000"/>
                      <w14:lumOff w14:val="5000"/>
                    </w14:schemeClr>
                  </w14:solidFill>
                </w14:textFill>
              </w:rPr>
            </w:pPr>
            <w:r>
              <w:rPr>
                <w:rFonts w:hint="eastAsia" w:eastAsia="宋体" w:cs="宋体"/>
                <w:b/>
                <w:bCs/>
                <w:color w:val="0D0D0D" w:themeColor="text1" w:themeTint="F2"/>
                <w:kern w:val="0"/>
                <w:sz w:val="22"/>
                <w14:textFill>
                  <w14:solidFill>
                    <w14:schemeClr w14:val="tx1">
                      <w14:lumMod w14:val="95000"/>
                      <w14:lumOff w14:val="5000"/>
                    </w14:schemeClr>
                  </w14:solidFill>
                </w14:textFill>
              </w:rPr>
              <w:t>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b/>
                <w:bCs/>
                <w:color w:val="0D0D0D" w:themeColor="text1" w:themeTint="F2"/>
                <w:kern w:val="0"/>
                <w:sz w:val="22"/>
                <w14:textFill>
                  <w14:solidFill>
                    <w14:schemeClr w14:val="tx1">
                      <w14:lumMod w14:val="95000"/>
                      <w14:lumOff w14:val="5000"/>
                    </w14:schemeClr>
                  </w14:solidFill>
                </w14:textFill>
              </w:rPr>
            </w:pPr>
            <w:r>
              <w:rPr>
                <w:rFonts w:hint="eastAsia" w:eastAsia="宋体" w:cs="宋体"/>
                <w:b/>
                <w:bCs/>
                <w:color w:val="0D0D0D" w:themeColor="text1" w:themeTint="F2"/>
                <w:kern w:val="0"/>
                <w:sz w:val="22"/>
                <w14:textFill>
                  <w14:solidFill>
                    <w14:schemeClr w14:val="tx1">
                      <w14:lumMod w14:val="95000"/>
                      <w14:lumOff w14:val="5000"/>
                    </w14:schemeClr>
                  </w14:solidFill>
                </w14:textFill>
              </w:rPr>
              <w:t>一般债务</w:t>
            </w:r>
          </w:p>
        </w:tc>
        <w:tc>
          <w:tcPr>
            <w:tcW w:w="1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b/>
                <w:bCs/>
                <w:color w:val="0D0D0D" w:themeColor="text1" w:themeTint="F2"/>
                <w:kern w:val="0"/>
                <w:sz w:val="22"/>
                <w14:textFill>
                  <w14:solidFill>
                    <w14:schemeClr w14:val="tx1">
                      <w14:lumMod w14:val="95000"/>
                      <w14:lumOff w14:val="5000"/>
                    </w14:schemeClr>
                  </w14:solidFill>
                </w14:textFill>
              </w:rPr>
            </w:pPr>
            <w:r>
              <w:rPr>
                <w:rFonts w:hint="eastAsia" w:eastAsia="宋体" w:cs="宋体"/>
                <w:b/>
                <w:bCs/>
                <w:color w:val="0D0D0D" w:themeColor="text1" w:themeTint="F2"/>
                <w:kern w:val="0"/>
                <w:sz w:val="22"/>
                <w14:textFill>
                  <w14:solidFill>
                    <w14:schemeClr w14:val="tx1">
                      <w14:lumMod w14:val="95000"/>
                      <w14:lumOff w14:val="5000"/>
                    </w14:schemeClr>
                  </w14:solidFill>
                </w14:textFill>
              </w:rPr>
              <w:t>专项债务</w:t>
            </w:r>
          </w:p>
        </w:tc>
      </w:tr>
      <w:tr>
        <w:tblPrEx>
          <w:tblCellMar>
            <w:top w:w="0" w:type="dxa"/>
            <w:left w:w="108" w:type="dxa"/>
            <w:bottom w:w="0" w:type="dxa"/>
            <w:right w:w="108" w:type="dxa"/>
          </w:tblCellMar>
        </w:tblPrEx>
        <w:trPr>
          <w:trHeight w:val="288" w:hRule="atLeast"/>
        </w:trPr>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b/>
                <w:bCs/>
                <w:color w:val="0D0D0D" w:themeColor="text1" w:themeTint="F2"/>
                <w:kern w:val="0"/>
                <w:sz w:val="22"/>
                <w14:textFill>
                  <w14:solidFill>
                    <w14:schemeClr w14:val="tx1">
                      <w14:lumMod w14:val="95000"/>
                      <w14:lumOff w14:val="5000"/>
                    </w14:schemeClr>
                  </w14:solidFill>
                </w14:textFill>
              </w:rPr>
            </w:pPr>
            <w:r>
              <w:rPr>
                <w:rFonts w:hint="eastAsia" w:eastAsia="宋体" w:cs="宋体"/>
                <w:b/>
                <w:bCs/>
                <w:color w:val="0D0D0D" w:themeColor="text1" w:themeTint="F2"/>
                <w:kern w:val="0"/>
                <w:sz w:val="22"/>
                <w14:textFill>
                  <w14:solidFill>
                    <w14:schemeClr w14:val="tx1">
                      <w14:lumMod w14:val="95000"/>
                      <w14:lumOff w14:val="5000"/>
                    </w14:schemeClr>
                  </w14:solidFill>
                </w14:textFill>
              </w:rPr>
              <w:t>公  式</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b/>
                <w:bCs/>
                <w:color w:val="0D0D0D" w:themeColor="text1" w:themeTint="F2"/>
                <w:kern w:val="0"/>
                <w:sz w:val="22"/>
                <w14:textFill>
                  <w14:solidFill>
                    <w14:schemeClr w14:val="tx1">
                      <w14:lumMod w14:val="95000"/>
                      <w14:lumOff w14:val="5000"/>
                    </w14:schemeClr>
                  </w14:solidFill>
                </w14:textFill>
              </w:rPr>
            </w:pPr>
            <w:r>
              <w:rPr>
                <w:rFonts w:hint="eastAsia" w:eastAsia="宋体" w:cs="宋体"/>
                <w:b/>
                <w:bCs/>
                <w:color w:val="0D0D0D" w:themeColor="text1" w:themeTint="F2"/>
                <w:kern w:val="0"/>
                <w:sz w:val="22"/>
                <w14:textFill>
                  <w14:solidFill>
                    <w14:schemeClr w14:val="tx1">
                      <w14:lumMod w14:val="95000"/>
                      <w14:lumOff w14:val="5000"/>
                    </w14:schemeClr>
                  </w14:solidFill>
                </w14:textFill>
              </w:rPr>
              <w:t>A=B+C</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b/>
                <w:bCs/>
                <w:color w:val="0D0D0D" w:themeColor="text1" w:themeTint="F2"/>
                <w:kern w:val="0"/>
                <w:sz w:val="22"/>
                <w14:textFill>
                  <w14:solidFill>
                    <w14:schemeClr w14:val="tx1">
                      <w14:lumMod w14:val="95000"/>
                      <w14:lumOff w14:val="5000"/>
                    </w14:schemeClr>
                  </w14:solidFill>
                </w14:textFill>
              </w:rPr>
            </w:pPr>
            <w:r>
              <w:rPr>
                <w:rFonts w:hint="eastAsia" w:eastAsia="宋体" w:cs="宋体"/>
                <w:b/>
                <w:bCs/>
                <w:color w:val="0D0D0D" w:themeColor="text1" w:themeTint="F2"/>
                <w:kern w:val="0"/>
                <w:sz w:val="22"/>
                <w14:textFill>
                  <w14:solidFill>
                    <w14:schemeClr w14:val="tx1">
                      <w14:lumMod w14:val="95000"/>
                      <w14:lumOff w14:val="5000"/>
                    </w14:schemeClr>
                  </w14:solidFill>
                </w14:textFill>
              </w:rPr>
              <w:t>B</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b/>
                <w:bCs/>
                <w:color w:val="0D0D0D" w:themeColor="text1" w:themeTint="F2"/>
                <w:kern w:val="0"/>
                <w:sz w:val="22"/>
                <w14:textFill>
                  <w14:solidFill>
                    <w14:schemeClr w14:val="tx1">
                      <w14:lumMod w14:val="95000"/>
                      <w14:lumOff w14:val="5000"/>
                    </w14:schemeClr>
                  </w14:solidFill>
                </w14:textFill>
              </w:rPr>
            </w:pPr>
            <w:r>
              <w:rPr>
                <w:rFonts w:hint="eastAsia" w:eastAsia="宋体" w:cs="宋体"/>
                <w:b/>
                <w:bCs/>
                <w:color w:val="0D0D0D" w:themeColor="text1" w:themeTint="F2"/>
                <w:kern w:val="0"/>
                <w:sz w:val="22"/>
                <w14:textFill>
                  <w14:solidFill>
                    <w14:schemeClr w14:val="tx1">
                      <w14:lumMod w14:val="95000"/>
                      <w14:lumOff w14:val="5000"/>
                    </w14:schemeClr>
                  </w14:solidFill>
                </w14:textFill>
              </w:rPr>
              <w:t>C</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b/>
                <w:bCs/>
                <w:color w:val="0D0D0D" w:themeColor="text1" w:themeTint="F2"/>
                <w:kern w:val="0"/>
                <w:sz w:val="22"/>
                <w14:textFill>
                  <w14:solidFill>
                    <w14:schemeClr w14:val="tx1">
                      <w14:lumMod w14:val="95000"/>
                      <w14:lumOff w14:val="5000"/>
                    </w14:schemeClr>
                  </w14:solidFill>
                </w14:textFill>
              </w:rPr>
            </w:pPr>
            <w:r>
              <w:rPr>
                <w:rFonts w:hint="eastAsia" w:eastAsia="宋体" w:cs="宋体"/>
                <w:b/>
                <w:bCs/>
                <w:color w:val="0D0D0D" w:themeColor="text1" w:themeTint="F2"/>
                <w:kern w:val="0"/>
                <w:sz w:val="22"/>
                <w14:textFill>
                  <w14:solidFill>
                    <w14:schemeClr w14:val="tx1">
                      <w14:lumMod w14:val="95000"/>
                      <w14:lumOff w14:val="5000"/>
                    </w14:schemeClr>
                  </w14:solidFill>
                </w14:textFill>
              </w:rPr>
              <w:t>D=E+F</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b/>
                <w:bCs/>
                <w:color w:val="0D0D0D" w:themeColor="text1" w:themeTint="F2"/>
                <w:kern w:val="0"/>
                <w:sz w:val="22"/>
                <w14:textFill>
                  <w14:solidFill>
                    <w14:schemeClr w14:val="tx1">
                      <w14:lumMod w14:val="95000"/>
                      <w14:lumOff w14:val="5000"/>
                    </w14:schemeClr>
                  </w14:solidFill>
                </w14:textFill>
              </w:rPr>
            </w:pPr>
            <w:r>
              <w:rPr>
                <w:rFonts w:hint="eastAsia" w:eastAsia="宋体" w:cs="宋体"/>
                <w:b/>
                <w:bCs/>
                <w:color w:val="0D0D0D" w:themeColor="text1" w:themeTint="F2"/>
                <w:kern w:val="0"/>
                <w:sz w:val="22"/>
                <w14:textFill>
                  <w14:solidFill>
                    <w14:schemeClr w14:val="tx1">
                      <w14:lumMod w14:val="95000"/>
                      <w14:lumOff w14:val="5000"/>
                    </w14:schemeClr>
                  </w14:solidFill>
                </w14:textFill>
              </w:rPr>
              <w:t>E</w:t>
            </w:r>
          </w:p>
        </w:tc>
        <w:tc>
          <w:tcPr>
            <w:tcW w:w="1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b/>
                <w:bCs/>
                <w:color w:val="0D0D0D" w:themeColor="text1" w:themeTint="F2"/>
                <w:kern w:val="0"/>
                <w:sz w:val="22"/>
                <w14:textFill>
                  <w14:solidFill>
                    <w14:schemeClr w14:val="tx1">
                      <w14:lumMod w14:val="95000"/>
                      <w14:lumOff w14:val="5000"/>
                    </w14:schemeClr>
                  </w14:solidFill>
                </w14:textFill>
              </w:rPr>
            </w:pPr>
            <w:r>
              <w:rPr>
                <w:rFonts w:hint="eastAsia" w:eastAsia="宋体" w:cs="宋体"/>
                <w:b/>
                <w:bCs/>
                <w:color w:val="0D0D0D" w:themeColor="text1" w:themeTint="F2"/>
                <w:kern w:val="0"/>
                <w:sz w:val="22"/>
                <w14:textFill>
                  <w14:solidFill>
                    <w14:schemeClr w14:val="tx1">
                      <w14:lumMod w14:val="95000"/>
                      <w14:lumOff w14:val="5000"/>
                    </w14:schemeClr>
                  </w14:solidFill>
                </w14:textFill>
              </w:rPr>
              <w:t>F</w:t>
            </w:r>
          </w:p>
        </w:tc>
      </w:tr>
      <w:tr>
        <w:tblPrEx>
          <w:tblCellMar>
            <w:top w:w="0" w:type="dxa"/>
            <w:left w:w="108" w:type="dxa"/>
            <w:bottom w:w="0" w:type="dxa"/>
            <w:right w:w="108" w:type="dxa"/>
          </w:tblCellMar>
        </w:tblPrEx>
        <w:trPr>
          <w:trHeight w:val="300" w:hRule="atLeast"/>
        </w:trPr>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重庆高新区</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366.9</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55.0</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311.9</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366.9</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55.0</w:t>
            </w:r>
          </w:p>
        </w:tc>
        <w:tc>
          <w:tcPr>
            <w:tcW w:w="1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311.9</w:t>
            </w:r>
          </w:p>
        </w:tc>
      </w:tr>
      <w:tr>
        <w:tblPrEx>
          <w:tblCellMar>
            <w:top w:w="0" w:type="dxa"/>
            <w:left w:w="108" w:type="dxa"/>
            <w:bottom w:w="0" w:type="dxa"/>
            <w:right w:w="108" w:type="dxa"/>
          </w:tblCellMar>
        </w:tblPrEx>
        <w:trPr>
          <w:trHeight w:val="288" w:hRule="atLeast"/>
        </w:trPr>
        <w:tc>
          <w:tcPr>
            <w:tcW w:w="9420" w:type="dxa"/>
            <w:gridSpan w:val="7"/>
            <w:tcBorders>
              <w:top w:val="single" w:color="auto" w:sz="4" w:space="0"/>
              <w:left w:val="nil"/>
              <w:bottom w:val="nil"/>
              <w:right w:val="nil"/>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注：1.本表反映上一年度本级政府债务限额及余额预计执行数。</w:t>
            </w:r>
          </w:p>
        </w:tc>
      </w:tr>
      <w:tr>
        <w:tblPrEx>
          <w:tblCellMar>
            <w:top w:w="0" w:type="dxa"/>
            <w:left w:w="108" w:type="dxa"/>
            <w:bottom w:w="0" w:type="dxa"/>
            <w:right w:w="108" w:type="dxa"/>
          </w:tblCellMar>
        </w:tblPrEx>
        <w:trPr>
          <w:trHeight w:val="288" w:hRule="atLeast"/>
        </w:trPr>
        <w:tc>
          <w:tcPr>
            <w:tcW w:w="9420" w:type="dxa"/>
            <w:gridSpan w:val="7"/>
            <w:tcBorders>
              <w:top w:val="nil"/>
              <w:left w:val="nil"/>
              <w:bottom w:val="nil"/>
              <w:right w:val="nil"/>
            </w:tcBorders>
            <w:shd w:val="clear" w:color="auto" w:fill="auto"/>
            <w:vAlign w:val="center"/>
          </w:tcPr>
          <w:p>
            <w:pPr>
              <w:widowControl/>
              <w:spacing w:line="240" w:lineRule="auto"/>
              <w:ind w:firstLine="44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2.本表由县级以上地方各级财政部门在本级人民代表大会批准预算后二十日内公开。</w:t>
            </w:r>
          </w:p>
        </w:tc>
      </w:tr>
    </w:tbl>
    <w:p>
      <w:pPr>
        <w:widowControl/>
        <w:spacing w:line="240" w:lineRule="auto"/>
        <w:ind w:firstLine="0" w:firstLineChars="0"/>
        <w:rPr>
          <w:rFonts w:eastAsia="方正楷体_GBK"/>
          <w:bCs/>
          <w:color w:val="0D0D0D" w:themeColor="text1" w:themeTint="F2"/>
          <w:kern w:val="44"/>
          <w:szCs w:val="44"/>
          <w14:textFill>
            <w14:solidFill>
              <w14:schemeClr w14:val="tx1">
                <w14:lumMod w14:val="95000"/>
                <w14:lumOff w14:val="5000"/>
              </w14:schemeClr>
            </w14:solidFill>
          </w14:textFill>
        </w:rPr>
      </w:pPr>
    </w:p>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pPr>
      <w:r>
        <w:rPr>
          <w:rFonts w:eastAsia="方正楷体_GBK"/>
          <w:bCs/>
          <w:color w:val="0D0D0D" w:themeColor="text1" w:themeTint="F2"/>
          <w:kern w:val="44"/>
          <w:szCs w:val="44"/>
          <w14:textFill>
            <w14:solidFill>
              <w14:schemeClr w14:val="tx1">
                <w14:lumMod w14:val="95000"/>
                <w14:lumOff w14:val="5000"/>
              </w14:schemeClr>
            </w14:solidFill>
          </w14:textFill>
        </w:rPr>
        <w:br w:type="page"/>
      </w:r>
    </w:p>
    <w:tbl>
      <w:tblPr>
        <w:tblStyle w:val="7"/>
        <w:tblW w:w="9520" w:type="dxa"/>
        <w:tblInd w:w="0" w:type="dxa"/>
        <w:tblLayout w:type="autofit"/>
        <w:tblCellMar>
          <w:top w:w="0" w:type="dxa"/>
          <w:left w:w="108" w:type="dxa"/>
          <w:bottom w:w="0" w:type="dxa"/>
          <w:right w:w="108" w:type="dxa"/>
        </w:tblCellMar>
      </w:tblPr>
      <w:tblGrid>
        <w:gridCol w:w="6379"/>
        <w:gridCol w:w="1701"/>
        <w:gridCol w:w="1440"/>
      </w:tblGrid>
      <w:tr>
        <w:tblPrEx>
          <w:tblCellMar>
            <w:top w:w="0" w:type="dxa"/>
            <w:left w:w="108" w:type="dxa"/>
            <w:bottom w:w="0" w:type="dxa"/>
            <w:right w:w="108" w:type="dxa"/>
          </w:tblCellMar>
        </w:tblPrEx>
        <w:trPr>
          <w:trHeight w:val="384" w:hRule="atLeast"/>
        </w:trPr>
        <w:tc>
          <w:tcPr>
            <w:tcW w:w="6379" w:type="dxa"/>
            <w:tcBorders>
              <w:top w:val="nil"/>
              <w:left w:val="nil"/>
              <w:bottom w:val="nil"/>
              <w:right w:val="nil"/>
            </w:tcBorders>
            <w:shd w:val="clear" w:color="auto" w:fill="auto"/>
            <w:noWrap/>
            <w:vAlign w:val="center"/>
          </w:tcPr>
          <w:p>
            <w:pPr>
              <w:widowControl/>
              <w:spacing w:line="240" w:lineRule="auto"/>
              <w:ind w:firstLine="0" w:firstLineChars="0"/>
              <w:jc w:val="left"/>
              <w:rPr>
                <w:rFonts w:eastAsia="方正黑体_GBK" w:cs="宋体"/>
                <w:color w:val="0D0D0D" w:themeColor="text1" w:themeTint="F2"/>
                <w:kern w:val="0"/>
                <w:szCs w:val="32"/>
                <w14:textFill>
                  <w14:solidFill>
                    <w14:schemeClr w14:val="tx1">
                      <w14:lumMod w14:val="95000"/>
                      <w14:lumOff w14:val="5000"/>
                    </w14:schemeClr>
                  </w14:solidFill>
                </w14:textFill>
              </w:rPr>
            </w:pPr>
            <w:r>
              <w:rPr>
                <w:rFonts w:hint="eastAsia" w:eastAsia="方正黑体_GBK" w:cs="宋体"/>
                <w:color w:val="0D0D0D" w:themeColor="text1" w:themeTint="F2"/>
                <w:kern w:val="0"/>
                <w:sz w:val="30"/>
                <w:szCs w:val="30"/>
                <w14:textFill>
                  <w14:solidFill>
                    <w14:schemeClr w14:val="tx1">
                      <w14:lumMod w14:val="95000"/>
                      <w14:lumOff w14:val="5000"/>
                    </w14:schemeClr>
                  </w14:solidFill>
                </w14:textFill>
              </w:rPr>
              <w:t>表21</w:t>
            </w:r>
          </w:p>
        </w:tc>
        <w:tc>
          <w:tcPr>
            <w:tcW w:w="1701" w:type="dxa"/>
            <w:tcBorders>
              <w:top w:val="nil"/>
              <w:left w:val="nil"/>
              <w:bottom w:val="nil"/>
              <w:right w:val="nil"/>
            </w:tcBorders>
            <w:shd w:val="clear" w:color="auto" w:fill="auto"/>
            <w:noWrap/>
            <w:vAlign w:val="bottom"/>
          </w:tcPr>
          <w:p>
            <w:pPr>
              <w:widowControl/>
              <w:spacing w:line="240" w:lineRule="auto"/>
              <w:ind w:firstLine="0" w:firstLineChars="0"/>
              <w:jc w:val="left"/>
              <w:rPr>
                <w:rFonts w:eastAsia="方正黑体_GBK" w:cs="宋体"/>
                <w:color w:val="0D0D0D" w:themeColor="text1" w:themeTint="F2"/>
                <w:kern w:val="0"/>
                <w:szCs w:val="32"/>
                <w14:textFill>
                  <w14:solidFill>
                    <w14:schemeClr w14:val="tx1">
                      <w14:lumMod w14:val="95000"/>
                      <w14:lumOff w14:val="5000"/>
                    </w14:schemeClr>
                  </w14:solidFill>
                </w14:textFill>
              </w:rPr>
            </w:pPr>
          </w:p>
        </w:tc>
        <w:tc>
          <w:tcPr>
            <w:tcW w:w="1440" w:type="dxa"/>
            <w:tcBorders>
              <w:top w:val="nil"/>
              <w:left w:val="nil"/>
              <w:bottom w:val="nil"/>
              <w:right w:val="nil"/>
            </w:tcBorders>
            <w:shd w:val="clear" w:color="auto" w:fill="auto"/>
            <w:noWrap/>
            <w:vAlign w:val="bottom"/>
          </w:tcPr>
          <w:p>
            <w:pPr>
              <w:widowControl/>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32" w:hRule="atLeast"/>
        </w:trPr>
        <w:tc>
          <w:tcPr>
            <w:tcW w:w="9520" w:type="dxa"/>
            <w:gridSpan w:val="3"/>
            <w:tcBorders>
              <w:top w:val="nil"/>
              <w:left w:val="nil"/>
              <w:bottom w:val="nil"/>
              <w:right w:val="nil"/>
            </w:tcBorders>
            <w:shd w:val="clear" w:color="auto" w:fill="auto"/>
            <w:vAlign w:val="center"/>
          </w:tcPr>
          <w:p>
            <w:pPr>
              <w:widowControl/>
              <w:spacing w:line="240" w:lineRule="auto"/>
              <w:ind w:firstLine="0" w:firstLineChars="0"/>
              <w:jc w:val="center"/>
              <w:rPr>
                <w:rFonts w:eastAsia="方正小标宋_GBK" w:cs="宋体"/>
                <w:color w:val="0D0D0D" w:themeColor="text1" w:themeTint="F2"/>
                <w:kern w:val="0"/>
                <w:szCs w:val="32"/>
                <w14:textFill>
                  <w14:solidFill>
                    <w14:schemeClr w14:val="tx1">
                      <w14:lumMod w14:val="95000"/>
                      <w14:lumOff w14:val="5000"/>
                    </w14:schemeClr>
                  </w14:solidFill>
                </w14:textFill>
              </w:rPr>
            </w:pPr>
            <w:r>
              <w:rPr>
                <w:rFonts w:hint="eastAsia" w:eastAsia="方正小标宋_GBK" w:cs="宋体"/>
                <w:color w:val="0D0D0D" w:themeColor="text1" w:themeTint="F2"/>
                <w:kern w:val="0"/>
                <w:szCs w:val="32"/>
                <w14:textFill>
                  <w14:solidFill>
                    <w14:schemeClr w14:val="tx1">
                      <w14:lumMod w14:val="95000"/>
                      <w14:lumOff w14:val="5000"/>
                    </w14:schemeClr>
                  </w14:solidFill>
                </w14:textFill>
              </w:rPr>
              <w:t>重庆高新区2021年和2022年地方政府一般债务余额情况表</w:t>
            </w:r>
          </w:p>
        </w:tc>
      </w:tr>
      <w:tr>
        <w:tblPrEx>
          <w:tblCellMar>
            <w:top w:w="0" w:type="dxa"/>
            <w:left w:w="108" w:type="dxa"/>
            <w:bottom w:w="0" w:type="dxa"/>
            <w:right w:w="108" w:type="dxa"/>
          </w:tblCellMar>
        </w:tblPrEx>
        <w:trPr>
          <w:trHeight w:val="288" w:hRule="atLeast"/>
        </w:trPr>
        <w:tc>
          <w:tcPr>
            <w:tcW w:w="6379"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rFonts w:eastAsia="方正小标宋_GBK" w:cs="宋体"/>
                <w:color w:val="0D0D0D" w:themeColor="text1" w:themeTint="F2"/>
                <w:kern w:val="0"/>
                <w:sz w:val="24"/>
                <w:szCs w:val="24"/>
                <w14:textFill>
                  <w14:solidFill>
                    <w14:schemeClr w14:val="tx1">
                      <w14:lumMod w14:val="95000"/>
                      <w14:lumOff w14:val="5000"/>
                    </w14:schemeClr>
                  </w14:solidFill>
                </w14:textFill>
              </w:rPr>
            </w:pPr>
          </w:p>
        </w:tc>
        <w:tc>
          <w:tcPr>
            <w:tcW w:w="1701" w:type="dxa"/>
            <w:tcBorders>
              <w:top w:val="nil"/>
              <w:left w:val="nil"/>
              <w:bottom w:val="single" w:color="auto" w:sz="4" w:space="0"/>
              <w:right w:val="nil"/>
            </w:tcBorders>
            <w:shd w:val="clear" w:color="auto" w:fill="auto"/>
            <w:vAlign w:val="center"/>
          </w:tcPr>
          <w:p>
            <w:pPr>
              <w:widowControl/>
              <w:spacing w:line="240" w:lineRule="auto"/>
              <w:ind w:firstLine="0" w:firstLineChars="0"/>
              <w:jc w:val="left"/>
              <w:rPr>
                <w:rFonts w:eastAsia="Times New Roman" w:cs="Times New Roman"/>
                <w:color w:val="0D0D0D" w:themeColor="text1" w:themeTint="F2"/>
                <w:kern w:val="0"/>
                <w:sz w:val="24"/>
                <w:szCs w:val="24"/>
                <w14:textFill>
                  <w14:solidFill>
                    <w14:schemeClr w14:val="tx1">
                      <w14:lumMod w14:val="95000"/>
                      <w14:lumOff w14:val="5000"/>
                    </w14:schemeClr>
                  </w14:solidFill>
                </w14:textFill>
              </w:rPr>
            </w:pPr>
          </w:p>
        </w:tc>
        <w:tc>
          <w:tcPr>
            <w:tcW w:w="1440" w:type="dxa"/>
            <w:tcBorders>
              <w:top w:val="nil"/>
              <w:left w:val="nil"/>
              <w:bottom w:val="single" w:color="auto" w:sz="4" w:space="0"/>
              <w:right w:val="nil"/>
            </w:tcBorders>
            <w:shd w:val="clear" w:color="auto" w:fill="auto"/>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单位：亿元</w:t>
            </w:r>
          </w:p>
        </w:tc>
      </w:tr>
      <w:tr>
        <w:tblPrEx>
          <w:tblCellMar>
            <w:top w:w="0" w:type="dxa"/>
            <w:left w:w="108" w:type="dxa"/>
            <w:bottom w:w="0" w:type="dxa"/>
            <w:right w:w="108" w:type="dxa"/>
          </w:tblCellMar>
        </w:tblPrEx>
        <w:trPr>
          <w:trHeight w:val="312" w:hRule="atLeast"/>
        </w:trPr>
        <w:tc>
          <w:tcPr>
            <w:tcW w:w="63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项    目</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预算数</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执行数</w:t>
            </w:r>
          </w:p>
        </w:tc>
      </w:tr>
      <w:tr>
        <w:tblPrEx>
          <w:tblCellMar>
            <w:top w:w="0" w:type="dxa"/>
            <w:left w:w="108" w:type="dxa"/>
            <w:bottom w:w="0" w:type="dxa"/>
            <w:right w:w="108" w:type="dxa"/>
          </w:tblCellMar>
        </w:tblPrEx>
        <w:trPr>
          <w:trHeight w:val="312" w:hRule="atLeast"/>
        </w:trPr>
        <w:tc>
          <w:tcPr>
            <w:tcW w:w="63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一、2021年末地方政府一般债务余额实际数</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49.9</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49.9</w:t>
            </w:r>
          </w:p>
        </w:tc>
      </w:tr>
      <w:tr>
        <w:tblPrEx>
          <w:tblCellMar>
            <w:top w:w="0" w:type="dxa"/>
            <w:left w:w="108" w:type="dxa"/>
            <w:bottom w:w="0" w:type="dxa"/>
            <w:right w:w="108" w:type="dxa"/>
          </w:tblCellMar>
        </w:tblPrEx>
        <w:trPr>
          <w:trHeight w:val="312" w:hRule="atLeast"/>
        </w:trPr>
        <w:tc>
          <w:tcPr>
            <w:tcW w:w="63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二、2022年末地方政府一般债务限额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55.0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55.0</w:t>
            </w:r>
          </w:p>
        </w:tc>
      </w:tr>
      <w:tr>
        <w:tblPrEx>
          <w:tblCellMar>
            <w:top w:w="0" w:type="dxa"/>
            <w:left w:w="108" w:type="dxa"/>
            <w:bottom w:w="0" w:type="dxa"/>
            <w:right w:w="108" w:type="dxa"/>
          </w:tblCellMar>
        </w:tblPrEx>
        <w:trPr>
          <w:trHeight w:val="312" w:hRule="atLeast"/>
        </w:trPr>
        <w:tc>
          <w:tcPr>
            <w:tcW w:w="63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三、2022年地方政府一般债务发行额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5.1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5.1</w:t>
            </w:r>
          </w:p>
        </w:tc>
      </w:tr>
      <w:tr>
        <w:tblPrEx>
          <w:tblCellMar>
            <w:top w:w="0" w:type="dxa"/>
            <w:left w:w="108" w:type="dxa"/>
            <w:bottom w:w="0" w:type="dxa"/>
            <w:right w:w="108" w:type="dxa"/>
          </w:tblCellMar>
        </w:tblPrEx>
        <w:trPr>
          <w:trHeight w:val="624" w:hRule="atLeast"/>
        </w:trPr>
        <w:tc>
          <w:tcPr>
            <w:tcW w:w="63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 xml:space="preserve">    其中：中央转贷地方的国际金融组织和外国政府贷款</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0.0</w:t>
            </w:r>
          </w:p>
        </w:tc>
      </w:tr>
      <w:tr>
        <w:tblPrEx>
          <w:tblCellMar>
            <w:top w:w="0" w:type="dxa"/>
            <w:left w:w="108" w:type="dxa"/>
            <w:bottom w:w="0" w:type="dxa"/>
            <w:right w:w="108" w:type="dxa"/>
          </w:tblCellMar>
        </w:tblPrEx>
        <w:trPr>
          <w:trHeight w:val="312" w:hRule="atLeast"/>
        </w:trPr>
        <w:tc>
          <w:tcPr>
            <w:tcW w:w="63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2022年地方政府一般债券发行额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5.1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5.1</w:t>
            </w:r>
          </w:p>
        </w:tc>
      </w:tr>
      <w:tr>
        <w:tblPrEx>
          <w:tblCellMar>
            <w:top w:w="0" w:type="dxa"/>
            <w:left w:w="108" w:type="dxa"/>
            <w:bottom w:w="0" w:type="dxa"/>
            <w:right w:w="108" w:type="dxa"/>
          </w:tblCellMar>
        </w:tblPrEx>
        <w:trPr>
          <w:trHeight w:val="312" w:hRule="atLeast"/>
        </w:trPr>
        <w:tc>
          <w:tcPr>
            <w:tcW w:w="63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四、2022年地方政府一般债务还本支出</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0.0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0.0</w:t>
            </w:r>
          </w:p>
        </w:tc>
      </w:tr>
      <w:tr>
        <w:tblPrEx>
          <w:tblCellMar>
            <w:top w:w="0" w:type="dxa"/>
            <w:left w:w="108" w:type="dxa"/>
            <w:bottom w:w="0" w:type="dxa"/>
            <w:right w:w="108" w:type="dxa"/>
          </w:tblCellMar>
        </w:tblPrEx>
        <w:trPr>
          <w:trHeight w:val="312" w:hRule="atLeast"/>
        </w:trPr>
        <w:tc>
          <w:tcPr>
            <w:tcW w:w="63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五、2022年末地方政府一般债务余额预计执行数</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55.0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55.0</w:t>
            </w:r>
          </w:p>
        </w:tc>
      </w:tr>
      <w:tr>
        <w:tblPrEx>
          <w:tblCellMar>
            <w:top w:w="0" w:type="dxa"/>
            <w:left w:w="108" w:type="dxa"/>
            <w:bottom w:w="0" w:type="dxa"/>
            <w:right w:w="108" w:type="dxa"/>
          </w:tblCellMar>
        </w:tblPrEx>
        <w:trPr>
          <w:trHeight w:val="312" w:hRule="atLeast"/>
        </w:trPr>
        <w:tc>
          <w:tcPr>
            <w:tcW w:w="63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六、2023年地方财政赤字</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324" w:hRule="atLeast"/>
        </w:trPr>
        <w:tc>
          <w:tcPr>
            <w:tcW w:w="63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七、2023年地方政府一般债务限额</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等线" w:cs="Times New Roman"/>
                <w:color w:val="0D0D0D" w:themeColor="text1" w:themeTint="F2"/>
                <w:kern w:val="0"/>
                <w:sz w:val="24"/>
                <w:szCs w:val="24"/>
                <w14:textFill>
                  <w14:solidFill>
                    <w14:schemeClr w14:val="tx1">
                      <w14:lumMod w14:val="95000"/>
                      <w14:lumOff w14:val="5000"/>
                    </w14:schemeClr>
                  </w14:solidFill>
                </w14:textFill>
              </w:rPr>
            </w:pPr>
            <w:r>
              <w:rPr>
                <w:rFonts w:eastAsia="等线" w:cs="Times New Roman"/>
                <w:color w:val="0D0D0D" w:themeColor="text1" w:themeTint="F2"/>
                <w:kern w:val="0"/>
                <w:sz w:val="24"/>
                <w:szCs w:val="24"/>
                <w14:textFill>
                  <w14:solidFill>
                    <w14:schemeClr w14:val="tx1">
                      <w14:lumMod w14:val="95000"/>
                      <w14:lumOff w14:val="5000"/>
                    </w14:schemeClr>
                  </w14:solidFill>
                </w14:textFill>
              </w:rPr>
              <w:t>　</w:t>
            </w:r>
          </w:p>
        </w:tc>
      </w:tr>
      <w:tr>
        <w:tblPrEx>
          <w:tblCellMar>
            <w:top w:w="0" w:type="dxa"/>
            <w:left w:w="108" w:type="dxa"/>
            <w:bottom w:w="0" w:type="dxa"/>
            <w:right w:w="108" w:type="dxa"/>
          </w:tblCellMar>
        </w:tblPrEx>
        <w:trPr>
          <w:trHeight w:val="312" w:hRule="atLeast"/>
        </w:trPr>
        <w:tc>
          <w:tcPr>
            <w:tcW w:w="9520" w:type="dxa"/>
            <w:gridSpan w:val="3"/>
            <w:tcBorders>
              <w:top w:val="single" w:color="auto" w:sz="4" w:space="0"/>
              <w:left w:val="nil"/>
              <w:bottom w:val="nil"/>
              <w:right w:val="nil"/>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注：1.本表反映本级政府上两年度一般债务余额，上一年度一般债务限额、发行额、还本支出及余额，本年度财政赤字及一般债务限额。</w:t>
            </w:r>
          </w:p>
        </w:tc>
      </w:tr>
      <w:tr>
        <w:tblPrEx>
          <w:tblCellMar>
            <w:top w:w="0" w:type="dxa"/>
            <w:left w:w="108" w:type="dxa"/>
            <w:bottom w:w="0" w:type="dxa"/>
            <w:right w:w="108" w:type="dxa"/>
          </w:tblCellMar>
        </w:tblPrEx>
        <w:trPr>
          <w:trHeight w:val="312" w:hRule="atLeast"/>
        </w:trPr>
        <w:tc>
          <w:tcPr>
            <w:tcW w:w="9520" w:type="dxa"/>
            <w:gridSpan w:val="3"/>
            <w:tcBorders>
              <w:top w:val="nil"/>
              <w:left w:val="nil"/>
              <w:bottom w:val="nil"/>
              <w:right w:val="nil"/>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2.本表由县级以上地方各级财政部门在本级人民代表大会批准预算后二十日内公开。</w:t>
            </w:r>
          </w:p>
        </w:tc>
      </w:tr>
      <w:tr>
        <w:tblPrEx>
          <w:tblCellMar>
            <w:top w:w="0" w:type="dxa"/>
            <w:left w:w="108" w:type="dxa"/>
            <w:bottom w:w="0" w:type="dxa"/>
            <w:right w:w="108" w:type="dxa"/>
          </w:tblCellMar>
        </w:tblPrEx>
        <w:trPr>
          <w:trHeight w:val="312" w:hRule="atLeast"/>
        </w:trPr>
        <w:tc>
          <w:tcPr>
            <w:tcW w:w="9520" w:type="dxa"/>
            <w:gridSpan w:val="3"/>
            <w:tcBorders>
              <w:top w:val="nil"/>
              <w:left w:val="nil"/>
              <w:bottom w:val="nil"/>
              <w:right w:val="nil"/>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3.2021年重庆高新区承接九龙坡区划转一般债务10.0565亿元。</w:t>
            </w:r>
          </w:p>
        </w:tc>
      </w:tr>
    </w:tbl>
    <w:p>
      <w:pPr>
        <w:widowControl/>
        <w:spacing w:line="240" w:lineRule="auto"/>
        <w:ind w:firstLine="0" w:firstLineChars="0"/>
        <w:rPr>
          <w:rFonts w:eastAsia="方正楷体_GBK"/>
          <w:bCs/>
          <w:color w:val="0D0D0D" w:themeColor="text1" w:themeTint="F2"/>
          <w:kern w:val="44"/>
          <w:szCs w:val="44"/>
          <w14:textFill>
            <w14:solidFill>
              <w14:schemeClr w14:val="tx1">
                <w14:lumMod w14:val="95000"/>
                <w14:lumOff w14:val="5000"/>
              </w14:schemeClr>
            </w14:solidFill>
          </w14:textFill>
        </w:rPr>
      </w:pPr>
    </w:p>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pPr>
      <w:r>
        <w:rPr>
          <w:rFonts w:eastAsia="方正楷体_GBK"/>
          <w:bCs/>
          <w:color w:val="0D0D0D" w:themeColor="text1" w:themeTint="F2"/>
          <w:kern w:val="44"/>
          <w:szCs w:val="44"/>
          <w14:textFill>
            <w14:solidFill>
              <w14:schemeClr w14:val="tx1">
                <w14:lumMod w14:val="95000"/>
                <w14:lumOff w14:val="5000"/>
              </w14:schemeClr>
            </w14:solidFill>
          </w14:textFill>
        </w:rPr>
        <w:br w:type="page"/>
      </w:r>
    </w:p>
    <w:tbl>
      <w:tblPr>
        <w:tblStyle w:val="7"/>
        <w:tblW w:w="9498" w:type="dxa"/>
        <w:tblInd w:w="0" w:type="dxa"/>
        <w:tblLayout w:type="autofit"/>
        <w:tblCellMar>
          <w:top w:w="0" w:type="dxa"/>
          <w:left w:w="108" w:type="dxa"/>
          <w:bottom w:w="0" w:type="dxa"/>
          <w:right w:w="108" w:type="dxa"/>
        </w:tblCellMar>
      </w:tblPr>
      <w:tblGrid>
        <w:gridCol w:w="5680"/>
        <w:gridCol w:w="2117"/>
        <w:gridCol w:w="1701"/>
      </w:tblGrid>
      <w:tr>
        <w:tblPrEx>
          <w:tblCellMar>
            <w:top w:w="0" w:type="dxa"/>
            <w:left w:w="108" w:type="dxa"/>
            <w:bottom w:w="0" w:type="dxa"/>
            <w:right w:w="108" w:type="dxa"/>
          </w:tblCellMar>
        </w:tblPrEx>
        <w:trPr>
          <w:trHeight w:val="432" w:hRule="atLeast"/>
        </w:trPr>
        <w:tc>
          <w:tcPr>
            <w:tcW w:w="5680" w:type="dxa"/>
            <w:tcBorders>
              <w:top w:val="nil"/>
              <w:left w:val="nil"/>
              <w:bottom w:val="nil"/>
              <w:right w:val="nil"/>
            </w:tcBorders>
            <w:shd w:val="clear" w:color="auto" w:fill="auto"/>
            <w:noWrap/>
            <w:vAlign w:val="bottom"/>
          </w:tcPr>
          <w:p>
            <w:pPr>
              <w:widowControl/>
              <w:spacing w:line="240" w:lineRule="auto"/>
              <w:ind w:firstLine="0" w:firstLineChars="0"/>
              <w:jc w:val="left"/>
              <w:rPr>
                <w:rFonts w:eastAsia="方正黑体_GBK" w:cs="宋体"/>
                <w:color w:val="0D0D0D" w:themeColor="text1" w:themeTint="F2"/>
                <w:kern w:val="0"/>
                <w:sz w:val="30"/>
                <w:szCs w:val="30"/>
                <w14:textFill>
                  <w14:solidFill>
                    <w14:schemeClr w14:val="tx1">
                      <w14:lumMod w14:val="95000"/>
                      <w14:lumOff w14:val="5000"/>
                    </w14:schemeClr>
                  </w14:solidFill>
                </w14:textFill>
              </w:rPr>
            </w:pPr>
            <w:r>
              <w:rPr>
                <w:rFonts w:hint="eastAsia" w:eastAsia="方正黑体_GBK" w:cs="宋体"/>
                <w:color w:val="0D0D0D" w:themeColor="text1" w:themeTint="F2"/>
                <w:kern w:val="0"/>
                <w:sz w:val="30"/>
                <w:szCs w:val="30"/>
                <w14:textFill>
                  <w14:solidFill>
                    <w14:schemeClr w14:val="tx1">
                      <w14:lumMod w14:val="95000"/>
                      <w14:lumOff w14:val="5000"/>
                    </w14:schemeClr>
                  </w14:solidFill>
                </w14:textFill>
              </w:rPr>
              <w:t>表22</w:t>
            </w:r>
          </w:p>
        </w:tc>
        <w:tc>
          <w:tcPr>
            <w:tcW w:w="2117" w:type="dxa"/>
            <w:tcBorders>
              <w:top w:val="nil"/>
              <w:left w:val="nil"/>
              <w:bottom w:val="nil"/>
              <w:right w:val="nil"/>
            </w:tcBorders>
            <w:shd w:val="clear" w:color="auto" w:fill="auto"/>
            <w:noWrap/>
            <w:vAlign w:val="bottom"/>
          </w:tcPr>
          <w:p>
            <w:pPr>
              <w:widowControl/>
              <w:spacing w:line="240" w:lineRule="auto"/>
              <w:ind w:firstLine="0" w:firstLineChars="0"/>
              <w:jc w:val="left"/>
              <w:rPr>
                <w:rFonts w:eastAsia="方正黑体_GBK" w:cs="宋体"/>
                <w:color w:val="0D0D0D" w:themeColor="text1" w:themeTint="F2"/>
                <w:kern w:val="0"/>
                <w:szCs w:val="32"/>
                <w14:textFill>
                  <w14:solidFill>
                    <w14:schemeClr w14:val="tx1">
                      <w14:lumMod w14:val="95000"/>
                      <w14:lumOff w14:val="5000"/>
                    </w14:schemeClr>
                  </w14:solidFill>
                </w14:textFill>
              </w:rPr>
            </w:pPr>
          </w:p>
        </w:tc>
        <w:tc>
          <w:tcPr>
            <w:tcW w:w="1701" w:type="dxa"/>
            <w:tcBorders>
              <w:top w:val="nil"/>
              <w:left w:val="nil"/>
              <w:bottom w:val="nil"/>
              <w:right w:val="nil"/>
            </w:tcBorders>
            <w:shd w:val="clear" w:color="auto" w:fill="auto"/>
            <w:noWrap/>
            <w:vAlign w:val="bottom"/>
          </w:tcPr>
          <w:p>
            <w:pPr>
              <w:widowControl/>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32" w:hRule="atLeast"/>
        </w:trPr>
        <w:tc>
          <w:tcPr>
            <w:tcW w:w="9498" w:type="dxa"/>
            <w:gridSpan w:val="3"/>
            <w:tcBorders>
              <w:top w:val="nil"/>
              <w:left w:val="nil"/>
              <w:bottom w:val="nil"/>
              <w:right w:val="nil"/>
            </w:tcBorders>
            <w:shd w:val="clear" w:color="auto" w:fill="auto"/>
            <w:vAlign w:val="center"/>
          </w:tcPr>
          <w:p>
            <w:pPr>
              <w:widowControl/>
              <w:spacing w:line="240" w:lineRule="auto"/>
              <w:ind w:firstLine="0" w:firstLineChars="0"/>
              <w:jc w:val="center"/>
              <w:rPr>
                <w:rFonts w:eastAsia="方正小标宋_GBK" w:cs="宋体"/>
                <w:color w:val="0D0D0D" w:themeColor="text1" w:themeTint="F2"/>
                <w:kern w:val="0"/>
                <w:szCs w:val="32"/>
                <w14:textFill>
                  <w14:solidFill>
                    <w14:schemeClr w14:val="tx1">
                      <w14:lumMod w14:val="95000"/>
                      <w14:lumOff w14:val="5000"/>
                    </w14:schemeClr>
                  </w14:solidFill>
                </w14:textFill>
              </w:rPr>
            </w:pPr>
            <w:r>
              <w:rPr>
                <w:rFonts w:hint="eastAsia" w:eastAsia="方正小标宋_GBK" w:cs="宋体"/>
                <w:color w:val="0D0D0D" w:themeColor="text1" w:themeTint="F2"/>
                <w:kern w:val="0"/>
                <w:szCs w:val="32"/>
                <w14:textFill>
                  <w14:solidFill>
                    <w14:schemeClr w14:val="tx1">
                      <w14:lumMod w14:val="95000"/>
                      <w14:lumOff w14:val="5000"/>
                    </w14:schemeClr>
                  </w14:solidFill>
                </w14:textFill>
              </w:rPr>
              <w:t>重庆高新区2021年和2022年地方政府专项债务余额情况表</w:t>
            </w:r>
          </w:p>
        </w:tc>
      </w:tr>
      <w:tr>
        <w:tblPrEx>
          <w:tblCellMar>
            <w:top w:w="0" w:type="dxa"/>
            <w:left w:w="108" w:type="dxa"/>
            <w:bottom w:w="0" w:type="dxa"/>
            <w:right w:w="108" w:type="dxa"/>
          </w:tblCellMar>
        </w:tblPrEx>
        <w:trPr>
          <w:trHeight w:val="324" w:hRule="atLeast"/>
        </w:trPr>
        <w:tc>
          <w:tcPr>
            <w:tcW w:w="5680"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rFonts w:eastAsia="方正小标宋_GBK" w:cs="宋体"/>
                <w:color w:val="0D0D0D" w:themeColor="text1" w:themeTint="F2"/>
                <w:kern w:val="0"/>
                <w:sz w:val="24"/>
                <w:szCs w:val="24"/>
                <w14:textFill>
                  <w14:solidFill>
                    <w14:schemeClr w14:val="tx1">
                      <w14:lumMod w14:val="95000"/>
                      <w14:lumOff w14:val="5000"/>
                    </w14:schemeClr>
                  </w14:solidFill>
                </w14:textFill>
              </w:rPr>
            </w:pPr>
          </w:p>
        </w:tc>
        <w:tc>
          <w:tcPr>
            <w:tcW w:w="2117" w:type="dxa"/>
            <w:tcBorders>
              <w:top w:val="nil"/>
              <w:left w:val="nil"/>
              <w:bottom w:val="single" w:color="auto" w:sz="4" w:space="0"/>
              <w:right w:val="nil"/>
            </w:tcBorders>
            <w:shd w:val="clear" w:color="auto" w:fill="auto"/>
            <w:vAlign w:val="center"/>
          </w:tcPr>
          <w:p>
            <w:pPr>
              <w:widowControl/>
              <w:spacing w:line="240" w:lineRule="auto"/>
              <w:ind w:firstLine="0" w:firstLineChars="0"/>
              <w:jc w:val="left"/>
              <w:rPr>
                <w:rFonts w:eastAsia="Times New Roman" w:cs="Times New Roman"/>
                <w:color w:val="0D0D0D" w:themeColor="text1" w:themeTint="F2"/>
                <w:kern w:val="0"/>
                <w:sz w:val="24"/>
                <w:szCs w:val="24"/>
                <w14:textFill>
                  <w14:solidFill>
                    <w14:schemeClr w14:val="tx1">
                      <w14:lumMod w14:val="95000"/>
                      <w14:lumOff w14:val="5000"/>
                    </w14:schemeClr>
                  </w14:solidFill>
                </w14:textFill>
              </w:rPr>
            </w:pPr>
          </w:p>
        </w:tc>
        <w:tc>
          <w:tcPr>
            <w:tcW w:w="1701" w:type="dxa"/>
            <w:tcBorders>
              <w:top w:val="nil"/>
              <w:left w:val="nil"/>
              <w:bottom w:val="single" w:color="auto" w:sz="4" w:space="0"/>
              <w:right w:val="nil"/>
            </w:tcBorders>
            <w:shd w:val="clear" w:color="auto" w:fill="auto"/>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单位：亿元</w:t>
            </w:r>
          </w:p>
        </w:tc>
      </w:tr>
      <w:tr>
        <w:tblPrEx>
          <w:tblCellMar>
            <w:top w:w="0" w:type="dxa"/>
            <w:left w:w="108" w:type="dxa"/>
            <w:bottom w:w="0" w:type="dxa"/>
            <w:right w:w="108" w:type="dxa"/>
          </w:tblCellMar>
        </w:tblPrEx>
        <w:trPr>
          <w:trHeight w:val="456" w:hRule="atLeast"/>
        </w:trPr>
        <w:tc>
          <w:tcPr>
            <w:tcW w:w="5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项    目</w:t>
            </w:r>
          </w:p>
        </w:tc>
        <w:tc>
          <w:tcPr>
            <w:tcW w:w="21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预算数</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cs="宋体"/>
                <w:b/>
                <w:bCs/>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b/>
                <w:bCs/>
                <w:color w:val="0D0D0D" w:themeColor="text1" w:themeTint="F2"/>
                <w:kern w:val="0"/>
                <w:sz w:val="24"/>
                <w:szCs w:val="24"/>
                <w14:textFill>
                  <w14:solidFill>
                    <w14:schemeClr w14:val="tx1">
                      <w14:lumMod w14:val="95000"/>
                      <w14:lumOff w14:val="5000"/>
                    </w14:schemeClr>
                  </w14:solidFill>
                </w14:textFill>
              </w:rPr>
              <w:t>执行数</w:t>
            </w:r>
          </w:p>
        </w:tc>
      </w:tr>
      <w:tr>
        <w:tblPrEx>
          <w:tblCellMar>
            <w:top w:w="0" w:type="dxa"/>
            <w:left w:w="108" w:type="dxa"/>
            <w:bottom w:w="0" w:type="dxa"/>
            <w:right w:w="108" w:type="dxa"/>
          </w:tblCellMar>
        </w:tblPrEx>
        <w:trPr>
          <w:trHeight w:val="456" w:hRule="atLeast"/>
        </w:trPr>
        <w:tc>
          <w:tcPr>
            <w:tcW w:w="5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一、202</w:t>
            </w:r>
            <w:r>
              <w:rPr>
                <w:rFonts w:eastAsia="宋体" w:cs="宋体"/>
                <w:color w:val="0D0D0D" w:themeColor="text1" w:themeTint="F2"/>
                <w:kern w:val="0"/>
                <w:sz w:val="24"/>
                <w:szCs w:val="24"/>
                <w14:textFill>
                  <w14:solidFill>
                    <w14:schemeClr w14:val="tx1">
                      <w14:lumMod w14:val="95000"/>
                      <w14:lumOff w14:val="5000"/>
                    </w14:schemeClr>
                  </w14:solidFill>
                </w14:textFill>
              </w:rPr>
              <w:t>1</w:t>
            </w:r>
            <w:r>
              <w:rPr>
                <w:rFonts w:hint="eastAsia" w:eastAsia="宋体" w:cs="宋体"/>
                <w:color w:val="0D0D0D" w:themeColor="text1" w:themeTint="F2"/>
                <w:kern w:val="0"/>
                <w:sz w:val="24"/>
                <w:szCs w:val="24"/>
                <w14:textFill>
                  <w14:solidFill>
                    <w14:schemeClr w14:val="tx1">
                      <w14:lumMod w14:val="95000"/>
                      <w14:lumOff w14:val="5000"/>
                    </w14:schemeClr>
                  </w14:solidFill>
                </w14:textFill>
              </w:rPr>
              <w:t>年末地方政府专项债务余额实际数</w:t>
            </w:r>
          </w:p>
        </w:tc>
        <w:tc>
          <w:tcPr>
            <w:tcW w:w="21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173</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173</w:t>
            </w:r>
          </w:p>
        </w:tc>
      </w:tr>
      <w:tr>
        <w:tblPrEx>
          <w:tblCellMar>
            <w:top w:w="0" w:type="dxa"/>
            <w:left w:w="108" w:type="dxa"/>
            <w:bottom w:w="0" w:type="dxa"/>
            <w:right w:w="108" w:type="dxa"/>
          </w:tblCellMar>
        </w:tblPrEx>
        <w:trPr>
          <w:trHeight w:val="456" w:hRule="atLeast"/>
        </w:trPr>
        <w:tc>
          <w:tcPr>
            <w:tcW w:w="5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二、202</w:t>
            </w:r>
            <w:r>
              <w:rPr>
                <w:rFonts w:eastAsia="宋体" w:cs="宋体"/>
                <w:color w:val="0D0D0D" w:themeColor="text1" w:themeTint="F2"/>
                <w:kern w:val="0"/>
                <w:sz w:val="24"/>
                <w:szCs w:val="24"/>
                <w14:textFill>
                  <w14:solidFill>
                    <w14:schemeClr w14:val="tx1">
                      <w14:lumMod w14:val="95000"/>
                      <w14:lumOff w14:val="5000"/>
                    </w14:schemeClr>
                  </w14:solidFill>
                </w14:textFill>
              </w:rPr>
              <w:t>2</w:t>
            </w:r>
            <w:r>
              <w:rPr>
                <w:rFonts w:hint="eastAsia" w:eastAsia="宋体" w:cs="宋体"/>
                <w:color w:val="0D0D0D" w:themeColor="text1" w:themeTint="F2"/>
                <w:kern w:val="0"/>
                <w:sz w:val="24"/>
                <w:szCs w:val="24"/>
                <w14:textFill>
                  <w14:solidFill>
                    <w14:schemeClr w14:val="tx1">
                      <w14:lumMod w14:val="95000"/>
                      <w14:lumOff w14:val="5000"/>
                    </w14:schemeClr>
                  </w14:solidFill>
                </w14:textFill>
              </w:rPr>
              <w:t>年末地方政府专项债务限额</w:t>
            </w:r>
          </w:p>
        </w:tc>
        <w:tc>
          <w:tcPr>
            <w:tcW w:w="21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312</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312</w:t>
            </w:r>
          </w:p>
        </w:tc>
      </w:tr>
      <w:tr>
        <w:tblPrEx>
          <w:tblCellMar>
            <w:top w:w="0" w:type="dxa"/>
            <w:left w:w="108" w:type="dxa"/>
            <w:bottom w:w="0" w:type="dxa"/>
            <w:right w:w="108" w:type="dxa"/>
          </w:tblCellMar>
        </w:tblPrEx>
        <w:trPr>
          <w:trHeight w:val="456" w:hRule="atLeast"/>
        </w:trPr>
        <w:tc>
          <w:tcPr>
            <w:tcW w:w="5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三、202</w:t>
            </w:r>
            <w:r>
              <w:rPr>
                <w:rFonts w:eastAsia="宋体" w:cs="宋体"/>
                <w:color w:val="0D0D0D" w:themeColor="text1" w:themeTint="F2"/>
                <w:kern w:val="0"/>
                <w:sz w:val="24"/>
                <w:szCs w:val="24"/>
                <w14:textFill>
                  <w14:solidFill>
                    <w14:schemeClr w14:val="tx1">
                      <w14:lumMod w14:val="95000"/>
                      <w14:lumOff w14:val="5000"/>
                    </w14:schemeClr>
                  </w14:solidFill>
                </w14:textFill>
              </w:rPr>
              <w:t>2</w:t>
            </w:r>
            <w:r>
              <w:rPr>
                <w:rFonts w:hint="eastAsia" w:eastAsia="宋体" w:cs="宋体"/>
                <w:color w:val="0D0D0D" w:themeColor="text1" w:themeTint="F2"/>
                <w:kern w:val="0"/>
                <w:sz w:val="24"/>
                <w:szCs w:val="24"/>
                <w14:textFill>
                  <w14:solidFill>
                    <w14:schemeClr w14:val="tx1">
                      <w14:lumMod w14:val="95000"/>
                      <w14:lumOff w14:val="5000"/>
                    </w14:schemeClr>
                  </w14:solidFill>
                </w14:textFill>
              </w:rPr>
              <w:t>年地方政府专项债务发行额</w:t>
            </w:r>
          </w:p>
        </w:tc>
        <w:tc>
          <w:tcPr>
            <w:tcW w:w="21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139</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139</w:t>
            </w:r>
          </w:p>
        </w:tc>
      </w:tr>
      <w:tr>
        <w:tblPrEx>
          <w:tblCellMar>
            <w:top w:w="0" w:type="dxa"/>
            <w:left w:w="108" w:type="dxa"/>
            <w:bottom w:w="0" w:type="dxa"/>
            <w:right w:w="108" w:type="dxa"/>
          </w:tblCellMar>
        </w:tblPrEx>
        <w:trPr>
          <w:trHeight w:val="456" w:hRule="atLeast"/>
        </w:trPr>
        <w:tc>
          <w:tcPr>
            <w:tcW w:w="5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四、202</w:t>
            </w:r>
            <w:r>
              <w:rPr>
                <w:rFonts w:eastAsia="宋体" w:cs="宋体"/>
                <w:color w:val="0D0D0D" w:themeColor="text1" w:themeTint="F2"/>
                <w:kern w:val="0"/>
                <w:sz w:val="24"/>
                <w:szCs w:val="24"/>
                <w14:textFill>
                  <w14:solidFill>
                    <w14:schemeClr w14:val="tx1">
                      <w14:lumMod w14:val="95000"/>
                      <w14:lumOff w14:val="5000"/>
                    </w14:schemeClr>
                  </w14:solidFill>
                </w14:textFill>
              </w:rPr>
              <w:t>2</w:t>
            </w:r>
            <w:r>
              <w:rPr>
                <w:rFonts w:hint="eastAsia" w:eastAsia="宋体" w:cs="宋体"/>
                <w:color w:val="0D0D0D" w:themeColor="text1" w:themeTint="F2"/>
                <w:kern w:val="0"/>
                <w:sz w:val="24"/>
                <w:szCs w:val="24"/>
                <w14:textFill>
                  <w14:solidFill>
                    <w14:schemeClr w14:val="tx1">
                      <w14:lumMod w14:val="95000"/>
                      <w14:lumOff w14:val="5000"/>
                    </w14:schemeClr>
                  </w14:solidFill>
                </w14:textFill>
              </w:rPr>
              <w:t>年地方政府专项债务还本支出</w:t>
            </w:r>
          </w:p>
        </w:tc>
        <w:tc>
          <w:tcPr>
            <w:tcW w:w="21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w:t>
            </w:r>
          </w:p>
        </w:tc>
      </w:tr>
      <w:tr>
        <w:tblPrEx>
          <w:tblCellMar>
            <w:top w:w="0" w:type="dxa"/>
            <w:left w:w="108" w:type="dxa"/>
            <w:bottom w:w="0" w:type="dxa"/>
            <w:right w:w="108" w:type="dxa"/>
          </w:tblCellMar>
        </w:tblPrEx>
        <w:trPr>
          <w:trHeight w:val="456" w:hRule="atLeast"/>
        </w:trPr>
        <w:tc>
          <w:tcPr>
            <w:tcW w:w="5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五、202</w:t>
            </w:r>
            <w:r>
              <w:rPr>
                <w:rFonts w:eastAsia="宋体" w:cs="宋体"/>
                <w:color w:val="0D0D0D" w:themeColor="text1" w:themeTint="F2"/>
                <w:kern w:val="0"/>
                <w:sz w:val="24"/>
                <w:szCs w:val="24"/>
                <w14:textFill>
                  <w14:solidFill>
                    <w14:schemeClr w14:val="tx1">
                      <w14:lumMod w14:val="95000"/>
                      <w14:lumOff w14:val="5000"/>
                    </w14:schemeClr>
                  </w14:solidFill>
                </w14:textFill>
              </w:rPr>
              <w:t>2</w:t>
            </w:r>
            <w:r>
              <w:rPr>
                <w:rFonts w:hint="eastAsia" w:eastAsia="宋体" w:cs="宋体"/>
                <w:color w:val="0D0D0D" w:themeColor="text1" w:themeTint="F2"/>
                <w:kern w:val="0"/>
                <w:sz w:val="24"/>
                <w:szCs w:val="24"/>
                <w14:textFill>
                  <w14:solidFill>
                    <w14:schemeClr w14:val="tx1">
                      <w14:lumMod w14:val="95000"/>
                      <w14:lumOff w14:val="5000"/>
                    </w14:schemeClr>
                  </w14:solidFill>
                </w14:textFill>
              </w:rPr>
              <w:t>年末地方政府专项债务余额预计执行数</w:t>
            </w:r>
          </w:p>
        </w:tc>
        <w:tc>
          <w:tcPr>
            <w:tcW w:w="21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312</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312</w:t>
            </w:r>
          </w:p>
        </w:tc>
      </w:tr>
      <w:tr>
        <w:tblPrEx>
          <w:tblCellMar>
            <w:top w:w="0" w:type="dxa"/>
            <w:left w:w="108" w:type="dxa"/>
            <w:bottom w:w="0" w:type="dxa"/>
            <w:right w:w="108" w:type="dxa"/>
          </w:tblCellMar>
        </w:tblPrEx>
        <w:trPr>
          <w:trHeight w:val="456" w:hRule="atLeast"/>
        </w:trPr>
        <w:tc>
          <w:tcPr>
            <w:tcW w:w="5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六、202</w:t>
            </w:r>
            <w:r>
              <w:rPr>
                <w:rFonts w:eastAsia="宋体" w:cs="宋体"/>
                <w:color w:val="0D0D0D" w:themeColor="text1" w:themeTint="F2"/>
                <w:kern w:val="0"/>
                <w:sz w:val="24"/>
                <w:szCs w:val="24"/>
                <w14:textFill>
                  <w14:solidFill>
                    <w14:schemeClr w14:val="tx1">
                      <w14:lumMod w14:val="95000"/>
                      <w14:lumOff w14:val="5000"/>
                    </w14:schemeClr>
                  </w14:solidFill>
                </w14:textFill>
              </w:rPr>
              <w:t>3</w:t>
            </w:r>
            <w:r>
              <w:rPr>
                <w:rFonts w:hint="eastAsia" w:eastAsia="宋体" w:cs="宋体"/>
                <w:color w:val="0D0D0D" w:themeColor="text1" w:themeTint="F2"/>
                <w:kern w:val="0"/>
                <w:sz w:val="24"/>
                <w:szCs w:val="24"/>
                <w14:textFill>
                  <w14:solidFill>
                    <w14:schemeClr w14:val="tx1">
                      <w14:lumMod w14:val="95000"/>
                      <w14:lumOff w14:val="5000"/>
                    </w14:schemeClr>
                  </w14:solidFill>
                </w14:textFill>
              </w:rPr>
              <w:t>年地方政府专项债务新增限额</w:t>
            </w:r>
          </w:p>
        </w:tc>
        <w:tc>
          <w:tcPr>
            <w:tcW w:w="21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74</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74</w:t>
            </w:r>
          </w:p>
        </w:tc>
      </w:tr>
      <w:tr>
        <w:tblPrEx>
          <w:tblCellMar>
            <w:top w:w="0" w:type="dxa"/>
            <w:left w:w="108" w:type="dxa"/>
            <w:bottom w:w="0" w:type="dxa"/>
            <w:right w:w="108" w:type="dxa"/>
          </w:tblCellMar>
        </w:tblPrEx>
        <w:trPr>
          <w:trHeight w:val="456" w:hRule="atLeast"/>
        </w:trPr>
        <w:tc>
          <w:tcPr>
            <w:tcW w:w="5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七、202</w:t>
            </w:r>
            <w:r>
              <w:rPr>
                <w:rFonts w:eastAsia="宋体" w:cs="宋体"/>
                <w:color w:val="0D0D0D" w:themeColor="text1" w:themeTint="F2"/>
                <w:kern w:val="0"/>
                <w:sz w:val="24"/>
                <w:szCs w:val="24"/>
                <w14:textFill>
                  <w14:solidFill>
                    <w14:schemeClr w14:val="tx1">
                      <w14:lumMod w14:val="95000"/>
                      <w14:lumOff w14:val="5000"/>
                    </w14:schemeClr>
                  </w14:solidFill>
                </w14:textFill>
              </w:rPr>
              <w:t>3</w:t>
            </w:r>
            <w:r>
              <w:rPr>
                <w:rFonts w:hint="eastAsia" w:eastAsia="宋体" w:cs="宋体"/>
                <w:color w:val="0D0D0D" w:themeColor="text1" w:themeTint="F2"/>
                <w:kern w:val="0"/>
                <w:sz w:val="24"/>
                <w:szCs w:val="24"/>
                <w14:textFill>
                  <w14:solidFill>
                    <w14:schemeClr w14:val="tx1">
                      <w14:lumMod w14:val="95000"/>
                      <w14:lumOff w14:val="5000"/>
                    </w14:schemeClr>
                  </w14:solidFill>
                </w14:textFill>
              </w:rPr>
              <w:t>年末地方政府专项债务限额</w:t>
            </w:r>
          </w:p>
        </w:tc>
        <w:tc>
          <w:tcPr>
            <w:tcW w:w="21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cs="宋体"/>
                <w:color w:val="0D0D0D" w:themeColor="text1" w:themeTint="F2"/>
                <w:kern w:val="0"/>
                <w:sz w:val="24"/>
                <w:szCs w:val="24"/>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636" w:hRule="atLeast"/>
        </w:trPr>
        <w:tc>
          <w:tcPr>
            <w:tcW w:w="9498" w:type="dxa"/>
            <w:gridSpan w:val="3"/>
            <w:tcBorders>
              <w:top w:val="single" w:color="auto" w:sz="4" w:space="0"/>
              <w:left w:val="nil"/>
              <w:bottom w:val="nil"/>
              <w:right w:val="nil"/>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注：1.本表反映本级政府上两年度专项债务余额，上一年度专项债务限额、发行额、还本额及余额，本年度专项债务新增限额及限额。</w:t>
            </w:r>
          </w:p>
        </w:tc>
      </w:tr>
      <w:tr>
        <w:tblPrEx>
          <w:tblCellMar>
            <w:top w:w="0" w:type="dxa"/>
            <w:left w:w="108" w:type="dxa"/>
            <w:bottom w:w="0" w:type="dxa"/>
            <w:right w:w="108" w:type="dxa"/>
          </w:tblCellMar>
        </w:tblPrEx>
        <w:trPr>
          <w:trHeight w:val="432" w:hRule="atLeast"/>
        </w:trPr>
        <w:tc>
          <w:tcPr>
            <w:tcW w:w="9498" w:type="dxa"/>
            <w:gridSpan w:val="3"/>
            <w:tcBorders>
              <w:top w:val="nil"/>
              <w:left w:val="nil"/>
              <w:bottom w:val="nil"/>
              <w:right w:val="nil"/>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2.本表由县级以上地方各级财政部门在本级人民代表大会批准预算后二十日内公开。</w:t>
            </w:r>
          </w:p>
        </w:tc>
      </w:tr>
      <w:tr>
        <w:tblPrEx>
          <w:tblCellMar>
            <w:top w:w="0" w:type="dxa"/>
            <w:left w:w="108" w:type="dxa"/>
            <w:bottom w:w="0" w:type="dxa"/>
            <w:right w:w="108" w:type="dxa"/>
          </w:tblCellMar>
        </w:tblPrEx>
        <w:trPr>
          <w:trHeight w:val="312" w:hRule="atLeast"/>
        </w:trPr>
        <w:tc>
          <w:tcPr>
            <w:tcW w:w="9498" w:type="dxa"/>
            <w:gridSpan w:val="3"/>
            <w:tcBorders>
              <w:top w:val="nil"/>
              <w:left w:val="nil"/>
              <w:bottom w:val="nil"/>
              <w:right w:val="nil"/>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4"/>
                <w:szCs w:val="24"/>
                <w14:textFill>
                  <w14:solidFill>
                    <w14:schemeClr w14:val="tx1">
                      <w14:lumMod w14:val="95000"/>
                      <w14:lumOff w14:val="5000"/>
                    </w14:schemeClr>
                  </w14:solidFill>
                </w14:textFill>
              </w:rPr>
            </w:pPr>
            <w:r>
              <w:rPr>
                <w:rFonts w:hint="eastAsia" w:eastAsia="宋体" w:cs="宋体"/>
                <w:color w:val="0D0D0D" w:themeColor="text1" w:themeTint="F2"/>
                <w:kern w:val="0"/>
                <w:sz w:val="24"/>
                <w:szCs w:val="24"/>
                <w14:textFill>
                  <w14:solidFill>
                    <w14:schemeClr w14:val="tx1">
                      <w14:lumMod w14:val="95000"/>
                      <w14:lumOff w14:val="5000"/>
                    </w14:schemeClr>
                  </w14:solidFill>
                </w14:textFill>
              </w:rPr>
              <w:t>3.2021年重庆高新区承接九龙坡区划转专项债务16.155亿元。</w:t>
            </w:r>
          </w:p>
        </w:tc>
      </w:tr>
    </w:tbl>
    <w:p>
      <w:pPr>
        <w:widowControl/>
        <w:spacing w:line="240" w:lineRule="auto"/>
        <w:ind w:firstLine="0" w:firstLineChars="0"/>
        <w:rPr>
          <w:rFonts w:eastAsia="方正楷体_GBK"/>
          <w:bCs/>
          <w:color w:val="0D0D0D" w:themeColor="text1" w:themeTint="F2"/>
          <w:kern w:val="44"/>
          <w:szCs w:val="44"/>
          <w14:textFill>
            <w14:solidFill>
              <w14:schemeClr w14:val="tx1">
                <w14:lumMod w14:val="95000"/>
                <w14:lumOff w14:val="5000"/>
              </w14:schemeClr>
            </w14:solidFill>
          </w14:textFill>
        </w:rPr>
      </w:pPr>
    </w:p>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pPr>
      <w:r>
        <w:rPr>
          <w:rFonts w:eastAsia="方正楷体_GBK"/>
          <w:bCs/>
          <w:color w:val="0D0D0D" w:themeColor="text1" w:themeTint="F2"/>
          <w:kern w:val="44"/>
          <w:szCs w:val="44"/>
          <w14:textFill>
            <w14:solidFill>
              <w14:schemeClr w14:val="tx1">
                <w14:lumMod w14:val="95000"/>
                <w14:lumOff w14:val="5000"/>
              </w14:schemeClr>
            </w14:solidFill>
          </w14:textFill>
        </w:rPr>
        <w:br w:type="page"/>
      </w:r>
    </w:p>
    <w:tbl>
      <w:tblPr>
        <w:tblStyle w:val="7"/>
        <w:tblW w:w="9980" w:type="dxa"/>
        <w:tblInd w:w="0" w:type="dxa"/>
        <w:tblLayout w:type="autofit"/>
        <w:tblCellMar>
          <w:top w:w="0" w:type="dxa"/>
          <w:left w:w="108" w:type="dxa"/>
          <w:bottom w:w="0" w:type="dxa"/>
          <w:right w:w="108" w:type="dxa"/>
        </w:tblCellMar>
      </w:tblPr>
      <w:tblGrid>
        <w:gridCol w:w="7088"/>
        <w:gridCol w:w="1701"/>
        <w:gridCol w:w="1191"/>
      </w:tblGrid>
      <w:tr>
        <w:tblPrEx>
          <w:tblCellMar>
            <w:top w:w="0" w:type="dxa"/>
            <w:left w:w="108" w:type="dxa"/>
            <w:bottom w:w="0" w:type="dxa"/>
            <w:right w:w="108" w:type="dxa"/>
          </w:tblCellMar>
        </w:tblPrEx>
        <w:trPr>
          <w:trHeight w:val="372" w:hRule="atLeast"/>
        </w:trPr>
        <w:tc>
          <w:tcPr>
            <w:tcW w:w="7088" w:type="dxa"/>
            <w:tcBorders>
              <w:top w:val="nil"/>
              <w:left w:val="nil"/>
              <w:bottom w:val="nil"/>
              <w:right w:val="nil"/>
            </w:tcBorders>
            <w:shd w:val="clear" w:color="auto" w:fill="auto"/>
            <w:noWrap/>
            <w:vAlign w:val="bottom"/>
          </w:tcPr>
          <w:p>
            <w:pPr>
              <w:widowControl/>
              <w:spacing w:line="240" w:lineRule="auto"/>
              <w:ind w:firstLine="0" w:firstLineChars="0"/>
              <w:jc w:val="left"/>
              <w:rPr>
                <w:rFonts w:eastAsia="方正黑体_GBK" w:cs="宋体"/>
                <w:color w:val="0D0D0D" w:themeColor="text1" w:themeTint="F2"/>
                <w:kern w:val="0"/>
                <w:sz w:val="28"/>
                <w:szCs w:val="28"/>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表23</w:t>
            </w:r>
          </w:p>
        </w:tc>
        <w:tc>
          <w:tcPr>
            <w:tcW w:w="1701" w:type="dxa"/>
            <w:tcBorders>
              <w:top w:val="nil"/>
              <w:left w:val="nil"/>
              <w:bottom w:val="nil"/>
              <w:right w:val="nil"/>
            </w:tcBorders>
            <w:shd w:val="clear" w:color="auto" w:fill="auto"/>
            <w:noWrap/>
            <w:vAlign w:val="bottom"/>
          </w:tcPr>
          <w:p>
            <w:pPr>
              <w:widowControl/>
              <w:adjustRightInd w:val="0"/>
              <w:snapToGrid w:val="0"/>
              <w:spacing w:line="240" w:lineRule="auto"/>
              <w:ind w:firstLine="0" w:firstLineChars="0"/>
              <w:jc w:val="left"/>
              <w:rPr>
                <w:rFonts w:eastAsia="方正黑体_GBK" w:cs="宋体"/>
                <w:color w:val="0D0D0D" w:themeColor="text1" w:themeTint="F2"/>
                <w:kern w:val="0"/>
                <w:sz w:val="28"/>
                <w:szCs w:val="28"/>
                <w14:textFill>
                  <w14:solidFill>
                    <w14:schemeClr w14:val="tx1">
                      <w14:lumMod w14:val="95000"/>
                      <w14:lumOff w14:val="5000"/>
                    </w14:schemeClr>
                  </w14:solidFill>
                </w14:textFill>
              </w:rPr>
            </w:pPr>
          </w:p>
        </w:tc>
        <w:tc>
          <w:tcPr>
            <w:tcW w:w="1191" w:type="dxa"/>
            <w:tcBorders>
              <w:top w:val="nil"/>
              <w:left w:val="nil"/>
              <w:bottom w:val="nil"/>
              <w:right w:val="nil"/>
            </w:tcBorders>
            <w:shd w:val="clear" w:color="auto" w:fill="auto"/>
            <w:noWrap/>
            <w:vAlign w:val="bottom"/>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32" w:hRule="atLeast"/>
        </w:trPr>
        <w:tc>
          <w:tcPr>
            <w:tcW w:w="9980" w:type="dxa"/>
            <w:gridSpan w:val="3"/>
            <w:tcBorders>
              <w:top w:val="nil"/>
              <w:left w:val="nil"/>
              <w:bottom w:val="nil"/>
              <w:right w:val="nil"/>
            </w:tcBorders>
            <w:shd w:val="clear" w:color="auto" w:fill="auto"/>
            <w:vAlign w:val="center"/>
          </w:tcPr>
          <w:p>
            <w:pPr>
              <w:widowControl/>
              <w:adjustRightInd w:val="0"/>
              <w:snapToGrid w:val="0"/>
              <w:spacing w:line="240" w:lineRule="auto"/>
              <w:ind w:firstLine="0" w:firstLineChars="0"/>
              <w:jc w:val="center"/>
              <w:rPr>
                <w:rFonts w:eastAsia="方正小标宋_GBK" w:cs="宋体"/>
                <w:color w:val="0D0D0D" w:themeColor="text1" w:themeTint="F2"/>
                <w:kern w:val="0"/>
                <w:szCs w:val="32"/>
                <w14:textFill>
                  <w14:solidFill>
                    <w14:schemeClr w14:val="tx1">
                      <w14:lumMod w14:val="95000"/>
                      <w14:lumOff w14:val="5000"/>
                    </w14:schemeClr>
                  </w14:solidFill>
                </w14:textFill>
              </w:rPr>
            </w:pPr>
            <w:r>
              <w:rPr>
                <w:rFonts w:hint="eastAsia" w:eastAsia="方正小标宋_GBK" w:cs="宋体"/>
                <w:color w:val="0D0D0D" w:themeColor="text1" w:themeTint="F2"/>
                <w:kern w:val="0"/>
                <w:szCs w:val="32"/>
                <w14:textFill>
                  <w14:solidFill>
                    <w14:schemeClr w14:val="tx1">
                      <w14:lumMod w14:val="95000"/>
                      <w14:lumOff w14:val="5000"/>
                    </w14:schemeClr>
                  </w14:solidFill>
                </w14:textFill>
              </w:rPr>
              <w:t>重庆高新区地方政府债券发行及还本付息情况表</w:t>
            </w:r>
          </w:p>
        </w:tc>
      </w:tr>
      <w:tr>
        <w:tblPrEx>
          <w:tblCellMar>
            <w:top w:w="0" w:type="dxa"/>
            <w:left w:w="108" w:type="dxa"/>
            <w:bottom w:w="0" w:type="dxa"/>
            <w:right w:w="108" w:type="dxa"/>
          </w:tblCellMar>
        </w:tblPrEx>
        <w:trPr>
          <w:trHeight w:val="380" w:hRule="atLeast"/>
        </w:trPr>
        <w:tc>
          <w:tcPr>
            <w:tcW w:w="7088" w:type="dxa"/>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center"/>
              <w:rPr>
                <w:rFonts w:eastAsia="方正小标宋_GBK" w:cs="宋体"/>
                <w:color w:val="0D0D0D" w:themeColor="text1" w:themeTint="F2"/>
                <w:kern w:val="0"/>
                <w:szCs w:val="32"/>
                <w14:textFill>
                  <w14:solidFill>
                    <w14:schemeClr w14:val="tx1">
                      <w14:lumMod w14:val="95000"/>
                      <w14:lumOff w14:val="5000"/>
                    </w14:schemeClr>
                  </w14:solidFill>
                </w14:textFill>
              </w:rPr>
            </w:pPr>
          </w:p>
        </w:tc>
        <w:tc>
          <w:tcPr>
            <w:tcW w:w="1701" w:type="dxa"/>
            <w:tcBorders>
              <w:top w:val="nil"/>
              <w:left w:val="nil"/>
              <w:bottom w:val="single" w:color="auto" w:sz="4" w:space="0"/>
              <w:right w:val="nil"/>
            </w:tcBorders>
            <w:shd w:val="clear" w:color="auto" w:fill="auto"/>
            <w:noWrap/>
            <w:vAlign w:val="center"/>
          </w:tcPr>
          <w:p>
            <w:pPr>
              <w:widowControl/>
              <w:adjustRightInd w:val="0"/>
              <w:snapToGrid w:val="0"/>
              <w:spacing w:line="240" w:lineRule="auto"/>
              <w:ind w:firstLine="0" w:firstLineChars="0"/>
              <w:jc w:val="left"/>
              <w:rPr>
                <w:rFonts w:eastAsia="Times New Roman" w:cs="Times New Roman"/>
                <w:color w:val="0D0D0D" w:themeColor="text1" w:themeTint="F2"/>
                <w:kern w:val="0"/>
                <w:sz w:val="20"/>
                <w:szCs w:val="20"/>
                <w14:textFill>
                  <w14:solidFill>
                    <w14:schemeClr w14:val="tx1">
                      <w14:lumMod w14:val="95000"/>
                      <w14:lumOff w14:val="5000"/>
                    </w14:schemeClr>
                  </w14:solidFill>
                </w14:textFill>
              </w:rPr>
            </w:pPr>
          </w:p>
        </w:tc>
        <w:tc>
          <w:tcPr>
            <w:tcW w:w="1191" w:type="dxa"/>
            <w:tcBorders>
              <w:top w:val="nil"/>
              <w:left w:val="nil"/>
              <w:bottom w:val="single" w:color="auto" w:sz="4" w:space="0"/>
              <w:right w:val="nil"/>
            </w:tcBorders>
            <w:shd w:val="clear" w:color="auto" w:fill="auto"/>
            <w:vAlign w:val="center"/>
          </w:tcPr>
          <w:p>
            <w:pPr>
              <w:widowControl/>
              <w:adjustRightInd w:val="0"/>
              <w:snapToGrid w:val="0"/>
              <w:spacing w:line="240" w:lineRule="auto"/>
              <w:ind w:firstLine="0" w:firstLineChars="0"/>
              <w:jc w:val="right"/>
              <w:rPr>
                <w:rFonts w:eastAsia="宋体" w:cs="宋体"/>
                <w:color w:val="0D0D0D" w:themeColor="text1" w:themeTint="F2"/>
                <w:kern w:val="0"/>
                <w:sz w:val="18"/>
                <w:szCs w:val="18"/>
                <w14:textFill>
                  <w14:solidFill>
                    <w14:schemeClr w14:val="tx1">
                      <w14:lumMod w14:val="95000"/>
                      <w14:lumOff w14:val="5000"/>
                    </w14:schemeClr>
                  </w14:solidFill>
                </w14:textFill>
              </w:rPr>
            </w:pPr>
            <w:r>
              <w:rPr>
                <w:rFonts w:hint="eastAsia" w:eastAsia="宋体" w:cs="宋体"/>
                <w:color w:val="0D0D0D" w:themeColor="text1" w:themeTint="F2"/>
                <w:kern w:val="0"/>
                <w:sz w:val="18"/>
                <w:szCs w:val="18"/>
                <w14:textFill>
                  <w14:solidFill>
                    <w14:schemeClr w14:val="tx1">
                      <w14:lumMod w14:val="95000"/>
                      <w14:lumOff w14:val="5000"/>
                    </w14:schemeClr>
                  </w14:solidFill>
                </w14:textFill>
              </w:rPr>
              <w:t>单位：亿元</w:t>
            </w:r>
          </w:p>
        </w:tc>
      </w:tr>
      <w:tr>
        <w:tblPrEx>
          <w:tblCellMar>
            <w:top w:w="0" w:type="dxa"/>
            <w:left w:w="108" w:type="dxa"/>
            <w:bottom w:w="0" w:type="dxa"/>
            <w:right w:w="108" w:type="dxa"/>
          </w:tblCellMar>
        </w:tblPrEx>
        <w:trPr>
          <w:trHeight w:val="468" w:hRule="atLeast"/>
        </w:trPr>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b/>
                <w:bCs/>
                <w:color w:val="0D0D0D" w:themeColor="text1" w:themeTint="F2"/>
                <w:kern w:val="0"/>
                <w:sz w:val="22"/>
                <w14:textFill>
                  <w14:solidFill>
                    <w14:schemeClr w14:val="tx1">
                      <w14:lumMod w14:val="95000"/>
                      <w14:lumOff w14:val="5000"/>
                    </w14:schemeClr>
                  </w14:solidFill>
                </w14:textFill>
              </w:rPr>
            </w:pPr>
            <w:r>
              <w:rPr>
                <w:rFonts w:hint="eastAsia" w:eastAsia="宋体" w:cs="宋体"/>
                <w:b/>
                <w:bCs/>
                <w:color w:val="0D0D0D" w:themeColor="text1" w:themeTint="F2"/>
                <w:kern w:val="0"/>
                <w:sz w:val="22"/>
                <w14:textFill>
                  <w14:solidFill>
                    <w14:schemeClr w14:val="tx1">
                      <w14:lumMod w14:val="95000"/>
                      <w14:lumOff w14:val="5000"/>
                    </w14:schemeClr>
                  </w14:solidFill>
                </w14:textFill>
              </w:rPr>
              <w:t>项    目</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b/>
                <w:bCs/>
                <w:color w:val="0D0D0D" w:themeColor="text1" w:themeTint="F2"/>
                <w:kern w:val="0"/>
                <w:sz w:val="22"/>
                <w14:textFill>
                  <w14:solidFill>
                    <w14:schemeClr w14:val="tx1">
                      <w14:lumMod w14:val="95000"/>
                      <w14:lumOff w14:val="5000"/>
                    </w14:schemeClr>
                  </w14:solidFill>
                </w14:textFill>
              </w:rPr>
            </w:pPr>
            <w:r>
              <w:rPr>
                <w:rFonts w:hint="eastAsia" w:eastAsia="宋体" w:cs="宋体"/>
                <w:b/>
                <w:bCs/>
                <w:color w:val="0D0D0D" w:themeColor="text1" w:themeTint="F2"/>
                <w:kern w:val="0"/>
                <w:sz w:val="22"/>
                <w14:textFill>
                  <w14:solidFill>
                    <w14:schemeClr w14:val="tx1">
                      <w14:lumMod w14:val="95000"/>
                      <w14:lumOff w14:val="5000"/>
                    </w14:schemeClr>
                  </w14:solidFill>
                </w14:textFill>
              </w:rPr>
              <w:t>公式</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b/>
                <w:bCs/>
                <w:color w:val="0D0D0D" w:themeColor="text1" w:themeTint="F2"/>
                <w:kern w:val="0"/>
                <w:sz w:val="22"/>
                <w14:textFill>
                  <w14:solidFill>
                    <w14:schemeClr w14:val="tx1">
                      <w14:lumMod w14:val="95000"/>
                      <w14:lumOff w14:val="5000"/>
                    </w14:schemeClr>
                  </w14:solidFill>
                </w14:textFill>
              </w:rPr>
            </w:pPr>
            <w:r>
              <w:rPr>
                <w:rFonts w:hint="eastAsia" w:eastAsia="宋体" w:cs="宋体"/>
                <w:b/>
                <w:bCs/>
                <w:color w:val="0D0D0D" w:themeColor="text1" w:themeTint="F2"/>
                <w:kern w:val="0"/>
                <w:sz w:val="22"/>
                <w14:textFill>
                  <w14:solidFill>
                    <w14:schemeClr w14:val="tx1">
                      <w14:lumMod w14:val="95000"/>
                      <w14:lumOff w14:val="5000"/>
                    </w14:schemeClr>
                  </w14:solidFill>
                </w14:textFill>
              </w:rPr>
              <w:t>本级</w:t>
            </w:r>
          </w:p>
        </w:tc>
      </w:tr>
      <w:tr>
        <w:tblPrEx>
          <w:tblCellMar>
            <w:top w:w="0" w:type="dxa"/>
            <w:left w:w="108" w:type="dxa"/>
            <w:bottom w:w="0" w:type="dxa"/>
            <w:right w:w="108" w:type="dxa"/>
          </w:tblCellMar>
        </w:tblPrEx>
        <w:trPr>
          <w:trHeight w:val="468" w:hRule="atLeast"/>
        </w:trPr>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一、2022年发行预计执行数</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A=B+D</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143.8</w:t>
            </w:r>
          </w:p>
        </w:tc>
      </w:tr>
      <w:tr>
        <w:tblPrEx>
          <w:tblCellMar>
            <w:top w:w="0" w:type="dxa"/>
            <w:left w:w="108" w:type="dxa"/>
            <w:bottom w:w="0" w:type="dxa"/>
            <w:right w:w="108" w:type="dxa"/>
          </w:tblCellMar>
        </w:tblPrEx>
        <w:trPr>
          <w:trHeight w:val="468" w:hRule="atLeast"/>
        </w:trPr>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（一）一般债券</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B</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5.1</w:t>
            </w:r>
          </w:p>
        </w:tc>
      </w:tr>
      <w:tr>
        <w:tblPrEx>
          <w:tblCellMar>
            <w:top w:w="0" w:type="dxa"/>
            <w:left w:w="108" w:type="dxa"/>
            <w:bottom w:w="0" w:type="dxa"/>
            <w:right w:w="108" w:type="dxa"/>
          </w:tblCellMar>
        </w:tblPrEx>
        <w:trPr>
          <w:trHeight w:val="468" w:hRule="atLeast"/>
        </w:trPr>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 xml:space="preserve">   其中：再融资债券</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C</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0.0</w:t>
            </w:r>
          </w:p>
        </w:tc>
      </w:tr>
      <w:tr>
        <w:tblPrEx>
          <w:tblCellMar>
            <w:top w:w="0" w:type="dxa"/>
            <w:left w:w="108" w:type="dxa"/>
            <w:bottom w:w="0" w:type="dxa"/>
            <w:right w:w="108" w:type="dxa"/>
          </w:tblCellMar>
        </w:tblPrEx>
        <w:trPr>
          <w:trHeight w:val="468" w:hRule="atLeast"/>
        </w:trPr>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（二）专项债券</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D</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138.7</w:t>
            </w:r>
          </w:p>
        </w:tc>
      </w:tr>
      <w:tr>
        <w:tblPrEx>
          <w:tblCellMar>
            <w:top w:w="0" w:type="dxa"/>
            <w:left w:w="108" w:type="dxa"/>
            <w:bottom w:w="0" w:type="dxa"/>
            <w:right w:w="108" w:type="dxa"/>
          </w:tblCellMar>
        </w:tblPrEx>
        <w:trPr>
          <w:trHeight w:val="468" w:hRule="atLeast"/>
        </w:trPr>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 xml:space="preserve">   其中：再融资债券</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E</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0.0</w:t>
            </w:r>
          </w:p>
        </w:tc>
      </w:tr>
      <w:tr>
        <w:tblPrEx>
          <w:tblCellMar>
            <w:top w:w="0" w:type="dxa"/>
            <w:left w:w="108" w:type="dxa"/>
            <w:bottom w:w="0" w:type="dxa"/>
            <w:right w:w="108" w:type="dxa"/>
          </w:tblCellMar>
        </w:tblPrEx>
        <w:trPr>
          <w:trHeight w:val="468" w:hRule="atLeast"/>
        </w:trPr>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二、2022年还本支出预计执行数</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F=G+H</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0.0</w:t>
            </w:r>
          </w:p>
        </w:tc>
      </w:tr>
      <w:tr>
        <w:tblPrEx>
          <w:tblCellMar>
            <w:top w:w="0" w:type="dxa"/>
            <w:left w:w="108" w:type="dxa"/>
            <w:bottom w:w="0" w:type="dxa"/>
            <w:right w:w="108" w:type="dxa"/>
          </w:tblCellMar>
        </w:tblPrEx>
        <w:trPr>
          <w:trHeight w:val="468" w:hRule="atLeast"/>
        </w:trPr>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（一）一般债券</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G</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0.0</w:t>
            </w:r>
          </w:p>
        </w:tc>
      </w:tr>
      <w:tr>
        <w:tblPrEx>
          <w:tblCellMar>
            <w:top w:w="0" w:type="dxa"/>
            <w:left w:w="108" w:type="dxa"/>
            <w:bottom w:w="0" w:type="dxa"/>
            <w:right w:w="108" w:type="dxa"/>
          </w:tblCellMar>
        </w:tblPrEx>
        <w:trPr>
          <w:trHeight w:val="468" w:hRule="atLeast"/>
        </w:trPr>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（二）专项债券</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H</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0.0</w:t>
            </w:r>
          </w:p>
        </w:tc>
      </w:tr>
      <w:tr>
        <w:tblPrEx>
          <w:tblCellMar>
            <w:top w:w="0" w:type="dxa"/>
            <w:left w:w="108" w:type="dxa"/>
            <w:bottom w:w="0" w:type="dxa"/>
            <w:right w:w="108" w:type="dxa"/>
          </w:tblCellMar>
        </w:tblPrEx>
        <w:trPr>
          <w:trHeight w:val="468" w:hRule="atLeast"/>
        </w:trPr>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三、2022年付息支出预计执行数</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I=J+K</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10.0</w:t>
            </w:r>
          </w:p>
        </w:tc>
      </w:tr>
      <w:tr>
        <w:tblPrEx>
          <w:tblCellMar>
            <w:top w:w="0" w:type="dxa"/>
            <w:left w:w="108" w:type="dxa"/>
            <w:bottom w:w="0" w:type="dxa"/>
            <w:right w:w="108" w:type="dxa"/>
          </w:tblCellMar>
        </w:tblPrEx>
        <w:trPr>
          <w:trHeight w:val="468" w:hRule="atLeast"/>
        </w:trPr>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（一）一般债券</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J</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1.7</w:t>
            </w:r>
          </w:p>
        </w:tc>
      </w:tr>
      <w:tr>
        <w:tblPrEx>
          <w:tblCellMar>
            <w:top w:w="0" w:type="dxa"/>
            <w:left w:w="108" w:type="dxa"/>
            <w:bottom w:w="0" w:type="dxa"/>
            <w:right w:w="108" w:type="dxa"/>
          </w:tblCellMar>
        </w:tblPrEx>
        <w:trPr>
          <w:trHeight w:val="468" w:hRule="atLeast"/>
        </w:trPr>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（二）专项债券</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K</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8.3</w:t>
            </w:r>
          </w:p>
        </w:tc>
      </w:tr>
      <w:tr>
        <w:tblPrEx>
          <w:tblCellMar>
            <w:top w:w="0" w:type="dxa"/>
            <w:left w:w="108" w:type="dxa"/>
            <w:bottom w:w="0" w:type="dxa"/>
            <w:right w:w="108" w:type="dxa"/>
          </w:tblCellMar>
        </w:tblPrEx>
        <w:trPr>
          <w:trHeight w:val="468" w:hRule="atLeast"/>
        </w:trPr>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四、2023年还本支出预算数</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L=M+O</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7.0</w:t>
            </w:r>
          </w:p>
        </w:tc>
      </w:tr>
      <w:tr>
        <w:tblPrEx>
          <w:tblCellMar>
            <w:top w:w="0" w:type="dxa"/>
            <w:left w:w="108" w:type="dxa"/>
            <w:bottom w:w="0" w:type="dxa"/>
            <w:right w:w="108" w:type="dxa"/>
          </w:tblCellMar>
        </w:tblPrEx>
        <w:trPr>
          <w:trHeight w:val="468" w:hRule="atLeast"/>
        </w:trPr>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（一）一般债券</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M</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2.0</w:t>
            </w:r>
          </w:p>
        </w:tc>
      </w:tr>
      <w:tr>
        <w:tblPrEx>
          <w:tblCellMar>
            <w:top w:w="0" w:type="dxa"/>
            <w:left w:w="108" w:type="dxa"/>
            <w:bottom w:w="0" w:type="dxa"/>
            <w:right w:w="108" w:type="dxa"/>
          </w:tblCellMar>
        </w:tblPrEx>
        <w:trPr>
          <w:trHeight w:val="468" w:hRule="atLeast"/>
        </w:trPr>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 xml:space="preserve">   其中：再融资</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2.0</w:t>
            </w:r>
          </w:p>
        </w:tc>
      </w:tr>
      <w:tr>
        <w:tblPrEx>
          <w:tblCellMar>
            <w:top w:w="0" w:type="dxa"/>
            <w:left w:w="108" w:type="dxa"/>
            <w:bottom w:w="0" w:type="dxa"/>
            <w:right w:w="108" w:type="dxa"/>
          </w:tblCellMar>
        </w:tblPrEx>
        <w:trPr>
          <w:trHeight w:val="238" w:hRule="atLeast"/>
        </w:trPr>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 xml:space="preserve">         财政预算安排 </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N</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0.0</w:t>
            </w:r>
          </w:p>
        </w:tc>
      </w:tr>
      <w:tr>
        <w:tblPrEx>
          <w:tblCellMar>
            <w:top w:w="0" w:type="dxa"/>
            <w:left w:w="108" w:type="dxa"/>
            <w:bottom w:w="0" w:type="dxa"/>
            <w:right w:w="108" w:type="dxa"/>
          </w:tblCellMar>
        </w:tblPrEx>
        <w:trPr>
          <w:trHeight w:val="369" w:hRule="atLeast"/>
        </w:trPr>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（二）专项债券</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O</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5.0</w:t>
            </w:r>
          </w:p>
        </w:tc>
      </w:tr>
      <w:tr>
        <w:tblPrEx>
          <w:tblCellMar>
            <w:top w:w="0" w:type="dxa"/>
            <w:left w:w="108" w:type="dxa"/>
            <w:bottom w:w="0" w:type="dxa"/>
            <w:right w:w="108" w:type="dxa"/>
          </w:tblCellMar>
        </w:tblPrEx>
        <w:trPr>
          <w:trHeight w:val="266" w:hRule="atLeast"/>
        </w:trPr>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 xml:space="preserve">   其中：再融资</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　</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5.0</w:t>
            </w:r>
          </w:p>
        </w:tc>
      </w:tr>
      <w:tr>
        <w:tblPrEx>
          <w:tblCellMar>
            <w:top w:w="0" w:type="dxa"/>
            <w:left w:w="108" w:type="dxa"/>
            <w:bottom w:w="0" w:type="dxa"/>
            <w:right w:w="108" w:type="dxa"/>
          </w:tblCellMar>
        </w:tblPrEx>
        <w:trPr>
          <w:trHeight w:val="357" w:hRule="atLeast"/>
        </w:trPr>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 xml:space="preserve">         财政预算安排</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P</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0.0</w:t>
            </w:r>
          </w:p>
        </w:tc>
      </w:tr>
      <w:tr>
        <w:tblPrEx>
          <w:tblCellMar>
            <w:top w:w="0" w:type="dxa"/>
            <w:left w:w="108" w:type="dxa"/>
            <w:bottom w:w="0" w:type="dxa"/>
            <w:right w:w="108" w:type="dxa"/>
          </w:tblCellMar>
        </w:tblPrEx>
        <w:trPr>
          <w:trHeight w:val="313" w:hRule="atLeast"/>
        </w:trPr>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五、2023年付息支出预算数</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Q=R+S</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14.0</w:t>
            </w:r>
          </w:p>
        </w:tc>
      </w:tr>
      <w:tr>
        <w:tblPrEx>
          <w:tblCellMar>
            <w:top w:w="0" w:type="dxa"/>
            <w:left w:w="108" w:type="dxa"/>
            <w:bottom w:w="0" w:type="dxa"/>
            <w:right w:w="108" w:type="dxa"/>
          </w:tblCellMar>
        </w:tblPrEx>
        <w:trPr>
          <w:trHeight w:val="276" w:hRule="atLeast"/>
        </w:trPr>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（一）一般债券</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R</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2.5</w:t>
            </w:r>
          </w:p>
        </w:tc>
      </w:tr>
      <w:tr>
        <w:tblPrEx>
          <w:tblCellMar>
            <w:top w:w="0" w:type="dxa"/>
            <w:left w:w="108" w:type="dxa"/>
            <w:bottom w:w="0" w:type="dxa"/>
            <w:right w:w="108" w:type="dxa"/>
          </w:tblCellMar>
        </w:tblPrEx>
        <w:trPr>
          <w:trHeight w:val="265" w:hRule="atLeast"/>
        </w:trPr>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（二）专项债券</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S</w:t>
            </w:r>
          </w:p>
        </w:tc>
        <w:tc>
          <w:tcPr>
            <w:tcW w:w="11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等线" w:cs="Times New Roman"/>
                <w:color w:val="0D0D0D" w:themeColor="text1" w:themeTint="F2"/>
                <w:kern w:val="0"/>
                <w:sz w:val="22"/>
                <w14:textFill>
                  <w14:solidFill>
                    <w14:schemeClr w14:val="tx1">
                      <w14:lumMod w14:val="95000"/>
                      <w14:lumOff w14:val="5000"/>
                    </w14:schemeClr>
                  </w14:solidFill>
                </w14:textFill>
              </w:rPr>
            </w:pPr>
            <w:r>
              <w:rPr>
                <w:rFonts w:eastAsia="等线" w:cs="Times New Roman"/>
                <w:color w:val="0D0D0D" w:themeColor="text1" w:themeTint="F2"/>
                <w:kern w:val="0"/>
                <w:sz w:val="22"/>
                <w14:textFill>
                  <w14:solidFill>
                    <w14:schemeClr w14:val="tx1">
                      <w14:lumMod w14:val="95000"/>
                      <w14:lumOff w14:val="5000"/>
                    </w14:schemeClr>
                  </w14:solidFill>
                </w14:textFill>
              </w:rPr>
              <w:t>11.5</w:t>
            </w:r>
          </w:p>
        </w:tc>
      </w:tr>
      <w:tr>
        <w:tblPrEx>
          <w:tblCellMar>
            <w:top w:w="0" w:type="dxa"/>
            <w:left w:w="108" w:type="dxa"/>
            <w:bottom w:w="0" w:type="dxa"/>
            <w:right w:w="108" w:type="dxa"/>
          </w:tblCellMar>
        </w:tblPrEx>
        <w:trPr>
          <w:trHeight w:val="398" w:hRule="atLeast"/>
        </w:trPr>
        <w:tc>
          <w:tcPr>
            <w:tcW w:w="9980" w:type="dxa"/>
            <w:gridSpan w:val="3"/>
            <w:tcBorders>
              <w:top w:val="single" w:color="auto" w:sz="4" w:space="0"/>
              <w:left w:val="nil"/>
              <w:bottom w:val="nil"/>
              <w:right w:val="nil"/>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18"/>
                <w:szCs w:val="18"/>
                <w14:textFill>
                  <w14:solidFill>
                    <w14:schemeClr w14:val="tx1">
                      <w14:lumMod w14:val="95000"/>
                      <w14:lumOff w14:val="5000"/>
                    </w14:schemeClr>
                  </w14:solidFill>
                </w14:textFill>
              </w:rPr>
            </w:pPr>
            <w:r>
              <w:rPr>
                <w:rFonts w:hint="eastAsia" w:eastAsia="宋体" w:cs="宋体"/>
                <w:color w:val="0D0D0D" w:themeColor="text1" w:themeTint="F2"/>
                <w:kern w:val="0"/>
                <w:sz w:val="18"/>
                <w:szCs w:val="18"/>
                <w14:textFill>
                  <w14:solidFill>
                    <w14:schemeClr w14:val="tx1">
                      <w14:lumMod w14:val="95000"/>
                      <w14:lumOff w14:val="5000"/>
                    </w14:schemeClr>
                  </w14:solidFill>
                </w14:textFill>
              </w:rPr>
              <w:t>注：1.本表反映本级上一年度地方政府债券（含再融资债券）发行及还本付息支出预计执行数、本年度地方政府债券还本付息预算数等。</w:t>
            </w:r>
          </w:p>
        </w:tc>
      </w:tr>
      <w:tr>
        <w:tblPrEx>
          <w:tblCellMar>
            <w:top w:w="0" w:type="dxa"/>
            <w:left w:w="108" w:type="dxa"/>
            <w:bottom w:w="0" w:type="dxa"/>
            <w:right w:w="108" w:type="dxa"/>
          </w:tblCellMar>
        </w:tblPrEx>
        <w:trPr>
          <w:trHeight w:val="780" w:hRule="atLeast"/>
        </w:trPr>
        <w:tc>
          <w:tcPr>
            <w:tcW w:w="9980" w:type="dxa"/>
            <w:gridSpan w:val="3"/>
            <w:tcBorders>
              <w:top w:val="nil"/>
              <w:left w:val="nil"/>
              <w:bottom w:val="nil"/>
              <w:right w:val="nil"/>
            </w:tcBorders>
            <w:shd w:val="clear" w:color="auto" w:fill="auto"/>
            <w:vAlign w:val="center"/>
          </w:tcPr>
          <w:p>
            <w:pPr>
              <w:widowControl/>
              <w:adjustRightInd w:val="0"/>
              <w:snapToGrid w:val="0"/>
              <w:spacing w:line="240" w:lineRule="auto"/>
              <w:ind w:firstLine="0" w:firstLineChars="0"/>
              <w:jc w:val="left"/>
              <w:rPr>
                <w:rFonts w:eastAsia="宋体" w:cs="宋体"/>
                <w:color w:val="0D0D0D" w:themeColor="text1" w:themeTint="F2"/>
                <w:kern w:val="0"/>
                <w:sz w:val="18"/>
                <w:szCs w:val="18"/>
                <w14:textFill>
                  <w14:solidFill>
                    <w14:schemeClr w14:val="tx1">
                      <w14:lumMod w14:val="95000"/>
                      <w14:lumOff w14:val="5000"/>
                    </w14:schemeClr>
                  </w14:solidFill>
                </w14:textFill>
              </w:rPr>
            </w:pPr>
            <w:r>
              <w:rPr>
                <w:rFonts w:hint="eastAsia" w:eastAsia="宋体" w:cs="宋体"/>
                <w:color w:val="0D0D0D" w:themeColor="text1" w:themeTint="F2"/>
                <w:kern w:val="0"/>
                <w:sz w:val="18"/>
                <w:szCs w:val="18"/>
                <w14:textFill>
                  <w14:solidFill>
                    <w14:schemeClr w14:val="tx1">
                      <w14:lumMod w14:val="95000"/>
                      <w14:lumOff w14:val="5000"/>
                    </w14:schemeClr>
                  </w14:solidFill>
                </w14:textFill>
              </w:rPr>
              <w:t>2.本表由县级以上地方各级财政部门在本级人民代表大会批准预算后二十日内公开。</w:t>
            </w:r>
          </w:p>
        </w:tc>
      </w:tr>
    </w:tbl>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pPr>
      <w:r>
        <w:rPr>
          <w:rFonts w:eastAsia="方正楷体_GBK"/>
          <w:bCs/>
          <w:color w:val="0D0D0D" w:themeColor="text1" w:themeTint="F2"/>
          <w:kern w:val="44"/>
          <w:szCs w:val="44"/>
          <w14:textFill>
            <w14:solidFill>
              <w14:schemeClr w14:val="tx1">
                <w14:lumMod w14:val="95000"/>
                <w14:lumOff w14:val="5000"/>
              </w14:schemeClr>
            </w14:solidFill>
          </w14:textFill>
        </w:rPr>
        <w:br w:type="page"/>
      </w:r>
    </w:p>
    <w:tbl>
      <w:tblPr>
        <w:tblStyle w:val="7"/>
        <w:tblW w:w="8500" w:type="dxa"/>
        <w:tblInd w:w="0" w:type="dxa"/>
        <w:tblLayout w:type="autofit"/>
        <w:tblCellMar>
          <w:top w:w="0" w:type="dxa"/>
          <w:left w:w="108" w:type="dxa"/>
          <w:bottom w:w="0" w:type="dxa"/>
          <w:right w:w="108" w:type="dxa"/>
        </w:tblCellMar>
      </w:tblPr>
      <w:tblGrid>
        <w:gridCol w:w="6340"/>
        <w:gridCol w:w="2160"/>
      </w:tblGrid>
      <w:tr>
        <w:tblPrEx>
          <w:tblCellMar>
            <w:top w:w="0" w:type="dxa"/>
            <w:left w:w="108" w:type="dxa"/>
            <w:bottom w:w="0" w:type="dxa"/>
            <w:right w:w="108" w:type="dxa"/>
          </w:tblCellMar>
        </w:tblPrEx>
        <w:trPr>
          <w:trHeight w:val="492" w:hRule="atLeast"/>
        </w:trPr>
        <w:tc>
          <w:tcPr>
            <w:tcW w:w="6340" w:type="dxa"/>
            <w:tcBorders>
              <w:top w:val="nil"/>
              <w:left w:val="nil"/>
              <w:bottom w:val="nil"/>
              <w:right w:val="nil"/>
            </w:tcBorders>
            <w:shd w:val="clear" w:color="auto" w:fill="auto"/>
            <w:noWrap/>
            <w:vAlign w:val="center"/>
          </w:tcPr>
          <w:p>
            <w:pPr>
              <w:widowControl/>
              <w:spacing w:line="240" w:lineRule="auto"/>
              <w:ind w:firstLine="0" w:firstLineChars="0"/>
              <w:jc w:val="left"/>
              <w:rPr>
                <w:rFonts w:eastAsia="方正黑体_GBK" w:cs="宋体"/>
                <w:color w:val="0D0D0D" w:themeColor="text1" w:themeTint="F2"/>
                <w:kern w:val="0"/>
                <w:szCs w:val="32"/>
                <w14:textFill>
                  <w14:solidFill>
                    <w14:schemeClr w14:val="tx1">
                      <w14:lumMod w14:val="95000"/>
                      <w14:lumOff w14:val="5000"/>
                    </w14:schemeClr>
                  </w14:solidFill>
                </w14:textFill>
              </w:rPr>
            </w:pPr>
            <w:r>
              <w:rPr>
                <w:rFonts w:hint="eastAsia" w:eastAsia="方正黑体_GBK" w:cs="宋体"/>
                <w:color w:val="0D0D0D" w:themeColor="text1" w:themeTint="F2"/>
                <w:kern w:val="0"/>
                <w:sz w:val="28"/>
                <w:szCs w:val="28"/>
                <w14:textFill>
                  <w14:solidFill>
                    <w14:schemeClr w14:val="tx1">
                      <w14:lumMod w14:val="95000"/>
                      <w14:lumOff w14:val="5000"/>
                    </w14:schemeClr>
                  </w14:solidFill>
                </w14:textFill>
              </w:rPr>
              <w:t>表2</w:t>
            </w:r>
            <w:r>
              <w:rPr>
                <w:rFonts w:eastAsia="方正黑体_GBK" w:cs="宋体"/>
                <w:color w:val="0D0D0D" w:themeColor="text1" w:themeTint="F2"/>
                <w:kern w:val="0"/>
                <w:sz w:val="28"/>
                <w:szCs w:val="28"/>
                <w14:textFill>
                  <w14:solidFill>
                    <w14:schemeClr w14:val="tx1">
                      <w14:lumMod w14:val="95000"/>
                      <w14:lumOff w14:val="5000"/>
                    </w14:schemeClr>
                  </w14:solidFill>
                </w14:textFill>
              </w:rPr>
              <w:t>4</w:t>
            </w:r>
          </w:p>
        </w:tc>
        <w:tc>
          <w:tcPr>
            <w:tcW w:w="2160" w:type="dxa"/>
            <w:tcBorders>
              <w:top w:val="nil"/>
              <w:left w:val="nil"/>
              <w:bottom w:val="nil"/>
              <w:right w:val="nil"/>
            </w:tcBorders>
            <w:shd w:val="clear" w:color="auto" w:fill="auto"/>
            <w:noWrap/>
            <w:vAlign w:val="bottom"/>
          </w:tcPr>
          <w:p>
            <w:pPr>
              <w:widowControl/>
              <w:spacing w:line="240" w:lineRule="auto"/>
              <w:ind w:firstLine="0" w:firstLineChars="0"/>
              <w:jc w:val="left"/>
              <w:rPr>
                <w:rFonts w:eastAsia="方正黑体_GBK" w:cs="宋体"/>
                <w:color w:val="0D0D0D" w:themeColor="text1" w:themeTint="F2"/>
                <w:kern w:val="0"/>
                <w:szCs w:val="32"/>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32" w:hRule="atLeast"/>
        </w:trPr>
        <w:tc>
          <w:tcPr>
            <w:tcW w:w="8500" w:type="dxa"/>
            <w:gridSpan w:val="2"/>
            <w:tcBorders>
              <w:top w:val="nil"/>
              <w:left w:val="nil"/>
              <w:bottom w:val="nil"/>
              <w:right w:val="nil"/>
            </w:tcBorders>
            <w:shd w:val="clear" w:color="auto" w:fill="auto"/>
            <w:vAlign w:val="center"/>
          </w:tcPr>
          <w:p>
            <w:pPr>
              <w:widowControl/>
              <w:spacing w:line="240" w:lineRule="auto"/>
              <w:ind w:firstLine="0" w:firstLineChars="0"/>
              <w:jc w:val="center"/>
              <w:rPr>
                <w:rFonts w:eastAsia="方正小标宋_GBK" w:cs="宋体"/>
                <w:color w:val="0D0D0D" w:themeColor="text1" w:themeTint="F2"/>
                <w:kern w:val="0"/>
                <w:szCs w:val="32"/>
                <w14:textFill>
                  <w14:solidFill>
                    <w14:schemeClr w14:val="tx1">
                      <w14:lumMod w14:val="95000"/>
                      <w14:lumOff w14:val="5000"/>
                    </w14:schemeClr>
                  </w14:solidFill>
                </w14:textFill>
              </w:rPr>
            </w:pPr>
            <w:r>
              <w:rPr>
                <w:rFonts w:hint="eastAsia" w:eastAsia="方正小标宋_GBK" w:cs="宋体"/>
                <w:color w:val="0D0D0D" w:themeColor="text1" w:themeTint="F2"/>
                <w:kern w:val="0"/>
                <w:szCs w:val="32"/>
                <w14:textFill>
                  <w14:solidFill>
                    <w14:schemeClr w14:val="tx1">
                      <w14:lumMod w14:val="95000"/>
                      <w14:lumOff w14:val="5000"/>
                    </w14:schemeClr>
                  </w14:solidFill>
                </w14:textFill>
              </w:rPr>
              <w:t>重庆高新区2023年地方政府债务限额提前下达情况表</w:t>
            </w:r>
          </w:p>
        </w:tc>
      </w:tr>
      <w:tr>
        <w:tblPrEx>
          <w:tblCellMar>
            <w:top w:w="0" w:type="dxa"/>
            <w:left w:w="108" w:type="dxa"/>
            <w:bottom w:w="0" w:type="dxa"/>
            <w:right w:w="108" w:type="dxa"/>
          </w:tblCellMar>
        </w:tblPrEx>
        <w:trPr>
          <w:trHeight w:val="288" w:hRule="atLeast"/>
        </w:trPr>
        <w:tc>
          <w:tcPr>
            <w:tcW w:w="8500" w:type="dxa"/>
            <w:gridSpan w:val="2"/>
            <w:tcBorders>
              <w:top w:val="nil"/>
              <w:left w:val="nil"/>
              <w:bottom w:val="single" w:color="auto" w:sz="4" w:space="0"/>
              <w:right w:val="nil"/>
            </w:tcBorders>
            <w:shd w:val="clear" w:color="auto" w:fill="auto"/>
            <w:vAlign w:val="center"/>
          </w:tcPr>
          <w:p>
            <w:pPr>
              <w:widowControl/>
              <w:spacing w:line="240" w:lineRule="auto"/>
              <w:ind w:firstLine="0" w:firstLineChars="0"/>
              <w:jc w:val="right"/>
              <w:rPr>
                <w:rFonts w:eastAsia="宋体" w:cs="宋体"/>
                <w:color w:val="0D0D0D" w:themeColor="text1" w:themeTint="F2"/>
                <w:kern w:val="0"/>
                <w:sz w:val="18"/>
                <w:szCs w:val="18"/>
                <w14:textFill>
                  <w14:solidFill>
                    <w14:schemeClr w14:val="tx1">
                      <w14:lumMod w14:val="95000"/>
                      <w14:lumOff w14:val="5000"/>
                    </w14:schemeClr>
                  </w14:solidFill>
                </w14:textFill>
              </w:rPr>
            </w:pPr>
            <w:r>
              <w:rPr>
                <w:rFonts w:hint="eastAsia" w:eastAsia="宋体" w:cs="宋体"/>
                <w:color w:val="0D0D0D" w:themeColor="text1" w:themeTint="F2"/>
                <w:kern w:val="0"/>
                <w:sz w:val="18"/>
                <w:szCs w:val="18"/>
                <w14:textFill>
                  <w14:solidFill>
                    <w14:schemeClr w14:val="tx1">
                      <w14:lumMod w14:val="95000"/>
                      <w14:lumOff w14:val="5000"/>
                    </w14:schemeClr>
                  </w14:solidFill>
                </w14:textFill>
              </w:rPr>
              <w:t>单位：亿元</w:t>
            </w:r>
          </w:p>
        </w:tc>
      </w:tr>
      <w:tr>
        <w:tblPrEx>
          <w:tblCellMar>
            <w:top w:w="0" w:type="dxa"/>
            <w:left w:w="108" w:type="dxa"/>
            <w:bottom w:w="0" w:type="dxa"/>
            <w:right w:w="108" w:type="dxa"/>
          </w:tblCellMar>
        </w:tblPrEx>
        <w:trPr>
          <w:trHeight w:val="576" w:hRule="atLeast"/>
        </w:trPr>
        <w:tc>
          <w:tcPr>
            <w:tcW w:w="6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方正黑体_GBK" w:cs="宋体"/>
                <w:color w:val="0D0D0D" w:themeColor="text1" w:themeTint="F2"/>
                <w:kern w:val="0"/>
                <w:sz w:val="22"/>
                <w14:textFill>
                  <w14:solidFill>
                    <w14:schemeClr w14:val="tx1">
                      <w14:lumMod w14:val="95000"/>
                      <w14:lumOff w14:val="5000"/>
                    </w14:schemeClr>
                  </w14:solidFill>
                </w14:textFill>
              </w:rPr>
            </w:pPr>
            <w:r>
              <w:rPr>
                <w:rFonts w:hint="eastAsia" w:eastAsia="方正黑体_GBK" w:cs="宋体"/>
                <w:color w:val="0D0D0D" w:themeColor="text1" w:themeTint="F2"/>
                <w:kern w:val="0"/>
                <w:sz w:val="22"/>
                <w14:textFill>
                  <w14:solidFill>
                    <w14:schemeClr w14:val="tx1">
                      <w14:lumMod w14:val="95000"/>
                      <w14:lumOff w14:val="5000"/>
                    </w14:schemeClr>
                  </w14:solidFill>
                </w14:textFill>
              </w:rPr>
              <w:t>项目</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方正黑体_GBK" w:cs="宋体"/>
                <w:color w:val="0D0D0D" w:themeColor="text1" w:themeTint="F2"/>
                <w:kern w:val="0"/>
                <w:sz w:val="22"/>
                <w14:textFill>
                  <w14:solidFill>
                    <w14:schemeClr w14:val="tx1">
                      <w14:lumMod w14:val="95000"/>
                      <w14:lumOff w14:val="5000"/>
                    </w14:schemeClr>
                  </w14:solidFill>
                </w14:textFill>
              </w:rPr>
            </w:pPr>
            <w:r>
              <w:rPr>
                <w:rFonts w:hint="eastAsia" w:eastAsia="方正黑体_GBK" w:cs="宋体"/>
                <w:color w:val="0D0D0D" w:themeColor="text1" w:themeTint="F2"/>
                <w:kern w:val="0"/>
                <w:sz w:val="22"/>
                <w14:textFill>
                  <w14:solidFill>
                    <w14:schemeClr w14:val="tx1">
                      <w14:lumMod w14:val="95000"/>
                      <w14:lumOff w14:val="5000"/>
                    </w14:schemeClr>
                  </w14:solidFill>
                </w14:textFill>
              </w:rPr>
              <w:t>额度</w:t>
            </w:r>
          </w:p>
        </w:tc>
      </w:tr>
      <w:tr>
        <w:tblPrEx>
          <w:tblCellMar>
            <w:top w:w="0" w:type="dxa"/>
            <w:left w:w="108" w:type="dxa"/>
            <w:bottom w:w="0" w:type="dxa"/>
            <w:right w:w="108" w:type="dxa"/>
          </w:tblCellMar>
        </w:tblPrEx>
        <w:trPr>
          <w:trHeight w:val="576" w:hRule="atLeast"/>
        </w:trPr>
        <w:tc>
          <w:tcPr>
            <w:tcW w:w="6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一：2022年地方政府债务限额</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143.8</w:t>
            </w:r>
          </w:p>
        </w:tc>
      </w:tr>
      <w:tr>
        <w:tblPrEx>
          <w:tblCellMar>
            <w:top w:w="0" w:type="dxa"/>
            <w:left w:w="108" w:type="dxa"/>
            <w:bottom w:w="0" w:type="dxa"/>
            <w:right w:w="108" w:type="dxa"/>
          </w:tblCellMar>
        </w:tblPrEx>
        <w:trPr>
          <w:trHeight w:val="576" w:hRule="atLeast"/>
        </w:trPr>
        <w:tc>
          <w:tcPr>
            <w:tcW w:w="6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其中： 一般债务限额</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5.1</w:t>
            </w:r>
          </w:p>
        </w:tc>
      </w:tr>
      <w:tr>
        <w:tblPrEx>
          <w:tblCellMar>
            <w:top w:w="0" w:type="dxa"/>
            <w:left w:w="108" w:type="dxa"/>
            <w:bottom w:w="0" w:type="dxa"/>
            <w:right w:w="108" w:type="dxa"/>
          </w:tblCellMar>
        </w:tblPrEx>
        <w:trPr>
          <w:trHeight w:val="576" w:hRule="atLeast"/>
        </w:trPr>
        <w:tc>
          <w:tcPr>
            <w:tcW w:w="6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 xml:space="preserve">       专项债务限额</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138.7</w:t>
            </w:r>
          </w:p>
        </w:tc>
      </w:tr>
      <w:tr>
        <w:tblPrEx>
          <w:tblCellMar>
            <w:top w:w="0" w:type="dxa"/>
            <w:left w:w="108" w:type="dxa"/>
            <w:bottom w:w="0" w:type="dxa"/>
            <w:right w:w="108" w:type="dxa"/>
          </w:tblCellMar>
        </w:tblPrEx>
        <w:trPr>
          <w:trHeight w:val="576" w:hRule="atLeast"/>
        </w:trPr>
        <w:tc>
          <w:tcPr>
            <w:tcW w:w="6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二：提前下达的2023年地方政府债务限额</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74.0</w:t>
            </w:r>
          </w:p>
        </w:tc>
      </w:tr>
      <w:tr>
        <w:tblPrEx>
          <w:tblCellMar>
            <w:top w:w="0" w:type="dxa"/>
            <w:left w:w="108" w:type="dxa"/>
            <w:bottom w:w="0" w:type="dxa"/>
            <w:right w:w="108" w:type="dxa"/>
          </w:tblCellMar>
        </w:tblPrEx>
        <w:trPr>
          <w:trHeight w:val="576" w:hRule="atLeast"/>
        </w:trPr>
        <w:tc>
          <w:tcPr>
            <w:tcW w:w="6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其中： 一般债务限额</w:t>
            </w:r>
          </w:p>
        </w:tc>
        <w:tc>
          <w:tcPr>
            <w:tcW w:w="21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w:t>
            </w:r>
          </w:p>
        </w:tc>
      </w:tr>
      <w:tr>
        <w:tblPrEx>
          <w:tblCellMar>
            <w:top w:w="0" w:type="dxa"/>
            <w:left w:w="108" w:type="dxa"/>
            <w:bottom w:w="0" w:type="dxa"/>
            <w:right w:w="108" w:type="dxa"/>
          </w:tblCellMar>
        </w:tblPrEx>
        <w:trPr>
          <w:trHeight w:val="576" w:hRule="atLeast"/>
        </w:trPr>
        <w:tc>
          <w:tcPr>
            <w:tcW w:w="6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 xml:space="preserve">       专项债务限额</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cs="宋体"/>
                <w:color w:val="0D0D0D" w:themeColor="text1" w:themeTint="F2"/>
                <w:kern w:val="0"/>
                <w:sz w:val="22"/>
                <w14:textFill>
                  <w14:solidFill>
                    <w14:schemeClr w14:val="tx1">
                      <w14:lumMod w14:val="95000"/>
                      <w14:lumOff w14:val="5000"/>
                    </w14:schemeClr>
                  </w14:solidFill>
                </w14:textFill>
              </w:rPr>
            </w:pPr>
            <w:r>
              <w:rPr>
                <w:rFonts w:hint="eastAsia" w:eastAsia="宋体" w:cs="宋体"/>
                <w:color w:val="0D0D0D" w:themeColor="text1" w:themeTint="F2"/>
                <w:kern w:val="0"/>
                <w:sz w:val="22"/>
                <w14:textFill>
                  <w14:solidFill>
                    <w14:schemeClr w14:val="tx1">
                      <w14:lumMod w14:val="95000"/>
                      <w14:lumOff w14:val="5000"/>
                    </w14:schemeClr>
                  </w14:solidFill>
                </w14:textFill>
              </w:rPr>
              <w:t>74.0</w:t>
            </w:r>
          </w:p>
        </w:tc>
      </w:tr>
      <w:tr>
        <w:tblPrEx>
          <w:tblCellMar>
            <w:top w:w="0" w:type="dxa"/>
            <w:left w:w="108" w:type="dxa"/>
            <w:bottom w:w="0" w:type="dxa"/>
            <w:right w:w="108" w:type="dxa"/>
          </w:tblCellMar>
        </w:tblPrEx>
        <w:trPr>
          <w:trHeight w:val="960" w:hRule="atLeast"/>
        </w:trPr>
        <w:tc>
          <w:tcPr>
            <w:tcW w:w="8500" w:type="dxa"/>
            <w:gridSpan w:val="2"/>
            <w:tcBorders>
              <w:top w:val="single" w:color="auto" w:sz="4" w:space="0"/>
              <w:left w:val="nil"/>
              <w:bottom w:val="nil"/>
              <w:right w:val="nil"/>
            </w:tcBorders>
            <w:shd w:val="clear" w:color="auto" w:fill="auto"/>
            <w:vAlign w:val="center"/>
          </w:tcPr>
          <w:p>
            <w:pPr>
              <w:widowControl/>
              <w:spacing w:line="240" w:lineRule="auto"/>
              <w:ind w:firstLine="0" w:firstLineChars="0"/>
              <w:jc w:val="left"/>
              <w:rPr>
                <w:rFonts w:eastAsia="宋体" w:cs="宋体"/>
                <w:color w:val="0D0D0D" w:themeColor="text1" w:themeTint="F2"/>
                <w:kern w:val="0"/>
                <w:sz w:val="18"/>
                <w:szCs w:val="18"/>
                <w14:textFill>
                  <w14:solidFill>
                    <w14:schemeClr w14:val="tx1">
                      <w14:lumMod w14:val="95000"/>
                      <w14:lumOff w14:val="5000"/>
                    </w14:schemeClr>
                  </w14:solidFill>
                </w14:textFill>
              </w:rPr>
            </w:pPr>
            <w:r>
              <w:rPr>
                <w:rFonts w:hint="eastAsia" w:eastAsia="宋体" w:cs="宋体"/>
                <w:color w:val="0D0D0D" w:themeColor="text1" w:themeTint="F2"/>
                <w:kern w:val="0"/>
                <w:sz w:val="18"/>
                <w:szCs w:val="18"/>
                <w14:textFill>
                  <w14:solidFill>
                    <w14:schemeClr w14:val="tx1">
                      <w14:lumMod w14:val="95000"/>
                      <w14:lumOff w14:val="5000"/>
                    </w14:schemeClr>
                  </w14:solidFill>
                </w14:textFill>
              </w:rPr>
              <w:t>注：本表反映本级预算中列示提前下达的新增地方政府债务限额情况，由县级以上地方各级财政部门在本级人民代表大会批准预算后二十日内公开。</w:t>
            </w:r>
          </w:p>
        </w:tc>
      </w:tr>
    </w:tbl>
    <w:p>
      <w:pPr>
        <w:widowControl/>
        <w:spacing w:line="240" w:lineRule="auto"/>
        <w:ind w:firstLine="0" w:firstLineChars="0"/>
        <w:rPr>
          <w:rFonts w:eastAsia="方正楷体_GBK"/>
          <w:bCs/>
          <w:color w:val="0D0D0D" w:themeColor="text1" w:themeTint="F2"/>
          <w:kern w:val="44"/>
          <w:szCs w:val="44"/>
          <w14:textFill>
            <w14:solidFill>
              <w14:schemeClr w14:val="tx1">
                <w14:lumMod w14:val="95000"/>
                <w14:lumOff w14:val="5000"/>
              </w14:schemeClr>
            </w14:solidFill>
          </w14:textFill>
        </w:rPr>
      </w:pPr>
    </w:p>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pPr>
      <w:r>
        <w:rPr>
          <w:rFonts w:eastAsia="方正楷体_GBK"/>
          <w:bCs/>
          <w:color w:val="0D0D0D" w:themeColor="text1" w:themeTint="F2"/>
          <w:kern w:val="44"/>
          <w:szCs w:val="44"/>
          <w14:textFill>
            <w14:solidFill>
              <w14:schemeClr w14:val="tx1">
                <w14:lumMod w14:val="95000"/>
                <w14:lumOff w14:val="5000"/>
              </w14:schemeClr>
            </w14:solidFill>
          </w14:textFill>
        </w:rPr>
        <w:br w:type="page"/>
      </w:r>
    </w:p>
    <w:p>
      <w:pPr>
        <w:widowControl/>
        <w:spacing w:line="240" w:lineRule="auto"/>
        <w:ind w:left="-992" w:leftChars="-310" w:firstLine="0" w:firstLineChars="0"/>
        <w:rPr>
          <w:rFonts w:eastAsia="方正黑体_GBK"/>
          <w:bCs/>
          <w:color w:val="0D0D0D" w:themeColor="text1" w:themeTint="F2"/>
          <w:kern w:val="44"/>
          <w:szCs w:val="44"/>
          <w14:textFill>
            <w14:solidFill>
              <w14:schemeClr w14:val="tx1">
                <w14:lumMod w14:val="95000"/>
                <w14:lumOff w14:val="5000"/>
              </w14:schemeClr>
            </w14:solidFill>
          </w14:textFill>
        </w:rPr>
      </w:pPr>
      <w:r>
        <w:rPr>
          <w:rFonts w:hint="eastAsia" w:eastAsia="方正黑体_GBK"/>
          <w:bCs/>
          <w:color w:val="0D0D0D" w:themeColor="text1" w:themeTint="F2"/>
          <w:kern w:val="44"/>
          <w:szCs w:val="44"/>
          <w14:textFill>
            <w14:solidFill>
              <w14:schemeClr w14:val="tx1">
                <w14:lumMod w14:val="95000"/>
                <w14:lumOff w14:val="5000"/>
              </w14:schemeClr>
            </w14:solidFill>
          </w14:textFill>
        </w:rPr>
        <w:t>表25</w:t>
      </w:r>
    </w:p>
    <w:tbl>
      <w:tblPr>
        <w:tblStyle w:val="7"/>
        <w:tblW w:w="10840" w:type="dxa"/>
        <w:jc w:val="center"/>
        <w:tblLayout w:type="autofit"/>
        <w:tblCellMar>
          <w:top w:w="0" w:type="dxa"/>
          <w:left w:w="108" w:type="dxa"/>
          <w:bottom w:w="0" w:type="dxa"/>
          <w:right w:w="108" w:type="dxa"/>
        </w:tblCellMar>
      </w:tblPr>
      <w:tblGrid>
        <w:gridCol w:w="700"/>
        <w:gridCol w:w="2900"/>
        <w:gridCol w:w="1645"/>
        <w:gridCol w:w="815"/>
        <w:gridCol w:w="2020"/>
        <w:gridCol w:w="1100"/>
        <w:gridCol w:w="1660"/>
      </w:tblGrid>
      <w:tr>
        <w:tblPrEx>
          <w:tblCellMar>
            <w:top w:w="0" w:type="dxa"/>
            <w:left w:w="108" w:type="dxa"/>
            <w:bottom w:w="0" w:type="dxa"/>
            <w:right w:w="108" w:type="dxa"/>
          </w:tblCellMar>
        </w:tblPrEx>
        <w:trPr>
          <w:trHeight w:val="516" w:hRule="atLeast"/>
          <w:jc w:val="center"/>
        </w:trPr>
        <w:tc>
          <w:tcPr>
            <w:tcW w:w="10840" w:type="dxa"/>
            <w:gridSpan w:val="7"/>
            <w:tcBorders>
              <w:top w:val="nil"/>
              <w:left w:val="nil"/>
              <w:bottom w:val="nil"/>
              <w:right w:val="nil"/>
            </w:tcBorders>
            <w:shd w:val="clear" w:color="auto" w:fill="auto"/>
            <w:vAlign w:val="center"/>
          </w:tcPr>
          <w:p>
            <w:pPr>
              <w:widowControl/>
              <w:adjustRightInd w:val="0"/>
              <w:snapToGrid w:val="0"/>
              <w:spacing w:line="240" w:lineRule="auto"/>
              <w:ind w:firstLine="0" w:firstLineChars="0"/>
              <w:jc w:val="center"/>
              <w:rPr>
                <w:rFonts w:eastAsia="方正小标宋_GBK" w:cs="宋体"/>
                <w:color w:val="000000"/>
                <w:kern w:val="0"/>
                <w:sz w:val="40"/>
                <w:szCs w:val="40"/>
              </w:rPr>
            </w:pPr>
            <w:r>
              <w:rPr>
                <w:rFonts w:hint="eastAsia" w:eastAsia="方正小标宋_GBK" w:cs="宋体"/>
                <w:color w:val="000000"/>
                <w:kern w:val="0"/>
                <w:sz w:val="40"/>
                <w:szCs w:val="40"/>
              </w:rPr>
              <w:t>重庆高新区2023年年初新增地方政府债券资金安排表</w:t>
            </w:r>
          </w:p>
        </w:tc>
      </w:tr>
      <w:tr>
        <w:tblPrEx>
          <w:tblCellMar>
            <w:top w:w="0" w:type="dxa"/>
            <w:left w:w="108" w:type="dxa"/>
            <w:bottom w:w="0" w:type="dxa"/>
            <w:right w:w="108" w:type="dxa"/>
          </w:tblCellMar>
        </w:tblPrEx>
        <w:trPr>
          <w:trHeight w:val="288" w:hRule="atLeast"/>
          <w:jc w:val="center"/>
        </w:trPr>
        <w:tc>
          <w:tcPr>
            <w:tcW w:w="700" w:type="dxa"/>
            <w:tcBorders>
              <w:top w:val="nil"/>
              <w:left w:val="nil"/>
              <w:bottom w:val="nil"/>
              <w:right w:val="nil"/>
            </w:tcBorders>
            <w:shd w:val="clear" w:color="auto" w:fill="auto"/>
            <w:noWrap/>
            <w:vAlign w:val="center"/>
          </w:tcPr>
          <w:p>
            <w:pPr>
              <w:widowControl/>
              <w:adjustRightInd w:val="0"/>
              <w:snapToGrid w:val="0"/>
              <w:spacing w:line="240" w:lineRule="auto"/>
              <w:ind w:firstLine="0" w:firstLineChars="0"/>
              <w:jc w:val="center"/>
              <w:rPr>
                <w:rFonts w:eastAsia="方正小标宋_GBK" w:cs="宋体"/>
                <w:color w:val="000000"/>
                <w:kern w:val="0"/>
                <w:sz w:val="40"/>
                <w:szCs w:val="40"/>
              </w:rPr>
            </w:pPr>
          </w:p>
        </w:tc>
        <w:tc>
          <w:tcPr>
            <w:tcW w:w="2900" w:type="dxa"/>
            <w:tcBorders>
              <w:top w:val="nil"/>
              <w:left w:val="nil"/>
              <w:bottom w:val="nil"/>
              <w:right w:val="nil"/>
            </w:tcBorders>
            <w:shd w:val="clear" w:color="auto" w:fill="auto"/>
            <w:vAlign w:val="center"/>
          </w:tcPr>
          <w:p>
            <w:pPr>
              <w:widowControl/>
              <w:adjustRightInd w:val="0"/>
              <w:snapToGrid w:val="0"/>
              <w:spacing w:line="240" w:lineRule="auto"/>
              <w:ind w:firstLine="0" w:firstLineChars="0"/>
              <w:jc w:val="left"/>
              <w:rPr>
                <w:rFonts w:eastAsia="Times New Roman" w:cs="Times New Roman"/>
                <w:kern w:val="0"/>
                <w:sz w:val="20"/>
                <w:szCs w:val="20"/>
              </w:rPr>
            </w:pPr>
          </w:p>
        </w:tc>
        <w:tc>
          <w:tcPr>
            <w:tcW w:w="1645" w:type="dxa"/>
            <w:tcBorders>
              <w:top w:val="nil"/>
              <w:left w:val="nil"/>
              <w:bottom w:val="nil"/>
              <w:right w:val="nil"/>
            </w:tcBorders>
            <w:shd w:val="clear" w:color="auto" w:fill="auto"/>
            <w:vAlign w:val="center"/>
          </w:tcPr>
          <w:p>
            <w:pPr>
              <w:widowControl/>
              <w:adjustRightInd w:val="0"/>
              <w:snapToGrid w:val="0"/>
              <w:spacing w:line="240" w:lineRule="auto"/>
              <w:ind w:firstLine="0" w:firstLineChars="0"/>
              <w:jc w:val="left"/>
              <w:rPr>
                <w:rFonts w:eastAsia="Times New Roman" w:cs="Times New Roman"/>
                <w:kern w:val="0"/>
                <w:sz w:val="20"/>
                <w:szCs w:val="20"/>
              </w:rPr>
            </w:pPr>
          </w:p>
        </w:tc>
        <w:tc>
          <w:tcPr>
            <w:tcW w:w="815" w:type="dxa"/>
            <w:tcBorders>
              <w:top w:val="nil"/>
              <w:left w:val="nil"/>
              <w:bottom w:val="nil"/>
              <w:right w:val="nil"/>
            </w:tcBorders>
            <w:shd w:val="clear" w:color="auto" w:fill="auto"/>
            <w:vAlign w:val="center"/>
          </w:tcPr>
          <w:p>
            <w:pPr>
              <w:widowControl/>
              <w:adjustRightInd w:val="0"/>
              <w:snapToGrid w:val="0"/>
              <w:spacing w:line="240" w:lineRule="auto"/>
              <w:ind w:firstLine="0" w:firstLineChars="0"/>
              <w:jc w:val="left"/>
              <w:rPr>
                <w:rFonts w:eastAsia="Times New Roman" w:cs="Times New Roman"/>
                <w:kern w:val="0"/>
                <w:sz w:val="20"/>
                <w:szCs w:val="20"/>
              </w:rPr>
            </w:pPr>
          </w:p>
        </w:tc>
        <w:tc>
          <w:tcPr>
            <w:tcW w:w="2020" w:type="dxa"/>
            <w:tcBorders>
              <w:top w:val="nil"/>
              <w:left w:val="nil"/>
              <w:bottom w:val="nil"/>
              <w:right w:val="nil"/>
            </w:tcBorders>
            <w:shd w:val="clear" w:color="auto" w:fill="auto"/>
            <w:vAlign w:val="center"/>
          </w:tcPr>
          <w:p>
            <w:pPr>
              <w:widowControl/>
              <w:adjustRightInd w:val="0"/>
              <w:snapToGrid w:val="0"/>
              <w:spacing w:line="240" w:lineRule="auto"/>
              <w:ind w:firstLine="0" w:firstLineChars="0"/>
              <w:jc w:val="left"/>
              <w:rPr>
                <w:rFonts w:eastAsia="Times New Roman" w:cs="Times New Roman"/>
                <w:kern w:val="0"/>
                <w:sz w:val="20"/>
                <w:szCs w:val="20"/>
              </w:rPr>
            </w:pPr>
          </w:p>
        </w:tc>
        <w:tc>
          <w:tcPr>
            <w:tcW w:w="2760" w:type="dxa"/>
            <w:gridSpan w:val="2"/>
            <w:tcBorders>
              <w:top w:val="nil"/>
              <w:left w:val="nil"/>
              <w:bottom w:val="single" w:color="auto" w:sz="4" w:space="0"/>
              <w:right w:val="nil"/>
            </w:tcBorders>
            <w:shd w:val="clear" w:color="auto" w:fill="auto"/>
            <w:vAlign w:val="center"/>
          </w:tcPr>
          <w:p>
            <w:pPr>
              <w:widowControl/>
              <w:adjustRightInd w:val="0"/>
              <w:snapToGrid w:val="0"/>
              <w:spacing w:line="240" w:lineRule="auto"/>
              <w:ind w:firstLine="0" w:firstLineChars="0"/>
              <w:jc w:val="right"/>
              <w:rPr>
                <w:rFonts w:eastAsia="宋体" w:cs="宋体"/>
                <w:color w:val="000000"/>
                <w:kern w:val="0"/>
                <w:sz w:val="22"/>
              </w:rPr>
            </w:pPr>
            <w:r>
              <w:rPr>
                <w:rFonts w:hint="eastAsia" w:eastAsia="宋体" w:cs="宋体"/>
                <w:color w:val="000000"/>
                <w:kern w:val="0"/>
                <w:sz w:val="22"/>
              </w:rPr>
              <w:t>单位：万元</w:t>
            </w:r>
          </w:p>
        </w:tc>
      </w:tr>
      <w:tr>
        <w:tblPrEx>
          <w:tblCellMar>
            <w:top w:w="0" w:type="dxa"/>
            <w:left w:w="108" w:type="dxa"/>
            <w:bottom w:w="0" w:type="dxa"/>
            <w:right w:w="108" w:type="dxa"/>
          </w:tblCellMar>
        </w:tblPrEx>
        <w:trPr>
          <w:trHeight w:val="576" w:hRule="atLeast"/>
          <w:jc w:val="center"/>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00000"/>
                <w:kern w:val="0"/>
                <w:sz w:val="22"/>
              </w:rPr>
            </w:pPr>
            <w:r>
              <w:rPr>
                <w:rFonts w:hint="eastAsia" w:eastAsia="方正黑体_GBK" w:cs="宋体"/>
                <w:color w:val="000000"/>
                <w:kern w:val="0"/>
                <w:sz w:val="22"/>
              </w:rPr>
              <w:t>序号</w:t>
            </w:r>
          </w:p>
        </w:tc>
        <w:tc>
          <w:tcPr>
            <w:tcW w:w="29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00000"/>
                <w:kern w:val="0"/>
                <w:sz w:val="22"/>
              </w:rPr>
            </w:pPr>
            <w:r>
              <w:rPr>
                <w:rFonts w:hint="eastAsia" w:eastAsia="方正黑体_GBK" w:cs="宋体"/>
                <w:color w:val="000000"/>
                <w:kern w:val="0"/>
                <w:sz w:val="22"/>
              </w:rPr>
              <w:t>项目名称</w:t>
            </w:r>
          </w:p>
        </w:tc>
        <w:tc>
          <w:tcPr>
            <w:tcW w:w="164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00000"/>
                <w:kern w:val="0"/>
                <w:sz w:val="22"/>
              </w:rPr>
            </w:pPr>
            <w:r>
              <w:rPr>
                <w:rFonts w:hint="eastAsia" w:eastAsia="方正黑体_GBK" w:cs="宋体"/>
                <w:color w:val="000000"/>
                <w:kern w:val="0"/>
                <w:sz w:val="22"/>
              </w:rPr>
              <w:t>资金投向领域</w:t>
            </w:r>
          </w:p>
        </w:tc>
        <w:tc>
          <w:tcPr>
            <w:tcW w:w="81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color w:val="000000"/>
                <w:kern w:val="0"/>
                <w:sz w:val="22"/>
              </w:rPr>
            </w:pPr>
            <w:r>
              <w:rPr>
                <w:rFonts w:hint="eastAsia" w:eastAsia="方正黑体_GBK" w:cs="宋体"/>
                <w:color w:val="000000"/>
                <w:kern w:val="0"/>
                <w:sz w:val="22"/>
              </w:rPr>
              <w:t>项目建设性质</w:t>
            </w:r>
          </w:p>
        </w:tc>
        <w:tc>
          <w:tcPr>
            <w:tcW w:w="2020"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方正黑体_GBK" w:cs="宋体"/>
                <w:kern w:val="0"/>
                <w:sz w:val="22"/>
              </w:rPr>
            </w:pPr>
            <w:r>
              <w:rPr>
                <w:rFonts w:hint="eastAsia" w:eastAsia="方正黑体_GBK" w:cs="宋体"/>
                <w:kern w:val="0"/>
                <w:sz w:val="22"/>
              </w:rPr>
              <w:t>项目本次专项债券发行金额</w:t>
            </w:r>
          </w:p>
        </w:tc>
        <w:tc>
          <w:tcPr>
            <w:tcW w:w="110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kern w:val="0"/>
                <w:sz w:val="22"/>
              </w:rPr>
            </w:pPr>
            <w:r>
              <w:rPr>
                <w:rFonts w:hint="eastAsia" w:eastAsia="方正黑体_GBK" w:cs="宋体"/>
                <w:kern w:val="0"/>
                <w:sz w:val="22"/>
              </w:rPr>
              <w:t>是否为国家重大战略项目</w:t>
            </w:r>
          </w:p>
        </w:tc>
        <w:tc>
          <w:tcPr>
            <w:tcW w:w="16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kern w:val="0"/>
                <w:sz w:val="22"/>
              </w:rPr>
            </w:pPr>
            <w:r>
              <w:rPr>
                <w:rFonts w:hint="eastAsia" w:eastAsia="方正黑体_GBK" w:cs="宋体"/>
                <w:kern w:val="0"/>
                <w:sz w:val="22"/>
              </w:rPr>
              <w:t>是否纳入</w:t>
            </w:r>
            <w:r>
              <w:rPr>
                <w:rFonts w:hint="eastAsia" w:eastAsia="方正黑体_GBK" w:cs="宋体"/>
                <w:kern w:val="0"/>
                <w:sz w:val="22"/>
                <w:lang w:eastAsia="zh-CN"/>
              </w:rPr>
              <w:t>“</w:t>
            </w:r>
            <w:r>
              <w:rPr>
                <w:rFonts w:hint="eastAsia" w:eastAsia="方正黑体_GBK" w:cs="宋体"/>
                <w:kern w:val="0"/>
                <w:sz w:val="22"/>
              </w:rPr>
              <w:t>十四五</w:t>
            </w:r>
            <w:r>
              <w:rPr>
                <w:rFonts w:hint="eastAsia" w:eastAsia="方正黑体_GBK" w:cs="宋体"/>
                <w:kern w:val="0"/>
                <w:sz w:val="22"/>
                <w:lang w:eastAsia="zh-CN"/>
              </w:rPr>
              <w:t>”</w:t>
            </w:r>
            <w:r>
              <w:rPr>
                <w:rFonts w:hint="eastAsia" w:eastAsia="方正黑体_GBK" w:cs="宋体"/>
                <w:kern w:val="0"/>
                <w:sz w:val="22"/>
              </w:rPr>
              <w:t>规划</w:t>
            </w:r>
          </w:p>
        </w:tc>
      </w:tr>
      <w:tr>
        <w:tblPrEx>
          <w:tblCellMar>
            <w:top w:w="0" w:type="dxa"/>
            <w:left w:w="108" w:type="dxa"/>
            <w:bottom w:w="0" w:type="dxa"/>
            <w:right w:w="108" w:type="dxa"/>
          </w:tblCellMar>
        </w:tblPrEx>
        <w:trPr>
          <w:trHeight w:val="24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00000"/>
                <w:kern w:val="0"/>
                <w:sz w:val="20"/>
                <w:szCs w:val="20"/>
              </w:rPr>
            </w:pPr>
            <w:r>
              <w:rPr>
                <w:rFonts w:hint="eastAsia" w:eastAsia="宋体" w:cs="宋体"/>
                <w:color w:val="000000"/>
                <w:kern w:val="0"/>
                <w:sz w:val="20"/>
                <w:szCs w:val="20"/>
              </w:rPr>
              <w:t xml:space="preserve"> 合计 </w:t>
            </w:r>
          </w:p>
        </w:tc>
        <w:tc>
          <w:tcPr>
            <w:tcW w:w="290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00000"/>
                <w:kern w:val="0"/>
                <w:sz w:val="20"/>
                <w:szCs w:val="20"/>
              </w:rPr>
            </w:pPr>
            <w:r>
              <w:rPr>
                <w:rFonts w:hint="eastAsia" w:eastAsia="宋体" w:cs="宋体"/>
                <w:color w:val="000000"/>
                <w:kern w:val="0"/>
                <w:sz w:val="20"/>
                <w:szCs w:val="20"/>
              </w:rPr>
              <w:t>　</w:t>
            </w:r>
          </w:p>
        </w:tc>
        <w:tc>
          <w:tcPr>
            <w:tcW w:w="164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00000"/>
                <w:kern w:val="0"/>
                <w:sz w:val="20"/>
                <w:szCs w:val="20"/>
              </w:rPr>
            </w:pPr>
            <w:r>
              <w:rPr>
                <w:rFonts w:hint="eastAsia" w:eastAsia="宋体" w:cs="宋体"/>
                <w:color w:val="000000"/>
                <w:kern w:val="0"/>
                <w:sz w:val="20"/>
                <w:szCs w:val="20"/>
              </w:rPr>
              <w:t>　</w:t>
            </w:r>
          </w:p>
        </w:tc>
        <w:tc>
          <w:tcPr>
            <w:tcW w:w="81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00000"/>
                <w:kern w:val="0"/>
                <w:sz w:val="20"/>
                <w:szCs w:val="20"/>
              </w:rPr>
            </w:pPr>
            <w:r>
              <w:rPr>
                <w:rFonts w:hint="eastAsia" w:eastAsia="宋体" w:cs="宋体"/>
                <w:color w:val="000000"/>
                <w:kern w:val="0"/>
                <w:sz w:val="20"/>
                <w:szCs w:val="20"/>
              </w:rPr>
              <w:t>　</w:t>
            </w:r>
          </w:p>
        </w:tc>
        <w:tc>
          <w:tcPr>
            <w:tcW w:w="202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right"/>
              <w:rPr>
                <w:rFonts w:eastAsia="宋体" w:cs="宋体"/>
                <w:color w:val="000000"/>
                <w:kern w:val="0"/>
                <w:sz w:val="20"/>
                <w:szCs w:val="20"/>
              </w:rPr>
            </w:pPr>
            <w:r>
              <w:rPr>
                <w:rFonts w:hint="eastAsia" w:eastAsia="宋体" w:cs="宋体"/>
                <w:color w:val="000000"/>
                <w:kern w:val="0"/>
                <w:sz w:val="20"/>
                <w:szCs w:val="20"/>
              </w:rPr>
              <w:t>468,000</w:t>
            </w:r>
          </w:p>
        </w:tc>
        <w:tc>
          <w:tcPr>
            <w:tcW w:w="110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00000"/>
                <w:kern w:val="0"/>
                <w:sz w:val="20"/>
                <w:szCs w:val="20"/>
              </w:rPr>
            </w:pPr>
            <w:r>
              <w:rPr>
                <w:rFonts w:hint="eastAsia" w:eastAsia="宋体" w:cs="宋体"/>
                <w:color w:val="000000"/>
                <w:kern w:val="0"/>
                <w:sz w:val="20"/>
                <w:szCs w:val="20"/>
              </w:rPr>
              <w:t>　</w:t>
            </w:r>
          </w:p>
        </w:tc>
        <w:tc>
          <w:tcPr>
            <w:tcW w:w="16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00000"/>
                <w:kern w:val="0"/>
                <w:sz w:val="20"/>
                <w:szCs w:val="20"/>
              </w:rPr>
            </w:pPr>
            <w:r>
              <w:rPr>
                <w:rFonts w:hint="eastAsia" w:eastAsia="宋体" w:cs="宋体"/>
                <w:color w:val="000000"/>
                <w:kern w:val="0"/>
                <w:sz w:val="20"/>
                <w:szCs w:val="20"/>
              </w:rPr>
              <w:t>　</w:t>
            </w:r>
          </w:p>
        </w:tc>
      </w:tr>
      <w:tr>
        <w:tblPrEx>
          <w:tblCellMar>
            <w:top w:w="0" w:type="dxa"/>
            <w:left w:w="108" w:type="dxa"/>
            <w:bottom w:w="0" w:type="dxa"/>
            <w:right w:w="108" w:type="dxa"/>
          </w:tblCellMar>
        </w:tblPrEx>
        <w:trPr>
          <w:trHeight w:val="576"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b/>
                <w:bCs/>
                <w:color w:val="000000"/>
                <w:kern w:val="0"/>
                <w:sz w:val="22"/>
              </w:rPr>
            </w:pPr>
            <w:r>
              <w:rPr>
                <w:rFonts w:hint="eastAsia" w:eastAsia="宋体" w:cs="宋体"/>
                <w:b/>
                <w:bCs/>
                <w:color w:val="000000"/>
                <w:kern w:val="0"/>
                <w:sz w:val="22"/>
              </w:rPr>
              <w:t>1</w:t>
            </w:r>
          </w:p>
        </w:tc>
        <w:tc>
          <w:tcPr>
            <w:tcW w:w="290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西永综合保税区进口整车展示存储中心及周边配套工程</w:t>
            </w:r>
          </w:p>
        </w:tc>
        <w:tc>
          <w:tcPr>
            <w:tcW w:w="164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0805产业园区基础设施</w:t>
            </w:r>
          </w:p>
        </w:tc>
        <w:tc>
          <w:tcPr>
            <w:tcW w:w="81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续建</w:t>
            </w:r>
          </w:p>
        </w:tc>
        <w:tc>
          <w:tcPr>
            <w:tcW w:w="202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00000"/>
                <w:kern w:val="0"/>
                <w:sz w:val="20"/>
                <w:szCs w:val="20"/>
              </w:rPr>
            </w:pPr>
            <w:r>
              <w:rPr>
                <w:rFonts w:hint="eastAsia" w:eastAsia="宋体" w:cs="宋体"/>
                <w:color w:val="000000"/>
                <w:kern w:val="0"/>
                <w:sz w:val="20"/>
                <w:szCs w:val="20"/>
              </w:rPr>
              <w:t>19,000</w:t>
            </w:r>
          </w:p>
        </w:tc>
        <w:tc>
          <w:tcPr>
            <w:tcW w:w="110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00000"/>
                <w:kern w:val="0"/>
                <w:sz w:val="20"/>
                <w:szCs w:val="20"/>
              </w:rPr>
            </w:pPr>
            <w:r>
              <w:rPr>
                <w:rFonts w:hint="eastAsia" w:eastAsia="宋体" w:cs="宋体"/>
                <w:color w:val="000000"/>
                <w:kern w:val="0"/>
                <w:sz w:val="20"/>
                <w:szCs w:val="20"/>
              </w:rPr>
              <w:t>　</w:t>
            </w:r>
          </w:p>
        </w:tc>
        <w:tc>
          <w:tcPr>
            <w:tcW w:w="16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00000"/>
                <w:kern w:val="0"/>
                <w:sz w:val="20"/>
                <w:szCs w:val="20"/>
              </w:rPr>
            </w:pPr>
            <w:r>
              <w:rPr>
                <w:rFonts w:hint="eastAsia" w:eastAsia="宋体" w:cs="宋体"/>
                <w:color w:val="000000"/>
                <w:kern w:val="0"/>
                <w:sz w:val="20"/>
                <w:szCs w:val="20"/>
              </w:rPr>
              <w:t>　</w:t>
            </w:r>
          </w:p>
        </w:tc>
      </w:tr>
      <w:tr>
        <w:tblPrEx>
          <w:tblCellMar>
            <w:top w:w="0" w:type="dxa"/>
            <w:left w:w="108" w:type="dxa"/>
            <w:bottom w:w="0" w:type="dxa"/>
            <w:right w:w="108" w:type="dxa"/>
          </w:tblCellMar>
        </w:tblPrEx>
        <w:trPr>
          <w:trHeight w:val="576"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b/>
                <w:bCs/>
                <w:color w:val="000000"/>
                <w:kern w:val="0"/>
                <w:sz w:val="22"/>
              </w:rPr>
            </w:pPr>
            <w:r>
              <w:rPr>
                <w:rFonts w:hint="eastAsia" w:eastAsia="宋体" w:cs="宋体"/>
                <w:b/>
                <w:bCs/>
                <w:color w:val="000000"/>
                <w:kern w:val="0"/>
                <w:sz w:val="22"/>
              </w:rPr>
              <w:t>2</w:t>
            </w:r>
          </w:p>
        </w:tc>
        <w:tc>
          <w:tcPr>
            <w:tcW w:w="290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环寨山坪产业带项目</w:t>
            </w:r>
          </w:p>
        </w:tc>
        <w:tc>
          <w:tcPr>
            <w:tcW w:w="164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0805产业园区基础设施</w:t>
            </w:r>
          </w:p>
        </w:tc>
        <w:tc>
          <w:tcPr>
            <w:tcW w:w="81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续建</w:t>
            </w:r>
          </w:p>
        </w:tc>
        <w:tc>
          <w:tcPr>
            <w:tcW w:w="202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00000"/>
                <w:kern w:val="0"/>
                <w:sz w:val="20"/>
                <w:szCs w:val="20"/>
              </w:rPr>
            </w:pPr>
            <w:r>
              <w:rPr>
                <w:rFonts w:hint="eastAsia" w:eastAsia="宋体" w:cs="宋体"/>
                <w:color w:val="000000"/>
                <w:kern w:val="0"/>
                <w:sz w:val="20"/>
                <w:szCs w:val="20"/>
              </w:rPr>
              <w:t>82,000</w:t>
            </w:r>
          </w:p>
        </w:tc>
        <w:tc>
          <w:tcPr>
            <w:tcW w:w="110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00000"/>
                <w:kern w:val="0"/>
                <w:sz w:val="22"/>
              </w:rPr>
            </w:pPr>
            <w:r>
              <w:rPr>
                <w:rFonts w:hint="eastAsia" w:eastAsia="宋体" w:cs="宋体"/>
                <w:color w:val="000000"/>
                <w:kern w:val="0"/>
                <w:sz w:val="22"/>
              </w:rPr>
              <w:t>是</w:t>
            </w:r>
          </w:p>
        </w:tc>
        <w:tc>
          <w:tcPr>
            <w:tcW w:w="16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00000"/>
                <w:kern w:val="0"/>
                <w:sz w:val="22"/>
              </w:rPr>
            </w:pPr>
            <w:r>
              <w:rPr>
                <w:rFonts w:hint="eastAsia" w:eastAsia="宋体" w:cs="宋体"/>
                <w:color w:val="000000"/>
                <w:kern w:val="0"/>
                <w:sz w:val="22"/>
              </w:rPr>
              <w:t>是</w:t>
            </w:r>
          </w:p>
        </w:tc>
      </w:tr>
      <w:tr>
        <w:tblPrEx>
          <w:tblCellMar>
            <w:top w:w="0" w:type="dxa"/>
            <w:left w:w="108" w:type="dxa"/>
            <w:bottom w:w="0" w:type="dxa"/>
            <w:right w:w="108" w:type="dxa"/>
          </w:tblCellMar>
        </w:tblPrEx>
        <w:trPr>
          <w:trHeight w:val="576"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b/>
                <w:bCs/>
                <w:color w:val="000000"/>
                <w:kern w:val="0"/>
                <w:sz w:val="22"/>
              </w:rPr>
            </w:pPr>
            <w:r>
              <w:rPr>
                <w:rFonts w:hint="eastAsia" w:eastAsia="宋体" w:cs="宋体"/>
                <w:b/>
                <w:bCs/>
                <w:color w:val="000000"/>
                <w:kern w:val="0"/>
                <w:sz w:val="22"/>
              </w:rPr>
              <w:t>3</w:t>
            </w:r>
          </w:p>
        </w:tc>
        <w:tc>
          <w:tcPr>
            <w:tcW w:w="290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00000"/>
                <w:kern w:val="0"/>
                <w:sz w:val="22"/>
              </w:rPr>
            </w:pPr>
            <w:r>
              <w:rPr>
                <w:rFonts w:hint="eastAsia" w:eastAsia="宋体" w:cs="宋体"/>
                <w:color w:val="000000"/>
                <w:kern w:val="0"/>
                <w:sz w:val="22"/>
              </w:rPr>
              <w:t>含谷智能制造产业园区项目</w:t>
            </w:r>
          </w:p>
        </w:tc>
        <w:tc>
          <w:tcPr>
            <w:tcW w:w="164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0805产业园区基础设施</w:t>
            </w:r>
          </w:p>
        </w:tc>
        <w:tc>
          <w:tcPr>
            <w:tcW w:w="81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续建</w:t>
            </w:r>
          </w:p>
        </w:tc>
        <w:tc>
          <w:tcPr>
            <w:tcW w:w="202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00000"/>
                <w:kern w:val="0"/>
                <w:sz w:val="20"/>
                <w:szCs w:val="20"/>
              </w:rPr>
            </w:pPr>
            <w:r>
              <w:rPr>
                <w:rFonts w:hint="eastAsia" w:eastAsia="宋体" w:cs="宋体"/>
                <w:color w:val="000000"/>
                <w:kern w:val="0"/>
                <w:sz w:val="20"/>
                <w:szCs w:val="20"/>
              </w:rPr>
              <w:t>45,000</w:t>
            </w:r>
          </w:p>
        </w:tc>
        <w:tc>
          <w:tcPr>
            <w:tcW w:w="110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00000"/>
                <w:kern w:val="0"/>
                <w:sz w:val="22"/>
              </w:rPr>
            </w:pPr>
            <w:r>
              <w:rPr>
                <w:rFonts w:hint="eastAsia" w:eastAsia="宋体" w:cs="宋体"/>
                <w:color w:val="000000"/>
                <w:kern w:val="0"/>
                <w:sz w:val="22"/>
              </w:rPr>
              <w:t>是</w:t>
            </w:r>
          </w:p>
        </w:tc>
        <w:tc>
          <w:tcPr>
            <w:tcW w:w="16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00000"/>
                <w:kern w:val="0"/>
                <w:sz w:val="22"/>
              </w:rPr>
            </w:pPr>
            <w:r>
              <w:rPr>
                <w:rFonts w:hint="eastAsia" w:eastAsia="宋体" w:cs="宋体"/>
                <w:color w:val="000000"/>
                <w:kern w:val="0"/>
                <w:sz w:val="22"/>
              </w:rPr>
              <w:t>是</w:t>
            </w:r>
          </w:p>
        </w:tc>
      </w:tr>
      <w:tr>
        <w:tblPrEx>
          <w:tblCellMar>
            <w:top w:w="0" w:type="dxa"/>
            <w:left w:w="108" w:type="dxa"/>
            <w:bottom w:w="0" w:type="dxa"/>
            <w:right w:w="108" w:type="dxa"/>
          </w:tblCellMar>
        </w:tblPrEx>
        <w:trPr>
          <w:trHeight w:val="576"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b/>
                <w:bCs/>
                <w:color w:val="000000"/>
                <w:kern w:val="0"/>
                <w:sz w:val="22"/>
              </w:rPr>
            </w:pPr>
            <w:r>
              <w:rPr>
                <w:rFonts w:hint="eastAsia" w:eastAsia="宋体" w:cs="宋体"/>
                <w:b/>
                <w:bCs/>
                <w:color w:val="000000"/>
                <w:kern w:val="0"/>
                <w:sz w:val="22"/>
              </w:rPr>
              <w:t>4</w:t>
            </w:r>
          </w:p>
        </w:tc>
        <w:tc>
          <w:tcPr>
            <w:tcW w:w="290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color w:val="000000"/>
                <w:kern w:val="0"/>
                <w:sz w:val="22"/>
              </w:rPr>
            </w:pPr>
            <w:r>
              <w:rPr>
                <w:rFonts w:hint="eastAsia" w:eastAsia="宋体" w:cs="宋体"/>
                <w:color w:val="000000"/>
                <w:kern w:val="0"/>
                <w:sz w:val="22"/>
              </w:rPr>
              <w:t>重庆科学城产业园区建设项目</w:t>
            </w:r>
          </w:p>
        </w:tc>
        <w:tc>
          <w:tcPr>
            <w:tcW w:w="164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0805产业园区基础设施</w:t>
            </w:r>
          </w:p>
        </w:tc>
        <w:tc>
          <w:tcPr>
            <w:tcW w:w="81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续建</w:t>
            </w:r>
          </w:p>
        </w:tc>
        <w:tc>
          <w:tcPr>
            <w:tcW w:w="202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00000"/>
                <w:kern w:val="0"/>
                <w:sz w:val="20"/>
                <w:szCs w:val="20"/>
              </w:rPr>
            </w:pPr>
            <w:r>
              <w:rPr>
                <w:rFonts w:hint="eastAsia" w:eastAsia="宋体" w:cs="宋体"/>
                <w:color w:val="000000"/>
                <w:kern w:val="0"/>
                <w:sz w:val="20"/>
                <w:szCs w:val="20"/>
              </w:rPr>
              <w:t>45,000</w:t>
            </w:r>
          </w:p>
        </w:tc>
        <w:tc>
          <w:tcPr>
            <w:tcW w:w="110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00000"/>
                <w:kern w:val="0"/>
                <w:sz w:val="22"/>
              </w:rPr>
            </w:pPr>
            <w:r>
              <w:rPr>
                <w:rFonts w:hint="eastAsia" w:eastAsia="宋体" w:cs="宋体"/>
                <w:color w:val="000000"/>
                <w:kern w:val="0"/>
                <w:sz w:val="22"/>
              </w:rPr>
              <w:t>是</w:t>
            </w:r>
          </w:p>
        </w:tc>
        <w:tc>
          <w:tcPr>
            <w:tcW w:w="16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00000"/>
                <w:kern w:val="0"/>
                <w:sz w:val="22"/>
              </w:rPr>
            </w:pPr>
            <w:r>
              <w:rPr>
                <w:rFonts w:hint="eastAsia" w:eastAsia="宋体" w:cs="宋体"/>
                <w:color w:val="000000"/>
                <w:kern w:val="0"/>
                <w:sz w:val="22"/>
              </w:rPr>
              <w:t>是</w:t>
            </w:r>
          </w:p>
        </w:tc>
      </w:tr>
      <w:tr>
        <w:tblPrEx>
          <w:tblCellMar>
            <w:top w:w="0" w:type="dxa"/>
            <w:left w:w="108" w:type="dxa"/>
            <w:bottom w:w="0" w:type="dxa"/>
            <w:right w:w="108" w:type="dxa"/>
          </w:tblCellMar>
        </w:tblPrEx>
        <w:trPr>
          <w:trHeight w:val="576"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b/>
                <w:bCs/>
                <w:color w:val="000000"/>
                <w:kern w:val="0"/>
                <w:sz w:val="22"/>
              </w:rPr>
            </w:pPr>
            <w:r>
              <w:rPr>
                <w:rFonts w:hint="eastAsia" w:eastAsia="宋体" w:cs="宋体"/>
                <w:b/>
                <w:bCs/>
                <w:color w:val="000000"/>
                <w:kern w:val="0"/>
                <w:sz w:val="22"/>
              </w:rPr>
              <w:t>5</w:t>
            </w:r>
          </w:p>
        </w:tc>
        <w:tc>
          <w:tcPr>
            <w:tcW w:w="290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莲花湖产业园</w:t>
            </w:r>
          </w:p>
        </w:tc>
        <w:tc>
          <w:tcPr>
            <w:tcW w:w="164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0805产业园区基础设施</w:t>
            </w:r>
          </w:p>
        </w:tc>
        <w:tc>
          <w:tcPr>
            <w:tcW w:w="81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续建</w:t>
            </w:r>
          </w:p>
        </w:tc>
        <w:tc>
          <w:tcPr>
            <w:tcW w:w="202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00000"/>
                <w:kern w:val="0"/>
                <w:sz w:val="20"/>
                <w:szCs w:val="20"/>
              </w:rPr>
            </w:pPr>
            <w:r>
              <w:rPr>
                <w:rFonts w:hint="eastAsia" w:eastAsia="宋体" w:cs="宋体"/>
                <w:color w:val="000000"/>
                <w:kern w:val="0"/>
                <w:sz w:val="20"/>
                <w:szCs w:val="20"/>
              </w:rPr>
              <w:t>2,000</w:t>
            </w:r>
          </w:p>
        </w:tc>
        <w:tc>
          <w:tcPr>
            <w:tcW w:w="110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00000"/>
                <w:kern w:val="0"/>
                <w:sz w:val="22"/>
              </w:rPr>
            </w:pPr>
            <w:r>
              <w:rPr>
                <w:rFonts w:hint="eastAsia" w:eastAsia="宋体" w:cs="宋体"/>
                <w:color w:val="000000"/>
                <w:kern w:val="0"/>
                <w:sz w:val="22"/>
              </w:rPr>
              <w:t>　</w:t>
            </w:r>
          </w:p>
        </w:tc>
        <w:tc>
          <w:tcPr>
            <w:tcW w:w="16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00000"/>
                <w:kern w:val="0"/>
                <w:sz w:val="22"/>
              </w:rPr>
            </w:pPr>
            <w:r>
              <w:rPr>
                <w:rFonts w:hint="eastAsia" w:eastAsia="宋体" w:cs="宋体"/>
                <w:color w:val="000000"/>
                <w:kern w:val="0"/>
                <w:sz w:val="22"/>
              </w:rPr>
              <w:t>　</w:t>
            </w:r>
          </w:p>
        </w:tc>
      </w:tr>
      <w:tr>
        <w:tblPrEx>
          <w:tblCellMar>
            <w:top w:w="0" w:type="dxa"/>
            <w:left w:w="108" w:type="dxa"/>
            <w:bottom w:w="0" w:type="dxa"/>
            <w:right w:w="108" w:type="dxa"/>
          </w:tblCellMar>
        </w:tblPrEx>
        <w:trPr>
          <w:trHeight w:val="576"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b/>
                <w:bCs/>
                <w:color w:val="000000"/>
                <w:kern w:val="0"/>
                <w:sz w:val="22"/>
              </w:rPr>
            </w:pPr>
            <w:r>
              <w:rPr>
                <w:rFonts w:hint="eastAsia" w:eastAsia="宋体" w:cs="宋体"/>
                <w:b/>
                <w:bCs/>
                <w:color w:val="000000"/>
                <w:kern w:val="0"/>
                <w:sz w:val="22"/>
              </w:rPr>
              <w:t>6</w:t>
            </w:r>
          </w:p>
        </w:tc>
        <w:tc>
          <w:tcPr>
            <w:tcW w:w="290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科学城南部产业园区提升项目二期</w:t>
            </w:r>
          </w:p>
        </w:tc>
        <w:tc>
          <w:tcPr>
            <w:tcW w:w="164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0805产业园区基础设施</w:t>
            </w:r>
          </w:p>
        </w:tc>
        <w:tc>
          <w:tcPr>
            <w:tcW w:w="81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续建</w:t>
            </w:r>
          </w:p>
        </w:tc>
        <w:tc>
          <w:tcPr>
            <w:tcW w:w="202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00000"/>
                <w:kern w:val="0"/>
                <w:sz w:val="20"/>
                <w:szCs w:val="20"/>
              </w:rPr>
            </w:pPr>
            <w:r>
              <w:rPr>
                <w:rFonts w:hint="eastAsia" w:eastAsia="宋体" w:cs="宋体"/>
                <w:color w:val="000000"/>
                <w:kern w:val="0"/>
                <w:sz w:val="20"/>
                <w:szCs w:val="20"/>
              </w:rPr>
              <w:t>10,000</w:t>
            </w:r>
          </w:p>
        </w:tc>
        <w:tc>
          <w:tcPr>
            <w:tcW w:w="110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00000"/>
                <w:kern w:val="0"/>
                <w:sz w:val="22"/>
              </w:rPr>
            </w:pPr>
            <w:r>
              <w:rPr>
                <w:rFonts w:hint="eastAsia" w:eastAsia="宋体" w:cs="宋体"/>
                <w:color w:val="000000"/>
                <w:kern w:val="0"/>
                <w:sz w:val="22"/>
              </w:rPr>
              <w:t>是</w:t>
            </w:r>
          </w:p>
        </w:tc>
        <w:tc>
          <w:tcPr>
            <w:tcW w:w="16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00000"/>
                <w:kern w:val="0"/>
                <w:sz w:val="22"/>
              </w:rPr>
            </w:pPr>
            <w:r>
              <w:rPr>
                <w:rFonts w:hint="eastAsia" w:eastAsia="宋体" w:cs="宋体"/>
                <w:color w:val="000000"/>
                <w:kern w:val="0"/>
                <w:sz w:val="22"/>
              </w:rPr>
              <w:t>是</w:t>
            </w:r>
          </w:p>
        </w:tc>
      </w:tr>
      <w:tr>
        <w:tblPrEx>
          <w:tblCellMar>
            <w:top w:w="0" w:type="dxa"/>
            <w:left w:w="108" w:type="dxa"/>
            <w:bottom w:w="0" w:type="dxa"/>
            <w:right w:w="108" w:type="dxa"/>
          </w:tblCellMar>
        </w:tblPrEx>
        <w:trPr>
          <w:trHeight w:val="576"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b/>
                <w:bCs/>
                <w:color w:val="000000"/>
                <w:kern w:val="0"/>
                <w:sz w:val="22"/>
              </w:rPr>
            </w:pPr>
            <w:r>
              <w:rPr>
                <w:rFonts w:hint="eastAsia" w:eastAsia="宋体" w:cs="宋体"/>
                <w:b/>
                <w:bCs/>
                <w:color w:val="000000"/>
                <w:kern w:val="0"/>
                <w:sz w:val="22"/>
              </w:rPr>
              <w:t>7</w:t>
            </w:r>
          </w:p>
        </w:tc>
        <w:tc>
          <w:tcPr>
            <w:tcW w:w="290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西部（重庆）科学城科技创新产业园一期建设项目</w:t>
            </w:r>
          </w:p>
        </w:tc>
        <w:tc>
          <w:tcPr>
            <w:tcW w:w="164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0805产业园区基础设施</w:t>
            </w:r>
          </w:p>
        </w:tc>
        <w:tc>
          <w:tcPr>
            <w:tcW w:w="81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续建</w:t>
            </w:r>
          </w:p>
        </w:tc>
        <w:tc>
          <w:tcPr>
            <w:tcW w:w="202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00000"/>
                <w:kern w:val="0"/>
                <w:sz w:val="20"/>
                <w:szCs w:val="20"/>
              </w:rPr>
            </w:pPr>
            <w:r>
              <w:rPr>
                <w:rFonts w:hint="eastAsia" w:eastAsia="宋体" w:cs="宋体"/>
                <w:color w:val="000000"/>
                <w:kern w:val="0"/>
                <w:sz w:val="20"/>
                <w:szCs w:val="20"/>
              </w:rPr>
              <w:t>60,000</w:t>
            </w:r>
          </w:p>
        </w:tc>
        <w:tc>
          <w:tcPr>
            <w:tcW w:w="110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00000"/>
                <w:kern w:val="0"/>
                <w:sz w:val="22"/>
              </w:rPr>
            </w:pPr>
            <w:r>
              <w:rPr>
                <w:rFonts w:hint="eastAsia" w:eastAsia="宋体" w:cs="宋体"/>
                <w:color w:val="000000"/>
                <w:kern w:val="0"/>
                <w:sz w:val="22"/>
              </w:rPr>
              <w:t>　</w:t>
            </w:r>
          </w:p>
        </w:tc>
        <w:tc>
          <w:tcPr>
            <w:tcW w:w="16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00000"/>
                <w:kern w:val="0"/>
                <w:sz w:val="22"/>
              </w:rPr>
            </w:pPr>
            <w:r>
              <w:rPr>
                <w:rFonts w:hint="eastAsia" w:eastAsia="宋体" w:cs="宋体"/>
                <w:color w:val="000000"/>
                <w:kern w:val="0"/>
                <w:sz w:val="22"/>
              </w:rPr>
              <w:t>　</w:t>
            </w:r>
          </w:p>
        </w:tc>
      </w:tr>
      <w:tr>
        <w:tblPrEx>
          <w:tblCellMar>
            <w:top w:w="0" w:type="dxa"/>
            <w:left w:w="108" w:type="dxa"/>
            <w:bottom w:w="0" w:type="dxa"/>
            <w:right w:w="108" w:type="dxa"/>
          </w:tblCellMar>
        </w:tblPrEx>
        <w:trPr>
          <w:trHeight w:val="576"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b/>
                <w:bCs/>
                <w:color w:val="000000"/>
                <w:kern w:val="0"/>
                <w:sz w:val="22"/>
              </w:rPr>
            </w:pPr>
            <w:r>
              <w:rPr>
                <w:rFonts w:hint="eastAsia" w:eastAsia="宋体" w:cs="宋体"/>
                <w:b/>
                <w:bCs/>
                <w:color w:val="000000"/>
                <w:kern w:val="0"/>
                <w:sz w:val="22"/>
              </w:rPr>
              <w:t>8</w:t>
            </w:r>
          </w:p>
        </w:tc>
        <w:tc>
          <w:tcPr>
            <w:tcW w:w="290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西部（重庆）科学城生命芯谷一期建设项目</w:t>
            </w:r>
          </w:p>
        </w:tc>
        <w:tc>
          <w:tcPr>
            <w:tcW w:w="164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0805产业园区基础设施</w:t>
            </w:r>
          </w:p>
        </w:tc>
        <w:tc>
          <w:tcPr>
            <w:tcW w:w="81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续建</w:t>
            </w:r>
          </w:p>
        </w:tc>
        <w:tc>
          <w:tcPr>
            <w:tcW w:w="202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00000"/>
                <w:kern w:val="0"/>
                <w:sz w:val="20"/>
                <w:szCs w:val="20"/>
              </w:rPr>
            </w:pPr>
            <w:r>
              <w:rPr>
                <w:rFonts w:hint="eastAsia" w:eastAsia="宋体" w:cs="宋体"/>
                <w:color w:val="000000"/>
                <w:kern w:val="0"/>
                <w:sz w:val="20"/>
                <w:szCs w:val="20"/>
              </w:rPr>
              <w:t>20,000</w:t>
            </w:r>
          </w:p>
        </w:tc>
        <w:tc>
          <w:tcPr>
            <w:tcW w:w="110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00000"/>
                <w:kern w:val="0"/>
                <w:sz w:val="22"/>
              </w:rPr>
            </w:pPr>
            <w:r>
              <w:rPr>
                <w:rFonts w:hint="eastAsia" w:eastAsia="宋体" w:cs="宋体"/>
                <w:color w:val="000000"/>
                <w:kern w:val="0"/>
                <w:sz w:val="22"/>
              </w:rPr>
              <w:t>是</w:t>
            </w:r>
          </w:p>
        </w:tc>
        <w:tc>
          <w:tcPr>
            <w:tcW w:w="16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00000"/>
                <w:kern w:val="0"/>
                <w:sz w:val="22"/>
              </w:rPr>
            </w:pPr>
            <w:r>
              <w:rPr>
                <w:rFonts w:hint="eastAsia" w:eastAsia="宋体" w:cs="宋体"/>
                <w:color w:val="000000"/>
                <w:kern w:val="0"/>
                <w:sz w:val="22"/>
              </w:rPr>
              <w:t>是</w:t>
            </w:r>
          </w:p>
        </w:tc>
      </w:tr>
      <w:tr>
        <w:tblPrEx>
          <w:tblCellMar>
            <w:top w:w="0" w:type="dxa"/>
            <w:left w:w="108" w:type="dxa"/>
            <w:bottom w:w="0" w:type="dxa"/>
            <w:right w:w="108" w:type="dxa"/>
          </w:tblCellMar>
        </w:tblPrEx>
        <w:trPr>
          <w:trHeight w:val="576"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b/>
                <w:bCs/>
                <w:color w:val="000000"/>
                <w:kern w:val="0"/>
                <w:sz w:val="22"/>
              </w:rPr>
            </w:pPr>
            <w:r>
              <w:rPr>
                <w:rFonts w:hint="eastAsia" w:eastAsia="宋体" w:cs="宋体"/>
                <w:b/>
                <w:bCs/>
                <w:color w:val="000000"/>
                <w:kern w:val="0"/>
                <w:sz w:val="22"/>
              </w:rPr>
              <w:t>9</w:t>
            </w:r>
          </w:p>
        </w:tc>
        <w:tc>
          <w:tcPr>
            <w:tcW w:w="290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西部（重庆）科学城大健康产业园二期建设项目</w:t>
            </w:r>
          </w:p>
        </w:tc>
        <w:tc>
          <w:tcPr>
            <w:tcW w:w="164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0805产业园区基础设施</w:t>
            </w:r>
          </w:p>
        </w:tc>
        <w:tc>
          <w:tcPr>
            <w:tcW w:w="81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续建</w:t>
            </w:r>
          </w:p>
        </w:tc>
        <w:tc>
          <w:tcPr>
            <w:tcW w:w="202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00000"/>
                <w:kern w:val="0"/>
                <w:sz w:val="20"/>
                <w:szCs w:val="20"/>
              </w:rPr>
            </w:pPr>
            <w:r>
              <w:rPr>
                <w:rFonts w:hint="eastAsia" w:eastAsia="宋体" w:cs="宋体"/>
                <w:color w:val="000000"/>
                <w:kern w:val="0"/>
                <w:sz w:val="20"/>
                <w:szCs w:val="20"/>
              </w:rPr>
              <w:t>30,000</w:t>
            </w:r>
          </w:p>
        </w:tc>
        <w:tc>
          <w:tcPr>
            <w:tcW w:w="110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00000"/>
                <w:kern w:val="0"/>
                <w:sz w:val="22"/>
              </w:rPr>
            </w:pPr>
            <w:r>
              <w:rPr>
                <w:rFonts w:hint="eastAsia" w:eastAsia="宋体" w:cs="宋体"/>
                <w:color w:val="000000"/>
                <w:kern w:val="0"/>
                <w:sz w:val="22"/>
              </w:rPr>
              <w:t>是</w:t>
            </w:r>
          </w:p>
        </w:tc>
        <w:tc>
          <w:tcPr>
            <w:tcW w:w="16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00000"/>
                <w:kern w:val="0"/>
                <w:sz w:val="22"/>
              </w:rPr>
            </w:pPr>
            <w:r>
              <w:rPr>
                <w:rFonts w:hint="eastAsia" w:eastAsia="宋体" w:cs="宋体"/>
                <w:color w:val="000000"/>
                <w:kern w:val="0"/>
                <w:sz w:val="22"/>
              </w:rPr>
              <w:t>是</w:t>
            </w:r>
          </w:p>
        </w:tc>
      </w:tr>
      <w:tr>
        <w:tblPrEx>
          <w:tblCellMar>
            <w:top w:w="0" w:type="dxa"/>
            <w:left w:w="108" w:type="dxa"/>
            <w:bottom w:w="0" w:type="dxa"/>
            <w:right w:w="108" w:type="dxa"/>
          </w:tblCellMar>
        </w:tblPrEx>
        <w:trPr>
          <w:trHeight w:val="576"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b/>
                <w:bCs/>
                <w:color w:val="000000"/>
                <w:kern w:val="0"/>
                <w:sz w:val="22"/>
              </w:rPr>
            </w:pPr>
            <w:r>
              <w:rPr>
                <w:rFonts w:hint="eastAsia" w:eastAsia="宋体" w:cs="宋体"/>
                <w:b/>
                <w:bCs/>
                <w:color w:val="000000"/>
                <w:kern w:val="0"/>
                <w:sz w:val="22"/>
              </w:rPr>
              <w:t>10</w:t>
            </w:r>
          </w:p>
        </w:tc>
        <w:tc>
          <w:tcPr>
            <w:tcW w:w="290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西部（重庆）科学城新一代信息技术产业园二期建设项目</w:t>
            </w:r>
          </w:p>
        </w:tc>
        <w:tc>
          <w:tcPr>
            <w:tcW w:w="164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0805产业园区基础设施</w:t>
            </w:r>
          </w:p>
        </w:tc>
        <w:tc>
          <w:tcPr>
            <w:tcW w:w="81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新建</w:t>
            </w:r>
          </w:p>
        </w:tc>
        <w:tc>
          <w:tcPr>
            <w:tcW w:w="202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00000"/>
                <w:kern w:val="0"/>
                <w:sz w:val="20"/>
                <w:szCs w:val="20"/>
              </w:rPr>
            </w:pPr>
            <w:r>
              <w:rPr>
                <w:rFonts w:hint="eastAsia" w:eastAsia="宋体" w:cs="宋体"/>
                <w:color w:val="000000"/>
                <w:kern w:val="0"/>
                <w:sz w:val="20"/>
                <w:szCs w:val="20"/>
              </w:rPr>
              <w:t>12,000</w:t>
            </w:r>
          </w:p>
        </w:tc>
        <w:tc>
          <w:tcPr>
            <w:tcW w:w="110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00000"/>
                <w:kern w:val="0"/>
                <w:sz w:val="22"/>
              </w:rPr>
            </w:pPr>
            <w:r>
              <w:rPr>
                <w:rFonts w:hint="eastAsia" w:eastAsia="宋体" w:cs="宋体"/>
                <w:color w:val="000000"/>
                <w:kern w:val="0"/>
                <w:sz w:val="22"/>
              </w:rPr>
              <w:t>是</w:t>
            </w:r>
          </w:p>
        </w:tc>
        <w:tc>
          <w:tcPr>
            <w:tcW w:w="16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00000"/>
                <w:kern w:val="0"/>
                <w:sz w:val="22"/>
              </w:rPr>
            </w:pPr>
            <w:r>
              <w:rPr>
                <w:rFonts w:hint="eastAsia" w:eastAsia="宋体" w:cs="宋体"/>
                <w:color w:val="000000"/>
                <w:kern w:val="0"/>
                <w:sz w:val="22"/>
              </w:rPr>
              <w:t>是</w:t>
            </w:r>
          </w:p>
        </w:tc>
      </w:tr>
      <w:tr>
        <w:tblPrEx>
          <w:tblCellMar>
            <w:top w:w="0" w:type="dxa"/>
            <w:left w:w="108" w:type="dxa"/>
            <w:bottom w:w="0" w:type="dxa"/>
            <w:right w:w="108" w:type="dxa"/>
          </w:tblCellMar>
        </w:tblPrEx>
        <w:trPr>
          <w:trHeight w:val="576"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b/>
                <w:bCs/>
                <w:color w:val="000000"/>
                <w:kern w:val="0"/>
                <w:sz w:val="22"/>
              </w:rPr>
            </w:pPr>
            <w:r>
              <w:rPr>
                <w:rFonts w:hint="eastAsia" w:eastAsia="宋体" w:cs="宋体"/>
                <w:b/>
                <w:bCs/>
                <w:color w:val="000000"/>
                <w:kern w:val="0"/>
                <w:sz w:val="22"/>
              </w:rPr>
              <w:t>11</w:t>
            </w:r>
          </w:p>
        </w:tc>
        <w:tc>
          <w:tcPr>
            <w:tcW w:w="290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西部（重庆）科学城科技创新产业园二期建设项目</w:t>
            </w:r>
          </w:p>
        </w:tc>
        <w:tc>
          <w:tcPr>
            <w:tcW w:w="164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0805产业园区基础设施</w:t>
            </w:r>
          </w:p>
        </w:tc>
        <w:tc>
          <w:tcPr>
            <w:tcW w:w="81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新建</w:t>
            </w:r>
          </w:p>
        </w:tc>
        <w:tc>
          <w:tcPr>
            <w:tcW w:w="202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00000"/>
                <w:kern w:val="0"/>
                <w:sz w:val="20"/>
                <w:szCs w:val="20"/>
              </w:rPr>
            </w:pPr>
            <w:r>
              <w:rPr>
                <w:rFonts w:hint="eastAsia" w:eastAsia="宋体" w:cs="宋体"/>
                <w:color w:val="000000"/>
                <w:kern w:val="0"/>
                <w:sz w:val="20"/>
                <w:szCs w:val="20"/>
              </w:rPr>
              <w:t>134,000</w:t>
            </w:r>
          </w:p>
        </w:tc>
        <w:tc>
          <w:tcPr>
            <w:tcW w:w="110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00000"/>
                <w:kern w:val="0"/>
                <w:sz w:val="22"/>
              </w:rPr>
            </w:pPr>
            <w:r>
              <w:rPr>
                <w:rFonts w:hint="eastAsia" w:eastAsia="宋体" w:cs="宋体"/>
                <w:color w:val="000000"/>
                <w:kern w:val="0"/>
                <w:sz w:val="22"/>
              </w:rPr>
              <w:t>是</w:t>
            </w:r>
          </w:p>
        </w:tc>
        <w:tc>
          <w:tcPr>
            <w:tcW w:w="16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00000"/>
                <w:kern w:val="0"/>
                <w:sz w:val="22"/>
              </w:rPr>
            </w:pPr>
            <w:r>
              <w:rPr>
                <w:rFonts w:hint="eastAsia" w:eastAsia="宋体" w:cs="宋体"/>
                <w:color w:val="000000"/>
                <w:kern w:val="0"/>
                <w:sz w:val="22"/>
              </w:rPr>
              <w:t>是</w:t>
            </w:r>
          </w:p>
        </w:tc>
      </w:tr>
      <w:tr>
        <w:tblPrEx>
          <w:tblCellMar>
            <w:top w:w="0" w:type="dxa"/>
            <w:left w:w="108" w:type="dxa"/>
            <w:bottom w:w="0" w:type="dxa"/>
            <w:right w:w="108" w:type="dxa"/>
          </w:tblCellMar>
        </w:tblPrEx>
        <w:trPr>
          <w:trHeight w:val="576"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b/>
                <w:bCs/>
                <w:color w:val="000000"/>
                <w:kern w:val="0"/>
                <w:sz w:val="22"/>
              </w:rPr>
            </w:pPr>
            <w:r>
              <w:rPr>
                <w:rFonts w:hint="eastAsia" w:eastAsia="宋体" w:cs="宋体"/>
                <w:b/>
                <w:bCs/>
                <w:color w:val="000000"/>
                <w:kern w:val="0"/>
                <w:sz w:val="22"/>
              </w:rPr>
              <w:t>12</w:t>
            </w:r>
          </w:p>
        </w:tc>
        <w:tc>
          <w:tcPr>
            <w:tcW w:w="290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西部（重庆）科学城生命芯谷二期建设项目</w:t>
            </w:r>
          </w:p>
        </w:tc>
        <w:tc>
          <w:tcPr>
            <w:tcW w:w="164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0805产业园区基础设施</w:t>
            </w:r>
          </w:p>
        </w:tc>
        <w:tc>
          <w:tcPr>
            <w:tcW w:w="81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新建</w:t>
            </w:r>
          </w:p>
        </w:tc>
        <w:tc>
          <w:tcPr>
            <w:tcW w:w="202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00000"/>
                <w:kern w:val="0"/>
                <w:sz w:val="20"/>
                <w:szCs w:val="20"/>
              </w:rPr>
            </w:pPr>
            <w:r>
              <w:rPr>
                <w:rFonts w:hint="eastAsia" w:eastAsia="宋体" w:cs="宋体"/>
                <w:color w:val="000000"/>
                <w:kern w:val="0"/>
                <w:sz w:val="20"/>
                <w:szCs w:val="20"/>
              </w:rPr>
              <w:t>5,000</w:t>
            </w:r>
          </w:p>
        </w:tc>
        <w:tc>
          <w:tcPr>
            <w:tcW w:w="110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00000"/>
                <w:kern w:val="0"/>
                <w:sz w:val="22"/>
              </w:rPr>
            </w:pPr>
            <w:r>
              <w:rPr>
                <w:rFonts w:hint="eastAsia" w:eastAsia="宋体" w:cs="宋体"/>
                <w:color w:val="000000"/>
                <w:kern w:val="0"/>
                <w:sz w:val="22"/>
              </w:rPr>
              <w:t>是</w:t>
            </w:r>
          </w:p>
        </w:tc>
        <w:tc>
          <w:tcPr>
            <w:tcW w:w="16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00000"/>
                <w:kern w:val="0"/>
                <w:sz w:val="22"/>
              </w:rPr>
            </w:pPr>
            <w:r>
              <w:rPr>
                <w:rFonts w:hint="eastAsia" w:eastAsia="宋体" w:cs="宋体"/>
                <w:color w:val="000000"/>
                <w:kern w:val="0"/>
                <w:sz w:val="22"/>
              </w:rPr>
              <w:t>是</w:t>
            </w:r>
          </w:p>
        </w:tc>
      </w:tr>
      <w:tr>
        <w:tblPrEx>
          <w:tblCellMar>
            <w:top w:w="0" w:type="dxa"/>
            <w:left w:w="108" w:type="dxa"/>
            <w:bottom w:w="0" w:type="dxa"/>
            <w:right w:w="108" w:type="dxa"/>
          </w:tblCellMar>
        </w:tblPrEx>
        <w:trPr>
          <w:trHeight w:val="576"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b/>
                <w:bCs/>
                <w:color w:val="000000"/>
                <w:kern w:val="0"/>
                <w:sz w:val="22"/>
              </w:rPr>
            </w:pPr>
            <w:r>
              <w:rPr>
                <w:rFonts w:hint="eastAsia" w:eastAsia="宋体" w:cs="宋体"/>
                <w:b/>
                <w:bCs/>
                <w:color w:val="000000"/>
                <w:kern w:val="0"/>
                <w:sz w:val="22"/>
              </w:rPr>
              <w:t>13</w:t>
            </w:r>
          </w:p>
        </w:tc>
        <w:tc>
          <w:tcPr>
            <w:tcW w:w="290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西部（重庆）科学城生命科技融合创新产业园一期建设项目</w:t>
            </w:r>
          </w:p>
        </w:tc>
        <w:tc>
          <w:tcPr>
            <w:tcW w:w="164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0805产业园区基础设施</w:t>
            </w:r>
          </w:p>
        </w:tc>
        <w:tc>
          <w:tcPr>
            <w:tcW w:w="81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cs="宋体"/>
                <w:kern w:val="0"/>
                <w:sz w:val="22"/>
              </w:rPr>
            </w:pPr>
            <w:r>
              <w:rPr>
                <w:rFonts w:hint="eastAsia" w:eastAsia="宋体" w:cs="宋体"/>
                <w:kern w:val="0"/>
                <w:sz w:val="22"/>
              </w:rPr>
              <w:t>新建</w:t>
            </w:r>
          </w:p>
        </w:tc>
        <w:tc>
          <w:tcPr>
            <w:tcW w:w="2020"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right"/>
              <w:rPr>
                <w:rFonts w:eastAsia="宋体" w:cs="宋体"/>
                <w:color w:val="000000"/>
                <w:kern w:val="0"/>
                <w:sz w:val="20"/>
                <w:szCs w:val="20"/>
              </w:rPr>
            </w:pPr>
            <w:r>
              <w:rPr>
                <w:rFonts w:hint="eastAsia" w:eastAsia="宋体" w:cs="宋体"/>
                <w:color w:val="000000"/>
                <w:kern w:val="0"/>
                <w:sz w:val="20"/>
                <w:szCs w:val="20"/>
              </w:rPr>
              <w:t>4,000</w:t>
            </w:r>
          </w:p>
        </w:tc>
        <w:tc>
          <w:tcPr>
            <w:tcW w:w="110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00000"/>
                <w:kern w:val="0"/>
                <w:sz w:val="22"/>
              </w:rPr>
            </w:pPr>
            <w:r>
              <w:rPr>
                <w:rFonts w:hint="eastAsia" w:eastAsia="宋体" w:cs="宋体"/>
                <w:color w:val="000000"/>
                <w:kern w:val="0"/>
                <w:sz w:val="22"/>
              </w:rPr>
              <w:t>是</w:t>
            </w:r>
          </w:p>
        </w:tc>
        <w:tc>
          <w:tcPr>
            <w:tcW w:w="166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宋体"/>
                <w:color w:val="000000"/>
                <w:kern w:val="0"/>
                <w:sz w:val="22"/>
              </w:rPr>
            </w:pPr>
            <w:r>
              <w:rPr>
                <w:rFonts w:hint="eastAsia" w:eastAsia="宋体" w:cs="宋体"/>
                <w:color w:val="000000"/>
                <w:kern w:val="0"/>
                <w:sz w:val="22"/>
              </w:rPr>
              <w:t>是</w:t>
            </w:r>
          </w:p>
        </w:tc>
      </w:tr>
    </w:tbl>
    <w:p>
      <w:pPr>
        <w:widowControl/>
        <w:spacing w:line="240" w:lineRule="auto"/>
        <w:ind w:firstLine="0" w:firstLineChars="0"/>
        <w:jc w:val="left"/>
        <w:rPr>
          <w:rFonts w:eastAsia="方正楷体_GBK"/>
          <w:bCs/>
          <w:color w:val="0D0D0D" w:themeColor="text1" w:themeTint="F2"/>
          <w:kern w:val="44"/>
          <w:szCs w:val="44"/>
          <w14:textFill>
            <w14:solidFill>
              <w14:schemeClr w14:val="tx1">
                <w14:lumMod w14:val="95000"/>
                <w14:lumOff w14:val="5000"/>
              </w14:schemeClr>
            </w14:solidFill>
          </w14:textFill>
        </w:rPr>
        <w:sectPr>
          <w:pgSz w:w="11906" w:h="16838"/>
          <w:pgMar w:top="2098" w:right="1531" w:bottom="1985" w:left="1531" w:header="851" w:footer="1417" w:gutter="0"/>
          <w:cols w:space="425" w:num="1"/>
          <w:docGrid w:type="lines" w:linePitch="435" w:charSpace="0"/>
        </w:sectPr>
      </w:pPr>
      <w:r>
        <w:rPr>
          <w:rFonts w:eastAsia="方正楷体_GBK"/>
          <w:bCs/>
          <w:color w:val="0D0D0D" w:themeColor="text1" w:themeTint="F2"/>
          <w:kern w:val="44"/>
          <w:szCs w:val="44"/>
          <w14:textFill>
            <w14:solidFill>
              <w14:schemeClr w14:val="tx1">
                <w14:lumMod w14:val="95000"/>
                <w14:lumOff w14:val="5000"/>
              </w14:schemeClr>
            </w14:solidFill>
          </w14:textFill>
        </w:rPr>
        <w:br w:type="page"/>
      </w:r>
    </w:p>
    <w:p>
      <w:pPr>
        <w:widowControl/>
        <w:spacing w:line="240" w:lineRule="auto"/>
        <w:ind w:left="-848" w:leftChars="-265" w:firstLine="0" w:firstLineChars="0"/>
        <w:rPr>
          <w:rFonts w:eastAsia="方正楷体_GBK"/>
          <w:bCs/>
          <w:color w:val="0D0D0D" w:themeColor="text1" w:themeTint="F2"/>
          <w:kern w:val="44"/>
          <w:szCs w:val="44"/>
          <w14:textFill>
            <w14:solidFill>
              <w14:schemeClr w14:val="tx1">
                <w14:lumMod w14:val="95000"/>
                <w14:lumOff w14:val="5000"/>
              </w14:schemeClr>
            </w14:solidFill>
          </w14:textFill>
        </w:rPr>
      </w:pPr>
      <w:r>
        <w:rPr>
          <w:rFonts w:hint="eastAsia" w:eastAsia="方正黑体_GBK"/>
          <w:bCs/>
          <w:color w:val="0D0D0D" w:themeColor="text1" w:themeTint="F2"/>
          <w:kern w:val="44"/>
          <w:szCs w:val="44"/>
          <w14:textFill>
            <w14:solidFill>
              <w14:schemeClr w14:val="tx1">
                <w14:lumMod w14:val="95000"/>
                <w14:lumOff w14:val="5000"/>
              </w14:schemeClr>
            </w14:solidFill>
          </w14:textFill>
        </w:rPr>
        <w:t>表2</w:t>
      </w:r>
      <w:r>
        <w:rPr>
          <w:rFonts w:eastAsia="方正黑体_GBK"/>
          <w:bCs/>
          <w:color w:val="0D0D0D" w:themeColor="text1" w:themeTint="F2"/>
          <w:kern w:val="44"/>
          <w:szCs w:val="44"/>
          <w14:textFill>
            <w14:solidFill>
              <w14:schemeClr w14:val="tx1">
                <w14:lumMod w14:val="95000"/>
                <w14:lumOff w14:val="5000"/>
              </w14:schemeClr>
            </w14:solidFill>
          </w14:textFill>
        </w:rPr>
        <w:t>6</w:t>
      </w:r>
    </w:p>
    <w:p>
      <w:pPr>
        <w:widowControl/>
        <w:spacing w:line="240" w:lineRule="auto"/>
        <w:ind w:firstLine="0" w:firstLineChars="0"/>
        <w:jc w:val="center"/>
        <w:rPr>
          <w:rFonts w:eastAsia="方正小标宋_GBK"/>
          <w:bCs/>
          <w:color w:val="0D0D0D" w:themeColor="text1" w:themeTint="F2"/>
          <w:kern w:val="44"/>
          <w:szCs w:val="44"/>
          <w14:textFill>
            <w14:solidFill>
              <w14:schemeClr w14:val="tx1">
                <w14:lumMod w14:val="95000"/>
                <w14:lumOff w14:val="5000"/>
              </w14:schemeClr>
            </w14:solidFill>
          </w14:textFill>
        </w:rPr>
      </w:pPr>
      <w:r>
        <w:rPr>
          <w:rFonts w:hint="eastAsia" w:eastAsia="方正小标宋_GBK"/>
          <w:bCs/>
          <w:color w:val="0D0D0D" w:themeColor="text1" w:themeTint="F2"/>
          <w:kern w:val="44"/>
          <w:szCs w:val="44"/>
          <w14:textFill>
            <w14:solidFill>
              <w14:schemeClr w14:val="tx1">
                <w14:lumMod w14:val="95000"/>
                <w14:lumOff w14:val="5000"/>
              </w14:schemeClr>
            </w14:solidFill>
          </w14:textFill>
        </w:rPr>
        <w:t>2023年重庆高新区重大项目情况表</w:t>
      </w:r>
    </w:p>
    <w:tbl>
      <w:tblPr>
        <w:tblStyle w:val="7"/>
        <w:tblW w:w="14556" w:type="dxa"/>
        <w:tblInd w:w="-856" w:type="dxa"/>
        <w:tblLayout w:type="autofit"/>
        <w:tblCellMar>
          <w:top w:w="0" w:type="dxa"/>
          <w:left w:w="108" w:type="dxa"/>
          <w:bottom w:w="0" w:type="dxa"/>
          <w:right w:w="108" w:type="dxa"/>
        </w:tblCellMar>
      </w:tblPr>
      <w:tblGrid>
        <w:gridCol w:w="709"/>
        <w:gridCol w:w="1792"/>
        <w:gridCol w:w="656"/>
        <w:gridCol w:w="1318"/>
        <w:gridCol w:w="1062"/>
        <w:gridCol w:w="1268"/>
        <w:gridCol w:w="1417"/>
        <w:gridCol w:w="6334"/>
      </w:tblGrid>
      <w:tr>
        <w:tblPrEx>
          <w:tblCellMar>
            <w:top w:w="0" w:type="dxa"/>
            <w:left w:w="108" w:type="dxa"/>
            <w:bottom w:w="0" w:type="dxa"/>
            <w:right w:w="108" w:type="dxa"/>
          </w:tblCellMar>
        </w:tblPrEx>
        <w:trPr>
          <w:trHeight w:val="648" w:hRule="atLeast"/>
          <w:tblHead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kern w:val="0"/>
                <w:sz w:val="24"/>
                <w:szCs w:val="24"/>
              </w:rPr>
            </w:pPr>
            <w:r>
              <w:rPr>
                <w:rFonts w:hint="eastAsia" w:eastAsia="方正黑体_GBK" w:cs="宋体"/>
                <w:kern w:val="0"/>
                <w:sz w:val="24"/>
                <w:szCs w:val="24"/>
              </w:rPr>
              <w:t>序号</w:t>
            </w:r>
          </w:p>
        </w:tc>
        <w:tc>
          <w:tcPr>
            <w:tcW w:w="244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kern w:val="0"/>
                <w:sz w:val="24"/>
                <w:szCs w:val="24"/>
              </w:rPr>
            </w:pPr>
            <w:r>
              <w:rPr>
                <w:rFonts w:hint="eastAsia" w:eastAsia="方正黑体_GBK" w:cs="宋体"/>
                <w:kern w:val="0"/>
                <w:sz w:val="24"/>
                <w:szCs w:val="24"/>
              </w:rPr>
              <w:t>项目名称</w:t>
            </w:r>
          </w:p>
        </w:tc>
        <w:tc>
          <w:tcPr>
            <w:tcW w:w="131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kern w:val="0"/>
                <w:sz w:val="24"/>
                <w:szCs w:val="24"/>
              </w:rPr>
            </w:pPr>
            <w:r>
              <w:rPr>
                <w:rFonts w:hint="eastAsia" w:eastAsia="方正黑体_GBK" w:cs="宋体"/>
                <w:kern w:val="0"/>
                <w:sz w:val="24"/>
                <w:szCs w:val="24"/>
              </w:rPr>
              <w:t>建设阶段</w:t>
            </w:r>
          </w:p>
        </w:tc>
        <w:tc>
          <w:tcPr>
            <w:tcW w:w="106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kern w:val="0"/>
                <w:sz w:val="24"/>
                <w:szCs w:val="24"/>
              </w:rPr>
            </w:pPr>
            <w:r>
              <w:rPr>
                <w:rFonts w:hint="eastAsia" w:eastAsia="方正黑体_GBK" w:cs="宋体"/>
                <w:kern w:val="0"/>
                <w:sz w:val="24"/>
                <w:szCs w:val="24"/>
              </w:rPr>
              <w:t>项目类别</w:t>
            </w:r>
          </w:p>
        </w:tc>
        <w:tc>
          <w:tcPr>
            <w:tcW w:w="126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方正黑体_GBK" w:cs="宋体"/>
                <w:kern w:val="0"/>
                <w:sz w:val="24"/>
                <w:szCs w:val="24"/>
              </w:rPr>
            </w:pPr>
            <w:r>
              <w:rPr>
                <w:rFonts w:hint="eastAsia" w:eastAsia="方正黑体_GBK" w:cs="宋体"/>
                <w:kern w:val="0"/>
                <w:sz w:val="24"/>
                <w:szCs w:val="24"/>
              </w:rPr>
              <w:t>总投资</w:t>
            </w:r>
            <w:r>
              <w:rPr>
                <w:rFonts w:hint="eastAsia" w:eastAsia="方正黑体_GBK" w:cs="宋体"/>
                <w:kern w:val="0"/>
                <w:sz w:val="24"/>
                <w:szCs w:val="24"/>
              </w:rPr>
              <w:br w:type="textWrapping"/>
            </w:r>
            <w:r>
              <w:rPr>
                <w:rFonts w:hint="eastAsia" w:eastAsia="方正黑体_GBK" w:cs="宋体"/>
                <w:kern w:val="0"/>
                <w:sz w:val="24"/>
                <w:szCs w:val="24"/>
              </w:rPr>
              <w:t>（亿元）</w:t>
            </w:r>
          </w:p>
        </w:tc>
        <w:tc>
          <w:tcPr>
            <w:tcW w:w="1417"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方正黑体_GBK" w:cs="宋体"/>
                <w:kern w:val="0"/>
                <w:sz w:val="24"/>
                <w:szCs w:val="24"/>
              </w:rPr>
            </w:pPr>
            <w:r>
              <w:rPr>
                <w:rFonts w:hint="eastAsia" w:eastAsia="方正黑体_GBK" w:cs="宋体"/>
                <w:kern w:val="0"/>
                <w:sz w:val="24"/>
                <w:szCs w:val="24"/>
              </w:rPr>
              <w:t>年度投资</w:t>
            </w:r>
            <w:r>
              <w:rPr>
                <w:rFonts w:hint="eastAsia" w:eastAsia="方正黑体_GBK" w:cs="宋体"/>
                <w:kern w:val="0"/>
                <w:sz w:val="24"/>
                <w:szCs w:val="24"/>
              </w:rPr>
              <w:br w:type="textWrapping"/>
            </w:r>
            <w:r>
              <w:rPr>
                <w:rFonts w:hint="eastAsia" w:eastAsia="方正黑体_GBK" w:cs="宋体"/>
                <w:kern w:val="0"/>
                <w:sz w:val="24"/>
                <w:szCs w:val="24"/>
              </w:rPr>
              <w:t>（亿元）</w:t>
            </w:r>
          </w:p>
        </w:tc>
        <w:tc>
          <w:tcPr>
            <w:tcW w:w="633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4"/>
                <w:szCs w:val="24"/>
              </w:rPr>
            </w:pPr>
            <w:r>
              <w:rPr>
                <w:rFonts w:hint="eastAsia" w:eastAsia="方正黑体_GBK" w:cs="Times New Roman"/>
                <w:kern w:val="0"/>
                <w:sz w:val="24"/>
                <w:szCs w:val="24"/>
              </w:rPr>
              <w:t>建设规模及内容</w:t>
            </w:r>
          </w:p>
        </w:tc>
      </w:tr>
      <w:tr>
        <w:tblPrEx>
          <w:tblCellMar>
            <w:top w:w="0" w:type="dxa"/>
            <w:left w:w="108" w:type="dxa"/>
            <w:bottom w:w="0" w:type="dxa"/>
            <w:right w:w="108" w:type="dxa"/>
          </w:tblCellMar>
        </w:tblPrEx>
        <w:trPr>
          <w:trHeight w:val="1728"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w:t>
            </w:r>
          </w:p>
        </w:tc>
        <w:tc>
          <w:tcPr>
            <w:tcW w:w="244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超瞬态实验装置</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科技创新</w:t>
            </w:r>
          </w:p>
        </w:tc>
        <w:tc>
          <w:tcPr>
            <w:tcW w:w="1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 xml:space="preserve">7.9 </w:t>
            </w:r>
          </w:p>
        </w:tc>
        <w:tc>
          <w:tcPr>
            <w:tcW w:w="14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w:t>
            </w:r>
          </w:p>
        </w:tc>
        <w:tc>
          <w:tcPr>
            <w:tcW w:w="63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kern w:val="0"/>
                <w:sz w:val="22"/>
              </w:rPr>
            </w:pPr>
            <w:r>
              <w:rPr>
                <w:rFonts w:hint="eastAsia" w:cs="Times New Roman"/>
                <w:kern w:val="0"/>
                <w:sz w:val="22"/>
              </w:rPr>
              <w:t>建设</w:t>
            </w:r>
            <w:r>
              <w:rPr>
                <w:rFonts w:eastAsia="宋体" w:cs="Times New Roman"/>
                <w:kern w:val="0"/>
                <w:sz w:val="22"/>
              </w:rPr>
              <w:t>0.5GeV</w:t>
            </w:r>
            <w:r>
              <w:rPr>
                <w:rFonts w:hint="eastAsia" w:cs="Times New Roman"/>
                <w:kern w:val="0"/>
                <w:sz w:val="22"/>
              </w:rPr>
              <w:t>超瞬态光源，集成同步辐射光源和超瞬态电子显微，利用</w:t>
            </w:r>
            <w:r>
              <w:rPr>
                <w:rFonts w:eastAsia="宋体" w:cs="Times New Roman"/>
                <w:kern w:val="0"/>
                <w:sz w:val="22"/>
              </w:rPr>
              <w:t>X</w:t>
            </w:r>
            <w:r>
              <w:rPr>
                <w:rFonts w:hint="eastAsia" w:cs="Times New Roman"/>
                <w:kern w:val="0"/>
                <w:sz w:val="22"/>
              </w:rPr>
              <w:t>光和电子的互补性，在空间尺度上实现从埃到米、时间尺度上从飞秒到秒的覆盖，提供超高时空分辨，研究物质亚稳态过程，以满足超瞬态研究的需求。同时开展用户培育和相关科学研究。预研阶段主要建设用于开展实验装置核心技术和关键设备预先研制。建设计划用地</w:t>
            </w:r>
            <w:r>
              <w:rPr>
                <w:rFonts w:eastAsia="宋体" w:cs="Times New Roman"/>
                <w:kern w:val="0"/>
                <w:sz w:val="22"/>
              </w:rPr>
              <w:t>150</w:t>
            </w:r>
            <w:r>
              <w:rPr>
                <w:rFonts w:hint="eastAsia" w:cs="Times New Roman"/>
                <w:kern w:val="0"/>
                <w:sz w:val="22"/>
              </w:rPr>
              <w:t>亩，其中建筑面积约</w:t>
            </w:r>
            <w:r>
              <w:rPr>
                <w:rFonts w:eastAsia="宋体" w:cs="Times New Roman"/>
                <w:kern w:val="0"/>
                <w:sz w:val="22"/>
              </w:rPr>
              <w:t>20045</w:t>
            </w:r>
            <w:r>
              <w:rPr>
                <w:rFonts w:hint="eastAsia" w:cs="Times New Roman"/>
                <w:kern w:val="0"/>
                <w:sz w:val="22"/>
              </w:rPr>
              <w:t>平米。</w:t>
            </w:r>
          </w:p>
        </w:tc>
      </w:tr>
      <w:tr>
        <w:tblPrEx>
          <w:tblCellMar>
            <w:top w:w="0" w:type="dxa"/>
            <w:left w:w="108" w:type="dxa"/>
            <w:bottom w:w="0" w:type="dxa"/>
            <w:right w:w="108" w:type="dxa"/>
          </w:tblCellMar>
        </w:tblPrEx>
        <w:trPr>
          <w:trHeight w:val="576"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w:t>
            </w:r>
          </w:p>
        </w:tc>
        <w:tc>
          <w:tcPr>
            <w:tcW w:w="244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★重庆大学科学中心</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科技创新</w:t>
            </w:r>
          </w:p>
        </w:tc>
        <w:tc>
          <w:tcPr>
            <w:tcW w:w="1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20</w:t>
            </w:r>
          </w:p>
        </w:tc>
        <w:tc>
          <w:tcPr>
            <w:tcW w:w="14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8.3</w:t>
            </w:r>
          </w:p>
        </w:tc>
        <w:tc>
          <w:tcPr>
            <w:tcW w:w="63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kern w:val="0"/>
                <w:sz w:val="22"/>
              </w:rPr>
            </w:pPr>
            <w:r>
              <w:rPr>
                <w:rFonts w:hint="eastAsia" w:cs="Times New Roman"/>
                <w:kern w:val="0"/>
                <w:sz w:val="22"/>
              </w:rPr>
              <w:t>占地约</w:t>
            </w:r>
            <w:r>
              <w:rPr>
                <w:rFonts w:eastAsia="宋体" w:cs="Times New Roman"/>
                <w:kern w:val="0"/>
                <w:sz w:val="22"/>
              </w:rPr>
              <w:t>222</w:t>
            </w:r>
            <w:r>
              <w:rPr>
                <w:rFonts w:hint="eastAsia" w:cs="Times New Roman"/>
                <w:kern w:val="0"/>
                <w:sz w:val="22"/>
              </w:rPr>
              <w:t>亩，总建筑面积约</w:t>
            </w:r>
            <w:r>
              <w:rPr>
                <w:rFonts w:eastAsia="宋体" w:cs="Times New Roman"/>
                <w:kern w:val="0"/>
                <w:sz w:val="22"/>
              </w:rPr>
              <w:t>33</w:t>
            </w:r>
            <w:r>
              <w:rPr>
                <w:rFonts w:hint="eastAsia" w:cs="Times New Roman"/>
                <w:kern w:val="0"/>
                <w:sz w:val="22"/>
              </w:rPr>
              <w:t>万平方米，包含科学中心实验大楼及工科实验大楼。</w:t>
            </w:r>
          </w:p>
        </w:tc>
      </w:tr>
      <w:tr>
        <w:tblPrEx>
          <w:tblCellMar>
            <w:top w:w="0" w:type="dxa"/>
            <w:left w:w="108" w:type="dxa"/>
            <w:bottom w:w="0" w:type="dxa"/>
            <w:right w:w="108" w:type="dxa"/>
          </w:tblCellMar>
        </w:tblPrEx>
        <w:trPr>
          <w:trHeight w:val="288"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3</w:t>
            </w:r>
          </w:p>
        </w:tc>
        <w:tc>
          <w:tcPr>
            <w:tcW w:w="24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★国家电投创新医用同位素研发生产项目一期</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产业发展</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20</w:t>
            </w:r>
          </w:p>
        </w:tc>
        <w:tc>
          <w:tcPr>
            <w:tcW w:w="141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w:t>
            </w:r>
          </w:p>
        </w:tc>
        <w:tc>
          <w:tcPr>
            <w:tcW w:w="63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kern w:val="0"/>
                <w:sz w:val="22"/>
              </w:rPr>
            </w:pPr>
            <w:r>
              <w:rPr>
                <w:rFonts w:hint="eastAsia" w:cs="Times New Roman"/>
                <w:kern w:val="0"/>
                <w:sz w:val="22"/>
              </w:rPr>
              <w:t>一期拟投资</w:t>
            </w:r>
            <w:r>
              <w:rPr>
                <w:rFonts w:eastAsia="宋体" w:cs="Times New Roman"/>
                <w:kern w:val="0"/>
                <w:sz w:val="22"/>
              </w:rPr>
              <w:t>20</w:t>
            </w:r>
            <w:r>
              <w:rPr>
                <w:rFonts w:hint="eastAsia" w:cs="Times New Roman"/>
                <w:kern w:val="0"/>
                <w:sz w:val="22"/>
              </w:rPr>
              <w:t>亿元，包含医用同位素研发中心与生产基地，研发中心拟租用约</w:t>
            </w:r>
            <w:r>
              <w:rPr>
                <w:rFonts w:eastAsia="宋体" w:cs="Times New Roman"/>
                <w:kern w:val="0"/>
                <w:sz w:val="22"/>
              </w:rPr>
              <w:t>1.2</w:t>
            </w:r>
            <w:r>
              <w:rPr>
                <w:rFonts w:hint="eastAsia" w:cs="Times New Roman"/>
                <w:kern w:val="0"/>
                <w:sz w:val="22"/>
              </w:rPr>
              <w:t>万平方米的办公楼宇；同位素生产基地占地约</w:t>
            </w:r>
            <w:r>
              <w:rPr>
                <w:rFonts w:eastAsia="宋体" w:cs="Times New Roman"/>
                <w:kern w:val="0"/>
                <w:sz w:val="22"/>
              </w:rPr>
              <w:t>80</w:t>
            </w:r>
            <w:r>
              <w:rPr>
                <w:rFonts w:hint="eastAsia" w:cs="Times New Roman"/>
                <w:kern w:val="0"/>
                <w:sz w:val="22"/>
              </w:rPr>
              <w:t>亩，建筑面积约</w:t>
            </w:r>
            <w:r>
              <w:rPr>
                <w:rFonts w:eastAsia="宋体" w:cs="Times New Roman"/>
                <w:kern w:val="0"/>
                <w:sz w:val="22"/>
              </w:rPr>
              <w:t>7</w:t>
            </w:r>
            <w:r>
              <w:rPr>
                <w:rFonts w:hint="eastAsia" w:cs="Times New Roman"/>
                <w:kern w:val="0"/>
                <w:sz w:val="22"/>
              </w:rPr>
              <w:t>万平方米，建设利用专用加速器生产以</w:t>
            </w:r>
            <w:r>
              <w:rPr>
                <w:rFonts w:eastAsia="宋体" w:cs="Times New Roman"/>
                <w:kern w:val="0"/>
                <w:sz w:val="22"/>
              </w:rPr>
              <w:t>α</w:t>
            </w:r>
            <w:r>
              <w:rPr>
                <w:rFonts w:hint="eastAsia" w:cs="Times New Roman"/>
                <w:kern w:val="0"/>
                <w:sz w:val="22"/>
              </w:rPr>
              <w:t>为代表的多种医用同位素的创新研发中心和稀有靶材原料生产中心；二期拟投资</w:t>
            </w:r>
            <w:r>
              <w:rPr>
                <w:rFonts w:eastAsia="宋体" w:cs="Times New Roman"/>
                <w:kern w:val="0"/>
                <w:sz w:val="22"/>
              </w:rPr>
              <w:t>85</w:t>
            </w:r>
            <w:r>
              <w:rPr>
                <w:rFonts w:hint="eastAsia" w:cs="Times New Roman"/>
                <w:kern w:val="0"/>
                <w:sz w:val="22"/>
              </w:rPr>
              <w:t>亿元，用地</w:t>
            </w:r>
            <w:r>
              <w:rPr>
                <w:rFonts w:eastAsia="宋体" w:cs="Times New Roman"/>
                <w:kern w:val="0"/>
                <w:sz w:val="22"/>
              </w:rPr>
              <w:t>180</w:t>
            </w:r>
            <w:r>
              <w:rPr>
                <w:rFonts w:hint="eastAsia" w:cs="Times New Roman"/>
                <w:kern w:val="0"/>
                <w:sz w:val="22"/>
              </w:rPr>
              <w:t>亩，建设多种创新型靶向抗癌的同位素类药物、医用同位素设备、高端加速器等研发及规模化生产的产业集群。</w:t>
            </w:r>
          </w:p>
        </w:tc>
      </w:tr>
      <w:tr>
        <w:tblPrEx>
          <w:tblCellMar>
            <w:top w:w="0" w:type="dxa"/>
            <w:left w:w="108" w:type="dxa"/>
            <w:bottom w:w="0" w:type="dxa"/>
            <w:right w:w="108" w:type="dxa"/>
          </w:tblCellMar>
        </w:tblPrEx>
        <w:trPr>
          <w:trHeight w:val="288"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24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r>
      <w:tr>
        <w:tblPrEx>
          <w:tblCellMar>
            <w:top w:w="0" w:type="dxa"/>
            <w:left w:w="108" w:type="dxa"/>
            <w:bottom w:w="0" w:type="dxa"/>
            <w:right w:w="108" w:type="dxa"/>
          </w:tblCellMar>
        </w:tblPrEx>
        <w:trPr>
          <w:trHeight w:val="576"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4</w:t>
            </w:r>
          </w:p>
        </w:tc>
        <w:tc>
          <w:tcPr>
            <w:tcW w:w="244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★科学会堂</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产业发展</w:t>
            </w:r>
          </w:p>
        </w:tc>
        <w:tc>
          <w:tcPr>
            <w:tcW w:w="1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50</w:t>
            </w:r>
          </w:p>
        </w:tc>
        <w:tc>
          <w:tcPr>
            <w:tcW w:w="14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10</w:t>
            </w:r>
          </w:p>
        </w:tc>
        <w:tc>
          <w:tcPr>
            <w:tcW w:w="63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kern w:val="0"/>
                <w:sz w:val="22"/>
              </w:rPr>
            </w:pPr>
            <w:r>
              <w:rPr>
                <w:rFonts w:hint="eastAsia" w:cs="Times New Roman"/>
                <w:kern w:val="0"/>
                <w:sz w:val="22"/>
              </w:rPr>
              <w:t>项目位于科学大道与高新大道交叉口西北角，占地</w:t>
            </w:r>
            <w:r>
              <w:rPr>
                <w:rFonts w:eastAsia="宋体" w:cs="Times New Roman"/>
                <w:kern w:val="0"/>
                <w:sz w:val="22"/>
              </w:rPr>
              <w:t>442</w:t>
            </w:r>
            <w:r>
              <w:rPr>
                <w:rFonts w:hint="eastAsia" w:cs="Times New Roman"/>
                <w:kern w:val="0"/>
                <w:sz w:val="22"/>
              </w:rPr>
              <w:t>亩，总建筑面积约</w:t>
            </w:r>
            <w:r>
              <w:rPr>
                <w:rFonts w:eastAsia="宋体" w:cs="Times New Roman"/>
                <w:kern w:val="0"/>
                <w:sz w:val="22"/>
              </w:rPr>
              <w:t>34.76</w:t>
            </w:r>
            <w:r>
              <w:rPr>
                <w:rFonts w:hint="eastAsia" w:cs="Times New Roman"/>
                <w:kern w:val="0"/>
                <w:sz w:val="22"/>
              </w:rPr>
              <w:t>万平方米。</w:t>
            </w:r>
          </w:p>
        </w:tc>
      </w:tr>
      <w:tr>
        <w:tblPrEx>
          <w:tblCellMar>
            <w:top w:w="0" w:type="dxa"/>
            <w:left w:w="108" w:type="dxa"/>
            <w:bottom w:w="0" w:type="dxa"/>
            <w:right w:w="108" w:type="dxa"/>
          </w:tblCellMar>
        </w:tblPrEx>
        <w:trPr>
          <w:trHeight w:val="576"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5</w:t>
            </w:r>
          </w:p>
        </w:tc>
        <w:tc>
          <w:tcPr>
            <w:tcW w:w="244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★光大人工智能产业基地</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产业发展</w:t>
            </w:r>
          </w:p>
        </w:tc>
        <w:tc>
          <w:tcPr>
            <w:tcW w:w="1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25</w:t>
            </w:r>
          </w:p>
        </w:tc>
        <w:tc>
          <w:tcPr>
            <w:tcW w:w="14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8</w:t>
            </w:r>
          </w:p>
        </w:tc>
        <w:tc>
          <w:tcPr>
            <w:tcW w:w="63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cs="宋体"/>
                <w:kern w:val="0"/>
                <w:sz w:val="22"/>
              </w:rPr>
            </w:pPr>
            <w:r>
              <w:rPr>
                <w:rFonts w:hint="eastAsia" w:cs="宋体"/>
                <w:kern w:val="0"/>
                <w:sz w:val="22"/>
              </w:rPr>
              <w:t>在建项目</w:t>
            </w:r>
            <w:r>
              <w:rPr>
                <w:rFonts w:cs="Times New Roman"/>
                <w:kern w:val="0"/>
                <w:sz w:val="22"/>
              </w:rPr>
              <w:t>“</w:t>
            </w:r>
            <w:r>
              <w:rPr>
                <w:rFonts w:hint="eastAsia" w:cs="宋体"/>
                <w:kern w:val="0"/>
                <w:sz w:val="22"/>
              </w:rPr>
              <w:t>谷</w:t>
            </w:r>
            <w:r>
              <w:rPr>
                <w:rFonts w:cs="Times New Roman"/>
                <w:kern w:val="0"/>
                <w:sz w:val="22"/>
              </w:rPr>
              <w:t>”</w:t>
            </w:r>
            <w:r>
              <w:rPr>
                <w:rFonts w:hint="eastAsia" w:cs="宋体"/>
                <w:kern w:val="0"/>
                <w:sz w:val="22"/>
              </w:rPr>
              <w:t>地块、建筑面积</w:t>
            </w:r>
            <w:r>
              <w:rPr>
                <w:rFonts w:cs="Times New Roman"/>
                <w:kern w:val="0"/>
                <w:sz w:val="22"/>
              </w:rPr>
              <w:t>9.4</w:t>
            </w:r>
            <w:r>
              <w:rPr>
                <w:rFonts w:hint="eastAsia" w:cs="宋体"/>
                <w:kern w:val="0"/>
                <w:sz w:val="22"/>
              </w:rPr>
              <w:t>万平方米，项目包含幕墙、园林景观、室内精装、机电安装等相关内容。</w:t>
            </w:r>
          </w:p>
        </w:tc>
      </w:tr>
      <w:tr>
        <w:tblPrEx>
          <w:tblCellMar>
            <w:top w:w="0" w:type="dxa"/>
            <w:left w:w="108" w:type="dxa"/>
            <w:bottom w:w="0" w:type="dxa"/>
            <w:right w:w="108" w:type="dxa"/>
          </w:tblCellMar>
        </w:tblPrEx>
        <w:trPr>
          <w:trHeight w:val="288"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6</w:t>
            </w:r>
          </w:p>
        </w:tc>
        <w:tc>
          <w:tcPr>
            <w:tcW w:w="24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中国电信西部（重庆）科学城数字产业基地一期</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产业发展</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10</w:t>
            </w:r>
          </w:p>
        </w:tc>
        <w:tc>
          <w:tcPr>
            <w:tcW w:w="141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5</w:t>
            </w:r>
          </w:p>
        </w:tc>
        <w:tc>
          <w:tcPr>
            <w:tcW w:w="6334"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kern w:val="0"/>
                <w:sz w:val="22"/>
              </w:rPr>
            </w:pPr>
            <w:r>
              <w:rPr>
                <w:rFonts w:hint="eastAsia" w:cs="Times New Roman"/>
                <w:kern w:val="0"/>
                <w:sz w:val="22"/>
              </w:rPr>
              <w:t>项目投资总规模约</w:t>
            </w:r>
            <w:r>
              <w:rPr>
                <w:rFonts w:eastAsia="宋体" w:cs="Times New Roman"/>
                <w:kern w:val="0"/>
                <w:sz w:val="22"/>
              </w:rPr>
              <w:t>105</w:t>
            </w:r>
            <w:r>
              <w:rPr>
                <w:rFonts w:hint="eastAsia" w:cs="Times New Roman"/>
                <w:kern w:val="0"/>
                <w:sz w:val="22"/>
              </w:rPr>
              <w:t>亿元人民币，征地</w:t>
            </w:r>
            <w:r>
              <w:rPr>
                <w:rFonts w:eastAsia="宋体" w:cs="Times New Roman"/>
                <w:kern w:val="0"/>
                <w:sz w:val="22"/>
              </w:rPr>
              <w:t>152</w:t>
            </w:r>
            <w:r>
              <w:rPr>
                <w:rFonts w:hint="eastAsia" w:cs="Times New Roman"/>
                <w:kern w:val="0"/>
                <w:sz w:val="22"/>
              </w:rPr>
              <w:t>亩，建设电信科学城数据中心、中国电信云公司、科学城分公司等，建筑面积</w:t>
            </w:r>
            <w:r>
              <w:rPr>
                <w:rFonts w:eastAsia="宋体" w:cs="Times New Roman"/>
                <w:kern w:val="0"/>
                <w:sz w:val="22"/>
              </w:rPr>
              <w:t>62800</w:t>
            </w:r>
            <w:r>
              <w:rPr>
                <w:rFonts w:hint="eastAsia" w:cs="Times New Roman"/>
                <w:kern w:val="0"/>
                <w:sz w:val="22"/>
              </w:rPr>
              <w:t>平方米，完善高压配电、空调主设备、弱电智能化等配套建设，形成</w:t>
            </w:r>
            <w:r>
              <w:rPr>
                <w:rFonts w:eastAsia="宋体" w:cs="Times New Roman"/>
                <w:kern w:val="0"/>
                <w:sz w:val="22"/>
              </w:rPr>
              <w:t>4640</w:t>
            </w:r>
            <w:r>
              <w:rPr>
                <w:rFonts w:hint="eastAsia" w:cs="Times New Roman"/>
                <w:kern w:val="0"/>
                <w:sz w:val="22"/>
              </w:rPr>
              <w:t>个</w:t>
            </w:r>
            <w:r>
              <w:rPr>
                <w:rFonts w:eastAsia="宋体" w:cs="Times New Roman"/>
                <w:kern w:val="0"/>
                <w:sz w:val="22"/>
              </w:rPr>
              <w:t>IDC</w:t>
            </w:r>
            <w:r>
              <w:rPr>
                <w:rFonts w:hint="eastAsia" w:cs="Times New Roman"/>
                <w:kern w:val="0"/>
                <w:sz w:val="22"/>
              </w:rPr>
              <w:t>机柜运营能力，预计年收入</w:t>
            </w:r>
            <w:r>
              <w:rPr>
                <w:rFonts w:eastAsia="宋体" w:cs="Times New Roman"/>
                <w:kern w:val="0"/>
                <w:sz w:val="22"/>
              </w:rPr>
              <w:t>35000</w:t>
            </w:r>
            <w:r>
              <w:rPr>
                <w:rFonts w:hint="eastAsia" w:cs="Times New Roman"/>
                <w:kern w:val="0"/>
                <w:sz w:val="22"/>
              </w:rPr>
              <w:t>万元人民币。</w:t>
            </w:r>
          </w:p>
        </w:tc>
      </w:tr>
      <w:tr>
        <w:tblPrEx>
          <w:tblCellMar>
            <w:top w:w="0" w:type="dxa"/>
            <w:left w:w="108" w:type="dxa"/>
            <w:bottom w:w="0" w:type="dxa"/>
            <w:right w:w="108" w:type="dxa"/>
          </w:tblCellMar>
        </w:tblPrEx>
        <w:trPr>
          <w:trHeight w:val="1807"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24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r>
      <w:tr>
        <w:tblPrEx>
          <w:tblCellMar>
            <w:top w:w="0" w:type="dxa"/>
            <w:left w:w="108" w:type="dxa"/>
            <w:bottom w:w="0" w:type="dxa"/>
            <w:right w:w="108" w:type="dxa"/>
          </w:tblCellMar>
        </w:tblPrEx>
        <w:trPr>
          <w:trHeight w:val="259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7</w:t>
            </w:r>
          </w:p>
        </w:tc>
        <w:tc>
          <w:tcPr>
            <w:tcW w:w="244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重庆汽车公园</w:t>
            </w:r>
          </w:p>
        </w:tc>
        <w:tc>
          <w:tcPr>
            <w:tcW w:w="13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产业发展</w:t>
            </w:r>
          </w:p>
        </w:tc>
        <w:tc>
          <w:tcPr>
            <w:tcW w:w="126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100</w:t>
            </w:r>
          </w:p>
        </w:tc>
        <w:tc>
          <w:tcPr>
            <w:tcW w:w="1417"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5</w:t>
            </w:r>
          </w:p>
        </w:tc>
        <w:tc>
          <w:tcPr>
            <w:tcW w:w="63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kern w:val="0"/>
                <w:sz w:val="22"/>
              </w:rPr>
            </w:pPr>
            <w:r>
              <w:rPr>
                <w:rFonts w:hint="eastAsia" w:cs="Times New Roman"/>
                <w:kern w:val="0"/>
                <w:sz w:val="22"/>
              </w:rPr>
              <w:t>项目总占地</w:t>
            </w:r>
            <w:r>
              <w:rPr>
                <w:rFonts w:eastAsia="宋体" w:cs="Times New Roman"/>
                <w:kern w:val="0"/>
                <w:sz w:val="22"/>
              </w:rPr>
              <w:t>1800</w:t>
            </w:r>
            <w:r>
              <w:rPr>
                <w:rFonts w:hint="eastAsia" w:cs="Times New Roman"/>
                <w:kern w:val="0"/>
                <w:sz w:val="22"/>
              </w:rPr>
              <w:t>亩，总建筑面积</w:t>
            </w:r>
            <w:r>
              <w:rPr>
                <w:rFonts w:eastAsia="宋体" w:cs="Times New Roman"/>
                <w:kern w:val="0"/>
                <w:sz w:val="22"/>
              </w:rPr>
              <w:t>100</w:t>
            </w:r>
            <w:r>
              <w:rPr>
                <w:rFonts w:hint="eastAsia" w:cs="Times New Roman"/>
                <w:kern w:val="0"/>
                <w:sz w:val="22"/>
              </w:rPr>
              <w:t>万方，是中国南山集团在渝全资打造的</w:t>
            </w:r>
            <w:r>
              <w:rPr>
                <w:rFonts w:eastAsia="宋体" w:cs="Times New Roman"/>
                <w:kern w:val="0"/>
                <w:sz w:val="22"/>
              </w:rPr>
              <w:t>“</w:t>
            </w:r>
            <w:r>
              <w:rPr>
                <w:rFonts w:hint="eastAsia" w:cs="Times New Roman"/>
                <w:kern w:val="0"/>
                <w:sz w:val="22"/>
              </w:rPr>
              <w:t>汽车</w:t>
            </w:r>
            <w:r>
              <w:rPr>
                <w:rFonts w:eastAsia="宋体" w:cs="Times New Roman"/>
                <w:kern w:val="0"/>
                <w:sz w:val="22"/>
              </w:rPr>
              <w:t>”</w:t>
            </w:r>
            <w:r>
              <w:rPr>
                <w:rFonts w:hint="eastAsia" w:cs="Times New Roman"/>
                <w:kern w:val="0"/>
                <w:sz w:val="22"/>
              </w:rPr>
              <w:t>产旅综合项目；项目以</w:t>
            </w:r>
            <w:r>
              <w:rPr>
                <w:rFonts w:eastAsia="宋体" w:cs="Times New Roman"/>
                <w:kern w:val="0"/>
                <w:sz w:val="22"/>
              </w:rPr>
              <w:t>F3</w:t>
            </w:r>
            <w:r>
              <w:rPr>
                <w:rFonts w:hint="eastAsia" w:cs="Times New Roman"/>
                <w:kern w:val="0"/>
                <w:sz w:val="22"/>
              </w:rPr>
              <w:t>国际赛道为产业引擎，以十里溪岸为生态纽带，构建</w:t>
            </w:r>
            <w:r>
              <w:rPr>
                <w:rFonts w:eastAsia="宋体" w:cs="Times New Roman"/>
                <w:kern w:val="0"/>
                <w:sz w:val="22"/>
              </w:rPr>
              <w:t>“</w:t>
            </w:r>
            <w:r>
              <w:rPr>
                <w:rFonts w:hint="eastAsia" w:cs="Times New Roman"/>
                <w:kern w:val="0"/>
                <w:sz w:val="22"/>
              </w:rPr>
              <w:t>赛道</w:t>
            </w:r>
            <w:r>
              <w:rPr>
                <w:rFonts w:eastAsia="宋体" w:cs="Times New Roman"/>
                <w:kern w:val="0"/>
                <w:sz w:val="22"/>
              </w:rPr>
              <w:t>+</w:t>
            </w:r>
            <w:r>
              <w:rPr>
                <w:rFonts w:hint="eastAsia" w:cs="Times New Roman"/>
                <w:kern w:val="0"/>
                <w:sz w:val="22"/>
              </w:rPr>
              <w:t>汽车产业</w:t>
            </w:r>
            <w:r>
              <w:rPr>
                <w:rFonts w:eastAsia="宋体" w:cs="Times New Roman"/>
                <w:kern w:val="0"/>
                <w:sz w:val="22"/>
              </w:rPr>
              <w:t>”</w:t>
            </w:r>
            <w:r>
              <w:rPr>
                <w:rFonts w:hint="eastAsia" w:cs="Times New Roman"/>
                <w:kern w:val="0"/>
                <w:sz w:val="22"/>
              </w:rPr>
              <w:t>和</w:t>
            </w:r>
            <w:r>
              <w:rPr>
                <w:rFonts w:eastAsia="宋体" w:cs="Times New Roman"/>
                <w:kern w:val="0"/>
                <w:sz w:val="22"/>
              </w:rPr>
              <w:t>“</w:t>
            </w:r>
            <w:r>
              <w:rPr>
                <w:rFonts w:hint="eastAsia" w:cs="Times New Roman"/>
                <w:kern w:val="0"/>
                <w:sz w:val="22"/>
              </w:rPr>
              <w:t>生态</w:t>
            </w:r>
            <w:r>
              <w:rPr>
                <w:rFonts w:eastAsia="宋体" w:cs="Times New Roman"/>
                <w:kern w:val="0"/>
                <w:sz w:val="22"/>
              </w:rPr>
              <w:t>+</w:t>
            </w:r>
            <w:r>
              <w:rPr>
                <w:rFonts w:hint="eastAsia" w:cs="Times New Roman"/>
                <w:kern w:val="0"/>
                <w:sz w:val="22"/>
              </w:rPr>
              <w:t>汽车文旅</w:t>
            </w:r>
            <w:r>
              <w:rPr>
                <w:rFonts w:eastAsia="宋体" w:cs="Times New Roman"/>
                <w:kern w:val="0"/>
                <w:sz w:val="22"/>
              </w:rPr>
              <w:t>”</w:t>
            </w:r>
            <w:r>
              <w:rPr>
                <w:rFonts w:hint="eastAsia" w:cs="Times New Roman"/>
                <w:kern w:val="0"/>
                <w:sz w:val="22"/>
              </w:rPr>
              <w:t>两大核心功能，有机串联智能网联、汽车聚落和人车生活三大核心板块，科学布局</w:t>
            </w:r>
            <w:r>
              <w:rPr>
                <w:rFonts w:eastAsia="宋体" w:cs="Times New Roman"/>
                <w:kern w:val="0"/>
                <w:sz w:val="22"/>
              </w:rPr>
              <w:t>F3</w:t>
            </w:r>
            <w:r>
              <w:rPr>
                <w:rFonts w:hint="eastAsia" w:cs="Times New Roman"/>
                <w:kern w:val="0"/>
                <w:sz w:val="22"/>
              </w:rPr>
              <w:t>国际赛车场（智能网联测试场）、数据研发、汽车聚落、城市商务客厅、文旅水街、艺术中心、汽车文创、湿地露营、山湖社区九大产旅功能板块。</w:t>
            </w:r>
            <w:r>
              <w:rPr>
                <w:rFonts w:eastAsia="宋体" w:cs="Times New Roman"/>
                <w:kern w:val="0"/>
                <w:sz w:val="22"/>
              </w:rPr>
              <w:br w:type="textWrapping"/>
            </w:r>
            <w:r>
              <w:rPr>
                <w:rFonts w:hint="eastAsia" w:cs="Times New Roman"/>
                <w:kern w:val="0"/>
                <w:sz w:val="22"/>
              </w:rPr>
              <w:t>项目</w:t>
            </w:r>
            <w:r>
              <w:rPr>
                <w:rFonts w:eastAsia="宋体" w:cs="Times New Roman"/>
                <w:kern w:val="0"/>
                <w:sz w:val="22"/>
              </w:rPr>
              <w:t>1#</w:t>
            </w:r>
            <w:r>
              <w:rPr>
                <w:rFonts w:hint="eastAsia" w:cs="Times New Roman"/>
                <w:kern w:val="0"/>
                <w:sz w:val="22"/>
              </w:rPr>
              <w:t>产业地块已运营（</w:t>
            </w:r>
            <w:r>
              <w:rPr>
                <w:rFonts w:eastAsia="宋体" w:cs="Times New Roman"/>
                <w:kern w:val="0"/>
                <w:sz w:val="22"/>
              </w:rPr>
              <w:t>0.8</w:t>
            </w:r>
            <w:r>
              <w:rPr>
                <w:rFonts w:hint="eastAsia" w:cs="Times New Roman"/>
                <w:kern w:val="0"/>
                <w:sz w:val="22"/>
              </w:rPr>
              <w:t>万方），</w:t>
            </w:r>
            <w:r>
              <w:rPr>
                <w:rFonts w:eastAsia="宋体" w:cs="Times New Roman"/>
                <w:kern w:val="0"/>
                <w:sz w:val="22"/>
              </w:rPr>
              <w:t>18#</w:t>
            </w:r>
            <w:r>
              <w:rPr>
                <w:rFonts w:hint="eastAsia" w:cs="Times New Roman"/>
                <w:kern w:val="0"/>
                <w:sz w:val="22"/>
              </w:rPr>
              <w:t>住宅地块已交付（</w:t>
            </w:r>
            <w:r>
              <w:rPr>
                <w:rFonts w:eastAsia="宋体" w:cs="Times New Roman"/>
                <w:kern w:val="0"/>
                <w:sz w:val="22"/>
              </w:rPr>
              <w:t>7.4</w:t>
            </w:r>
            <w:r>
              <w:rPr>
                <w:rFonts w:hint="eastAsia" w:cs="Times New Roman"/>
                <w:kern w:val="0"/>
                <w:sz w:val="22"/>
              </w:rPr>
              <w:t>万方）；</w:t>
            </w:r>
            <w:r>
              <w:rPr>
                <w:rFonts w:eastAsia="宋体" w:cs="Times New Roman"/>
                <w:kern w:val="0"/>
                <w:sz w:val="22"/>
              </w:rPr>
              <w:t>20#</w:t>
            </w:r>
            <w:r>
              <w:rPr>
                <w:rFonts w:hint="eastAsia" w:cs="Times New Roman"/>
                <w:kern w:val="0"/>
                <w:sz w:val="22"/>
              </w:rPr>
              <w:t>住宅地块、</w:t>
            </w:r>
            <w:r>
              <w:rPr>
                <w:rFonts w:eastAsia="宋体" w:cs="Times New Roman"/>
                <w:kern w:val="0"/>
                <w:sz w:val="22"/>
              </w:rPr>
              <w:t>12#</w:t>
            </w:r>
            <w:r>
              <w:rPr>
                <w:rFonts w:hint="eastAsia" w:cs="Times New Roman"/>
                <w:kern w:val="0"/>
                <w:sz w:val="22"/>
              </w:rPr>
              <w:t>产业地块、</w:t>
            </w:r>
            <w:r>
              <w:rPr>
                <w:rFonts w:eastAsia="宋体" w:cs="Times New Roman"/>
                <w:kern w:val="0"/>
                <w:sz w:val="22"/>
              </w:rPr>
              <w:t>17#</w:t>
            </w:r>
            <w:r>
              <w:rPr>
                <w:rFonts w:hint="eastAsia" w:cs="Times New Roman"/>
                <w:kern w:val="0"/>
                <w:sz w:val="22"/>
              </w:rPr>
              <w:t>住宅地块正施工建设中，建设面积</w:t>
            </w:r>
            <w:r>
              <w:rPr>
                <w:rFonts w:eastAsia="宋体" w:cs="Times New Roman"/>
                <w:kern w:val="0"/>
                <w:sz w:val="22"/>
              </w:rPr>
              <w:t>16.2</w:t>
            </w:r>
            <w:r>
              <w:rPr>
                <w:rFonts w:hint="eastAsia" w:cs="Times New Roman"/>
                <w:kern w:val="0"/>
                <w:sz w:val="22"/>
              </w:rPr>
              <w:t>万方；</w:t>
            </w:r>
            <w:r>
              <w:rPr>
                <w:rFonts w:eastAsia="宋体" w:cs="Times New Roman"/>
                <w:kern w:val="0"/>
                <w:sz w:val="22"/>
              </w:rPr>
              <w:t>16-1</w:t>
            </w:r>
            <w:r>
              <w:rPr>
                <w:rFonts w:hint="eastAsia" w:cs="Times New Roman"/>
                <w:kern w:val="0"/>
                <w:sz w:val="22"/>
              </w:rPr>
              <w:t>号地块计划</w:t>
            </w:r>
            <w:r>
              <w:rPr>
                <w:rFonts w:eastAsia="宋体" w:cs="Times New Roman"/>
                <w:kern w:val="0"/>
                <w:sz w:val="22"/>
              </w:rPr>
              <w:t>2023</w:t>
            </w:r>
            <w:r>
              <w:rPr>
                <w:rFonts w:hint="eastAsia" w:cs="Times New Roman"/>
                <w:kern w:val="0"/>
                <w:sz w:val="22"/>
              </w:rPr>
              <w:t>年启动建设，赛道</w:t>
            </w:r>
            <w:r>
              <w:rPr>
                <w:rFonts w:eastAsia="宋体" w:cs="Times New Roman"/>
                <w:kern w:val="0"/>
                <w:sz w:val="22"/>
              </w:rPr>
              <w:t>1</w:t>
            </w:r>
            <w:r>
              <w:rPr>
                <w:rFonts w:hint="eastAsia" w:cs="Times New Roman"/>
                <w:kern w:val="0"/>
                <w:sz w:val="22"/>
              </w:rPr>
              <w:t>期开工。</w:t>
            </w:r>
          </w:p>
        </w:tc>
      </w:tr>
      <w:tr>
        <w:tblPrEx>
          <w:tblCellMar>
            <w:top w:w="0" w:type="dxa"/>
            <w:left w:w="108" w:type="dxa"/>
            <w:bottom w:w="0" w:type="dxa"/>
            <w:right w:w="108" w:type="dxa"/>
          </w:tblCellMar>
        </w:tblPrEx>
        <w:trPr>
          <w:trHeight w:val="102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8</w:t>
            </w:r>
          </w:p>
        </w:tc>
        <w:tc>
          <w:tcPr>
            <w:tcW w:w="244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★科学谷二期</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楼宇厂房</w:t>
            </w:r>
          </w:p>
        </w:tc>
        <w:tc>
          <w:tcPr>
            <w:tcW w:w="1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24</w:t>
            </w:r>
          </w:p>
        </w:tc>
        <w:tc>
          <w:tcPr>
            <w:tcW w:w="14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11</w:t>
            </w:r>
          </w:p>
        </w:tc>
        <w:tc>
          <w:tcPr>
            <w:tcW w:w="63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kern w:val="0"/>
                <w:sz w:val="22"/>
              </w:rPr>
            </w:pPr>
            <w:r>
              <w:rPr>
                <w:rFonts w:hint="eastAsia" w:cs="Times New Roman"/>
                <w:kern w:val="0"/>
                <w:sz w:val="22"/>
              </w:rPr>
              <w:t>占地约</w:t>
            </w:r>
            <w:r>
              <w:rPr>
                <w:rFonts w:eastAsia="宋体" w:cs="Times New Roman"/>
                <w:kern w:val="0"/>
                <w:sz w:val="22"/>
              </w:rPr>
              <w:t>330</w:t>
            </w:r>
            <w:r>
              <w:rPr>
                <w:rFonts w:hint="eastAsia" w:cs="Times New Roman"/>
                <w:kern w:val="0"/>
                <w:sz w:val="22"/>
              </w:rPr>
              <w:t>亩，总建筑面积约</w:t>
            </w:r>
            <w:r>
              <w:rPr>
                <w:rFonts w:eastAsia="宋体" w:cs="Times New Roman"/>
                <w:kern w:val="0"/>
                <w:sz w:val="22"/>
              </w:rPr>
              <w:t>68</w:t>
            </w:r>
            <w:r>
              <w:rPr>
                <w:rFonts w:hint="eastAsia" w:cs="Times New Roman"/>
                <w:kern w:val="0"/>
                <w:sz w:val="22"/>
              </w:rPr>
              <w:t>万平方米。</w:t>
            </w:r>
          </w:p>
        </w:tc>
      </w:tr>
      <w:tr>
        <w:tblPrEx>
          <w:tblCellMar>
            <w:top w:w="0" w:type="dxa"/>
            <w:left w:w="108" w:type="dxa"/>
            <w:bottom w:w="0" w:type="dxa"/>
            <w:right w:w="108" w:type="dxa"/>
          </w:tblCellMar>
        </w:tblPrEx>
        <w:trPr>
          <w:trHeight w:val="576"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9</w:t>
            </w:r>
          </w:p>
        </w:tc>
        <w:tc>
          <w:tcPr>
            <w:tcW w:w="179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★金凤城市中心一期</w:t>
            </w:r>
          </w:p>
        </w:tc>
        <w:tc>
          <w:tcPr>
            <w:tcW w:w="6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hint="eastAsia" w:cs="Times New Roman"/>
                <w:kern w:val="0"/>
                <w:sz w:val="22"/>
              </w:rPr>
              <w:t>二标段</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楼宇厂房</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125</w:t>
            </w:r>
          </w:p>
        </w:tc>
        <w:tc>
          <w:tcPr>
            <w:tcW w:w="141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16</w:t>
            </w:r>
          </w:p>
        </w:tc>
        <w:tc>
          <w:tcPr>
            <w:tcW w:w="63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cs="宋体"/>
                <w:kern w:val="0"/>
                <w:sz w:val="22"/>
              </w:rPr>
            </w:pPr>
            <w:r>
              <w:rPr>
                <w:rFonts w:hint="eastAsia" w:cs="宋体"/>
                <w:kern w:val="0"/>
                <w:sz w:val="22"/>
              </w:rPr>
              <w:t>二标段包含</w:t>
            </w:r>
            <w:r>
              <w:rPr>
                <w:rFonts w:cs="Times New Roman"/>
                <w:kern w:val="0"/>
                <w:sz w:val="22"/>
              </w:rPr>
              <w:t>8</w:t>
            </w:r>
            <w:r>
              <w:rPr>
                <w:rFonts w:hint="eastAsia" w:cs="宋体"/>
                <w:kern w:val="0"/>
                <w:sz w:val="22"/>
              </w:rPr>
              <w:t>栋单体建筑，总建筑面积为</w:t>
            </w:r>
            <w:r>
              <w:rPr>
                <w:rFonts w:cs="Times New Roman"/>
                <w:kern w:val="0"/>
                <w:sz w:val="22"/>
              </w:rPr>
              <w:t>273882.27</w:t>
            </w:r>
            <w:r>
              <w:rPr>
                <w:rFonts w:hint="eastAsia" w:cs="宋体"/>
                <w:kern w:val="0"/>
                <w:sz w:val="22"/>
              </w:rPr>
              <w:t>㎡；</w:t>
            </w:r>
            <w:r>
              <w:rPr>
                <w:rFonts w:cs="Times New Roman"/>
                <w:kern w:val="0"/>
                <w:sz w:val="22"/>
              </w:rPr>
              <w:t>2</w:t>
            </w:r>
            <w:r>
              <w:rPr>
                <w:rFonts w:hint="eastAsia" w:cs="宋体"/>
                <w:kern w:val="0"/>
                <w:sz w:val="22"/>
              </w:rPr>
              <w:t>条市政道路，全长</w:t>
            </w:r>
            <w:r>
              <w:rPr>
                <w:rFonts w:cs="Times New Roman"/>
                <w:kern w:val="0"/>
                <w:sz w:val="22"/>
              </w:rPr>
              <w:t>432.5</w:t>
            </w:r>
            <w:r>
              <w:rPr>
                <w:rFonts w:hint="eastAsia" w:cs="宋体"/>
                <w:kern w:val="0"/>
                <w:sz w:val="22"/>
              </w:rPr>
              <w:t>米；两座下穿人行通道及一座下穿车行通道；一座人行景观天桥。</w:t>
            </w:r>
          </w:p>
        </w:tc>
      </w:tr>
      <w:tr>
        <w:tblPrEx>
          <w:tblCellMar>
            <w:top w:w="0" w:type="dxa"/>
            <w:left w:w="108" w:type="dxa"/>
            <w:bottom w:w="0" w:type="dxa"/>
            <w:right w:w="108" w:type="dxa"/>
          </w:tblCellMar>
        </w:tblPrEx>
        <w:trPr>
          <w:trHeight w:val="288"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7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65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hint="eastAsia" w:cs="Times New Roman"/>
                <w:kern w:val="0"/>
                <w:sz w:val="22"/>
              </w:rPr>
              <w:t>三标段</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cs="宋体"/>
                <w:kern w:val="0"/>
                <w:sz w:val="22"/>
              </w:rPr>
            </w:pPr>
            <w:r>
              <w:rPr>
                <w:rFonts w:hint="eastAsia" w:cs="宋体"/>
                <w:kern w:val="0"/>
                <w:sz w:val="22"/>
              </w:rPr>
              <w:t>三标段包含</w:t>
            </w:r>
            <w:r>
              <w:rPr>
                <w:rFonts w:cs="Times New Roman"/>
                <w:kern w:val="0"/>
                <w:sz w:val="22"/>
              </w:rPr>
              <w:t>5</w:t>
            </w:r>
            <w:r>
              <w:rPr>
                <w:rFonts w:hint="eastAsia" w:cs="宋体"/>
                <w:kern w:val="0"/>
                <w:sz w:val="22"/>
              </w:rPr>
              <w:t>栋单体建筑，总建筑面积为</w:t>
            </w:r>
            <w:r>
              <w:rPr>
                <w:rFonts w:cs="Times New Roman"/>
                <w:kern w:val="0"/>
                <w:sz w:val="22"/>
              </w:rPr>
              <w:t>159380.27</w:t>
            </w:r>
            <w:r>
              <w:rPr>
                <w:rFonts w:hint="eastAsia" w:cs="宋体"/>
                <w:kern w:val="0"/>
                <w:sz w:val="22"/>
              </w:rPr>
              <w:t>㎡；</w:t>
            </w:r>
            <w:r>
              <w:rPr>
                <w:rFonts w:cs="Times New Roman"/>
                <w:kern w:val="0"/>
                <w:sz w:val="22"/>
              </w:rPr>
              <w:t>6</w:t>
            </w:r>
            <w:r>
              <w:rPr>
                <w:rFonts w:hint="eastAsia" w:cs="宋体"/>
                <w:kern w:val="0"/>
                <w:sz w:val="22"/>
              </w:rPr>
              <w:t>条市政道路，全长</w:t>
            </w:r>
            <w:r>
              <w:rPr>
                <w:rFonts w:cs="Times New Roman"/>
                <w:kern w:val="0"/>
                <w:sz w:val="22"/>
              </w:rPr>
              <w:t>1.43</w:t>
            </w:r>
            <w:r>
              <w:rPr>
                <w:rFonts w:hint="eastAsia" w:cs="宋体"/>
                <w:kern w:val="0"/>
                <w:sz w:val="22"/>
              </w:rPr>
              <w:t>公里；一座下穿人行通道及一座下穿车行通道。</w:t>
            </w:r>
          </w:p>
        </w:tc>
      </w:tr>
      <w:tr>
        <w:tblPrEx>
          <w:tblCellMar>
            <w:top w:w="0" w:type="dxa"/>
            <w:left w:w="108" w:type="dxa"/>
            <w:bottom w:w="0" w:type="dxa"/>
            <w:right w:w="108" w:type="dxa"/>
          </w:tblCellMar>
        </w:tblPrEx>
        <w:trPr>
          <w:trHeight w:val="288"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7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6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r>
      <w:tr>
        <w:tblPrEx>
          <w:tblCellMar>
            <w:top w:w="0" w:type="dxa"/>
            <w:left w:w="108" w:type="dxa"/>
            <w:bottom w:w="0" w:type="dxa"/>
            <w:right w:w="108" w:type="dxa"/>
          </w:tblCellMar>
        </w:tblPrEx>
        <w:trPr>
          <w:trHeight w:val="288"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7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65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hint="eastAsia" w:cs="Times New Roman"/>
                <w:kern w:val="0"/>
                <w:sz w:val="22"/>
              </w:rPr>
              <w:t>四标段</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cs="宋体"/>
                <w:kern w:val="0"/>
                <w:sz w:val="22"/>
              </w:rPr>
            </w:pPr>
            <w:r>
              <w:rPr>
                <w:rFonts w:hint="eastAsia" w:cs="宋体"/>
                <w:kern w:val="0"/>
                <w:sz w:val="22"/>
              </w:rPr>
              <w:t>四标段包含</w:t>
            </w:r>
            <w:r>
              <w:rPr>
                <w:rFonts w:cs="Times New Roman"/>
                <w:kern w:val="0"/>
                <w:sz w:val="22"/>
              </w:rPr>
              <w:t>6</w:t>
            </w:r>
            <w:r>
              <w:rPr>
                <w:rFonts w:hint="eastAsia" w:cs="宋体"/>
                <w:kern w:val="0"/>
                <w:sz w:val="22"/>
              </w:rPr>
              <w:t>栋单体建筑，总建筑面积为</w:t>
            </w:r>
            <w:r>
              <w:rPr>
                <w:rFonts w:cs="Times New Roman"/>
                <w:kern w:val="0"/>
                <w:sz w:val="22"/>
              </w:rPr>
              <w:t>303768.53</w:t>
            </w:r>
            <w:r>
              <w:rPr>
                <w:rFonts w:hint="eastAsia" w:cs="宋体"/>
                <w:kern w:val="0"/>
                <w:sz w:val="22"/>
              </w:rPr>
              <w:t>㎡；</w:t>
            </w:r>
            <w:r>
              <w:rPr>
                <w:rFonts w:cs="Times New Roman"/>
                <w:kern w:val="0"/>
                <w:sz w:val="22"/>
              </w:rPr>
              <w:t>1</w:t>
            </w:r>
            <w:r>
              <w:rPr>
                <w:rFonts w:hint="eastAsia" w:cs="宋体"/>
                <w:kern w:val="0"/>
                <w:sz w:val="22"/>
              </w:rPr>
              <w:t>条市政道路，道路全长</w:t>
            </w:r>
            <w:r>
              <w:rPr>
                <w:rFonts w:cs="Times New Roman"/>
                <w:kern w:val="0"/>
                <w:sz w:val="22"/>
              </w:rPr>
              <w:t>457.021m</w:t>
            </w:r>
            <w:r>
              <w:rPr>
                <w:rFonts w:hint="eastAsia" w:cs="宋体"/>
                <w:kern w:val="0"/>
                <w:sz w:val="22"/>
              </w:rPr>
              <w:t>；一座市政天桥及一座大型公园。</w:t>
            </w:r>
          </w:p>
        </w:tc>
      </w:tr>
      <w:tr>
        <w:tblPrEx>
          <w:tblCellMar>
            <w:top w:w="0" w:type="dxa"/>
            <w:left w:w="108" w:type="dxa"/>
            <w:bottom w:w="0" w:type="dxa"/>
            <w:right w:w="108" w:type="dxa"/>
          </w:tblCellMar>
        </w:tblPrEx>
        <w:trPr>
          <w:trHeight w:val="288"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7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6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r>
      <w:tr>
        <w:tblPrEx>
          <w:tblCellMar>
            <w:top w:w="0" w:type="dxa"/>
            <w:left w:w="108" w:type="dxa"/>
            <w:bottom w:w="0" w:type="dxa"/>
            <w:right w:w="108" w:type="dxa"/>
          </w:tblCellMar>
        </w:tblPrEx>
        <w:trPr>
          <w:trHeight w:val="1136"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10</w:t>
            </w:r>
          </w:p>
        </w:tc>
        <w:tc>
          <w:tcPr>
            <w:tcW w:w="244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★科创示范项目一期</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楼宇厂房</w:t>
            </w:r>
          </w:p>
        </w:tc>
        <w:tc>
          <w:tcPr>
            <w:tcW w:w="1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22.4</w:t>
            </w:r>
          </w:p>
        </w:tc>
        <w:tc>
          <w:tcPr>
            <w:tcW w:w="14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7</w:t>
            </w:r>
          </w:p>
        </w:tc>
        <w:tc>
          <w:tcPr>
            <w:tcW w:w="63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kern w:val="0"/>
                <w:sz w:val="22"/>
              </w:rPr>
            </w:pPr>
            <w:r>
              <w:rPr>
                <w:rFonts w:hint="eastAsia" w:cs="Times New Roman"/>
                <w:kern w:val="0"/>
                <w:sz w:val="22"/>
              </w:rPr>
              <w:t>占地约</w:t>
            </w:r>
            <w:r>
              <w:rPr>
                <w:rFonts w:eastAsia="宋体" w:cs="Times New Roman"/>
                <w:kern w:val="0"/>
                <w:sz w:val="22"/>
              </w:rPr>
              <w:t>219</w:t>
            </w:r>
            <w:r>
              <w:rPr>
                <w:rFonts w:hint="eastAsia" w:cs="Times New Roman"/>
                <w:kern w:val="0"/>
                <w:sz w:val="22"/>
              </w:rPr>
              <w:t>亩，总建筑面积约</w:t>
            </w:r>
            <w:r>
              <w:rPr>
                <w:rFonts w:eastAsia="宋体" w:cs="Times New Roman"/>
                <w:kern w:val="0"/>
                <w:sz w:val="22"/>
              </w:rPr>
              <w:t>42</w:t>
            </w:r>
            <w:r>
              <w:rPr>
                <w:rFonts w:hint="eastAsia" w:cs="Times New Roman"/>
                <w:kern w:val="0"/>
                <w:sz w:val="22"/>
              </w:rPr>
              <w:t>万平方米。</w:t>
            </w:r>
          </w:p>
        </w:tc>
      </w:tr>
      <w:tr>
        <w:tblPrEx>
          <w:tblCellMar>
            <w:top w:w="0" w:type="dxa"/>
            <w:left w:w="108" w:type="dxa"/>
            <w:bottom w:w="0" w:type="dxa"/>
            <w:right w:w="108" w:type="dxa"/>
          </w:tblCellMar>
        </w:tblPrEx>
        <w:trPr>
          <w:trHeight w:val="288"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11</w:t>
            </w:r>
          </w:p>
        </w:tc>
        <w:tc>
          <w:tcPr>
            <w:tcW w:w="24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★生物药高端制造基地项目</w:t>
            </w:r>
            <w:r>
              <w:rPr>
                <w:rFonts w:cs="Times New Roman"/>
                <w:kern w:val="0"/>
                <w:sz w:val="22"/>
              </w:rPr>
              <w:t>—</w:t>
            </w:r>
            <w:r>
              <w:rPr>
                <w:rFonts w:hint="eastAsia" w:cs="宋体"/>
                <w:kern w:val="0"/>
                <w:sz w:val="22"/>
              </w:rPr>
              <w:t>西部（重庆）科学城生物药</w:t>
            </w:r>
            <w:r>
              <w:rPr>
                <w:rFonts w:cs="Times New Roman"/>
                <w:kern w:val="0"/>
                <w:sz w:val="22"/>
              </w:rPr>
              <w:t>CDMO</w:t>
            </w:r>
            <w:r>
              <w:rPr>
                <w:rFonts w:hint="eastAsia" w:cs="宋体"/>
                <w:kern w:val="0"/>
                <w:sz w:val="22"/>
              </w:rPr>
              <w:t>先进制造基地（一期）工程</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楼宇厂房</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5</w:t>
            </w:r>
          </w:p>
        </w:tc>
        <w:tc>
          <w:tcPr>
            <w:tcW w:w="141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0.8</w:t>
            </w:r>
          </w:p>
        </w:tc>
        <w:tc>
          <w:tcPr>
            <w:tcW w:w="63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kern w:val="0"/>
                <w:sz w:val="22"/>
              </w:rPr>
            </w:pPr>
            <w:r>
              <w:rPr>
                <w:rFonts w:hint="eastAsia" w:cs="Times New Roman"/>
                <w:kern w:val="0"/>
                <w:sz w:val="22"/>
              </w:rPr>
              <w:t>生物药高端制造基地项目</w:t>
            </w:r>
            <w:r>
              <w:rPr>
                <w:rFonts w:eastAsia="宋体" w:cs="Times New Roman"/>
                <w:kern w:val="0"/>
                <w:sz w:val="22"/>
              </w:rPr>
              <w:t>—</w:t>
            </w:r>
            <w:r>
              <w:rPr>
                <w:rFonts w:hint="eastAsia" w:cs="Times New Roman"/>
                <w:kern w:val="0"/>
                <w:sz w:val="22"/>
              </w:rPr>
              <w:t>西部（重庆）科学城生物药</w:t>
            </w:r>
            <w:r>
              <w:rPr>
                <w:rFonts w:eastAsia="宋体" w:cs="Times New Roman"/>
                <w:kern w:val="0"/>
                <w:sz w:val="22"/>
              </w:rPr>
              <w:t>CDMO</w:t>
            </w:r>
            <w:r>
              <w:rPr>
                <w:rFonts w:hint="eastAsia" w:cs="Times New Roman"/>
                <w:kern w:val="0"/>
                <w:sz w:val="22"/>
              </w:rPr>
              <w:t>先进制造基地工程总占地面积约</w:t>
            </w:r>
            <w:r>
              <w:rPr>
                <w:rFonts w:eastAsia="宋体" w:cs="Times New Roman"/>
                <w:kern w:val="0"/>
                <w:sz w:val="22"/>
              </w:rPr>
              <w:t>170</w:t>
            </w:r>
            <w:r>
              <w:rPr>
                <w:rFonts w:hint="eastAsia" w:cs="Times New Roman"/>
                <w:kern w:val="0"/>
                <w:sz w:val="22"/>
              </w:rPr>
              <w:t>亩，总建筑面积约</w:t>
            </w:r>
            <w:r>
              <w:rPr>
                <w:rFonts w:eastAsia="宋体" w:cs="Times New Roman"/>
                <w:kern w:val="0"/>
                <w:sz w:val="22"/>
              </w:rPr>
              <w:t>17</w:t>
            </w:r>
            <w:r>
              <w:rPr>
                <w:rFonts w:hint="eastAsia" w:cs="Times New Roman"/>
                <w:kern w:val="0"/>
                <w:sz w:val="22"/>
              </w:rPr>
              <w:t>万平方米，分二期建设，本工程为一期建设，总建筑面积约</w:t>
            </w:r>
            <w:r>
              <w:rPr>
                <w:rFonts w:eastAsia="宋体" w:cs="Times New Roman"/>
                <w:kern w:val="0"/>
                <w:sz w:val="22"/>
              </w:rPr>
              <w:t>10</w:t>
            </w:r>
            <w:r>
              <w:rPr>
                <w:rFonts w:hint="eastAsia" w:cs="Times New Roman"/>
                <w:kern w:val="0"/>
                <w:sz w:val="22"/>
              </w:rPr>
              <w:t>万平方米（其中地上建筑面积约</w:t>
            </w:r>
            <w:r>
              <w:rPr>
                <w:rFonts w:eastAsia="宋体" w:cs="Times New Roman"/>
                <w:kern w:val="0"/>
                <w:sz w:val="22"/>
              </w:rPr>
              <w:t>9</w:t>
            </w:r>
            <w:r>
              <w:rPr>
                <w:rFonts w:hint="eastAsia" w:cs="Times New Roman"/>
                <w:kern w:val="0"/>
                <w:sz w:val="22"/>
              </w:rPr>
              <w:t>万平方米、地下建筑面积约</w:t>
            </w:r>
            <w:r>
              <w:rPr>
                <w:rFonts w:eastAsia="宋体" w:cs="Times New Roman"/>
                <w:kern w:val="0"/>
                <w:sz w:val="22"/>
              </w:rPr>
              <w:t>1</w:t>
            </w:r>
            <w:r>
              <w:rPr>
                <w:rFonts w:hint="eastAsia" w:cs="Times New Roman"/>
                <w:kern w:val="0"/>
                <w:sz w:val="22"/>
              </w:rPr>
              <w:t>万平方米），建设内容包括土建主体工程及其他配套附属工程。</w:t>
            </w:r>
          </w:p>
        </w:tc>
      </w:tr>
      <w:tr>
        <w:tblPrEx>
          <w:tblCellMar>
            <w:top w:w="0" w:type="dxa"/>
            <w:left w:w="108" w:type="dxa"/>
            <w:bottom w:w="0" w:type="dxa"/>
            <w:right w:w="108" w:type="dxa"/>
          </w:tblCellMar>
        </w:tblPrEx>
        <w:trPr>
          <w:trHeight w:val="288"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24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r>
      <w:tr>
        <w:tblPrEx>
          <w:tblCellMar>
            <w:top w:w="0" w:type="dxa"/>
            <w:left w:w="108" w:type="dxa"/>
            <w:bottom w:w="0" w:type="dxa"/>
            <w:right w:w="108" w:type="dxa"/>
          </w:tblCellMar>
        </w:tblPrEx>
        <w:trPr>
          <w:trHeight w:val="288"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12</w:t>
            </w:r>
          </w:p>
        </w:tc>
        <w:tc>
          <w:tcPr>
            <w:tcW w:w="24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★亦度疫苗研发中心及产业化基地（一期）工程</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楼宇厂房</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5</w:t>
            </w:r>
          </w:p>
        </w:tc>
        <w:tc>
          <w:tcPr>
            <w:tcW w:w="141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w:t>
            </w:r>
          </w:p>
        </w:tc>
        <w:tc>
          <w:tcPr>
            <w:tcW w:w="63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kern w:val="0"/>
                <w:sz w:val="22"/>
              </w:rPr>
            </w:pPr>
            <w:r>
              <w:rPr>
                <w:rFonts w:hint="eastAsia" w:cs="Times New Roman"/>
                <w:kern w:val="0"/>
                <w:sz w:val="22"/>
              </w:rPr>
              <w:t>亦度疫苗研发中心及产业化基地工程总占地面积</w:t>
            </w:r>
            <w:r>
              <w:rPr>
                <w:rFonts w:eastAsia="宋体" w:cs="Times New Roman"/>
                <w:kern w:val="0"/>
                <w:sz w:val="22"/>
              </w:rPr>
              <w:t>140433.2</w:t>
            </w:r>
            <w:r>
              <w:rPr>
                <w:rFonts w:hint="eastAsia" w:cs="Times New Roman"/>
                <w:kern w:val="0"/>
                <w:sz w:val="22"/>
              </w:rPr>
              <w:t>㎡（</w:t>
            </w:r>
            <w:r>
              <w:rPr>
                <w:rFonts w:eastAsia="宋体" w:cs="Times New Roman"/>
                <w:kern w:val="0"/>
                <w:sz w:val="22"/>
              </w:rPr>
              <w:t>210.65</w:t>
            </w:r>
            <w:r>
              <w:rPr>
                <w:rFonts w:hint="eastAsia" w:cs="Times New Roman"/>
                <w:kern w:val="0"/>
                <w:sz w:val="22"/>
              </w:rPr>
              <w:t>亩），总建筑面积约</w:t>
            </w:r>
            <w:r>
              <w:rPr>
                <w:rFonts w:eastAsia="宋体" w:cs="Times New Roman"/>
                <w:kern w:val="0"/>
                <w:sz w:val="22"/>
              </w:rPr>
              <w:t>15</w:t>
            </w:r>
            <w:r>
              <w:rPr>
                <w:rFonts w:hint="eastAsia" w:cs="Times New Roman"/>
                <w:kern w:val="0"/>
                <w:sz w:val="22"/>
              </w:rPr>
              <w:t>万平方米，分三期建设，本工程为一期建设，总建筑面积</w:t>
            </w:r>
            <w:r>
              <w:rPr>
                <w:rFonts w:eastAsia="宋体" w:cs="Times New Roman"/>
                <w:kern w:val="0"/>
                <w:sz w:val="22"/>
              </w:rPr>
              <w:t>6</w:t>
            </w:r>
            <w:r>
              <w:rPr>
                <w:rFonts w:hint="eastAsia" w:cs="Times New Roman"/>
                <w:kern w:val="0"/>
                <w:sz w:val="22"/>
              </w:rPr>
              <w:t>万平方米（其中地上建筑面积约</w:t>
            </w:r>
            <w:r>
              <w:rPr>
                <w:rFonts w:eastAsia="宋体" w:cs="Times New Roman"/>
                <w:kern w:val="0"/>
                <w:sz w:val="22"/>
              </w:rPr>
              <w:t>5.1</w:t>
            </w:r>
            <w:r>
              <w:rPr>
                <w:rFonts w:hint="eastAsia" w:cs="Times New Roman"/>
                <w:kern w:val="0"/>
                <w:sz w:val="22"/>
              </w:rPr>
              <w:t>万平方米，地下建筑面积约</w:t>
            </w:r>
            <w:r>
              <w:rPr>
                <w:rFonts w:eastAsia="宋体" w:cs="Times New Roman"/>
                <w:kern w:val="0"/>
                <w:sz w:val="22"/>
              </w:rPr>
              <w:t>0.9</w:t>
            </w:r>
            <w:r>
              <w:rPr>
                <w:rFonts w:hint="eastAsia" w:cs="Times New Roman"/>
                <w:kern w:val="0"/>
                <w:sz w:val="22"/>
              </w:rPr>
              <w:t>万平方米），建设内容包括土建主体工程、幕墙工程，景观园林工程及其他配套附属工程。</w:t>
            </w:r>
          </w:p>
        </w:tc>
      </w:tr>
      <w:tr>
        <w:tblPrEx>
          <w:tblCellMar>
            <w:top w:w="0" w:type="dxa"/>
            <w:left w:w="108" w:type="dxa"/>
            <w:bottom w:w="0" w:type="dxa"/>
            <w:right w:w="108" w:type="dxa"/>
          </w:tblCellMar>
        </w:tblPrEx>
        <w:trPr>
          <w:trHeight w:val="1883"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24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r>
      <w:tr>
        <w:tblPrEx>
          <w:tblCellMar>
            <w:top w:w="0" w:type="dxa"/>
            <w:left w:w="108" w:type="dxa"/>
            <w:bottom w:w="0" w:type="dxa"/>
            <w:right w:w="108" w:type="dxa"/>
          </w:tblCellMar>
        </w:tblPrEx>
        <w:trPr>
          <w:trHeight w:val="288"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13</w:t>
            </w:r>
          </w:p>
        </w:tc>
        <w:tc>
          <w:tcPr>
            <w:tcW w:w="24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★石板大健康产业园一期</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楼宇厂房</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23</w:t>
            </w:r>
          </w:p>
        </w:tc>
        <w:tc>
          <w:tcPr>
            <w:tcW w:w="141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3</w:t>
            </w:r>
          </w:p>
        </w:tc>
        <w:tc>
          <w:tcPr>
            <w:tcW w:w="63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cs="宋体"/>
                <w:kern w:val="0"/>
                <w:sz w:val="22"/>
              </w:rPr>
            </w:pPr>
            <w:r>
              <w:rPr>
                <w:rFonts w:hint="eastAsia" w:cs="宋体"/>
                <w:kern w:val="0"/>
                <w:sz w:val="22"/>
              </w:rPr>
              <w:t>总建设用地面积</w:t>
            </w:r>
            <w:r>
              <w:rPr>
                <w:rFonts w:cs="Times New Roman"/>
                <w:kern w:val="0"/>
                <w:sz w:val="22"/>
              </w:rPr>
              <w:t xml:space="preserve"> 153.76 </w:t>
            </w:r>
            <w:r>
              <w:rPr>
                <w:rFonts w:hint="eastAsia" w:cs="宋体"/>
                <w:kern w:val="0"/>
                <w:sz w:val="22"/>
              </w:rPr>
              <w:t>亩，总建筑面积</w:t>
            </w:r>
            <w:r>
              <w:rPr>
                <w:rFonts w:cs="Times New Roman"/>
                <w:kern w:val="0"/>
                <w:sz w:val="22"/>
              </w:rPr>
              <w:t xml:space="preserve">23.27 </w:t>
            </w:r>
            <w:r>
              <w:rPr>
                <w:rFonts w:hint="eastAsia" w:cs="宋体"/>
                <w:kern w:val="0"/>
                <w:sz w:val="22"/>
              </w:rPr>
              <w:t>万平方米，其中</w:t>
            </w:r>
            <w:r>
              <w:rPr>
                <w:rFonts w:cs="Times New Roman"/>
                <w:kern w:val="0"/>
                <w:sz w:val="22"/>
              </w:rPr>
              <w:t>,</w:t>
            </w:r>
            <w:r>
              <w:rPr>
                <w:rFonts w:hint="eastAsia" w:cs="宋体"/>
                <w:kern w:val="0"/>
                <w:sz w:val="22"/>
              </w:rPr>
              <w:t>地上建设量约</w:t>
            </w:r>
            <w:r>
              <w:rPr>
                <w:rFonts w:cs="Times New Roman"/>
                <w:kern w:val="0"/>
                <w:sz w:val="22"/>
              </w:rPr>
              <w:t xml:space="preserve"> 18.28 </w:t>
            </w:r>
            <w:r>
              <w:rPr>
                <w:rFonts w:hint="eastAsia" w:cs="宋体"/>
                <w:kern w:val="0"/>
                <w:sz w:val="22"/>
              </w:rPr>
              <w:t>万平方米</w:t>
            </w:r>
            <w:r>
              <w:rPr>
                <w:rFonts w:cs="Times New Roman"/>
                <w:kern w:val="0"/>
                <w:sz w:val="22"/>
              </w:rPr>
              <w:t>,</w:t>
            </w:r>
            <w:r>
              <w:rPr>
                <w:rFonts w:hint="eastAsia" w:cs="宋体"/>
                <w:kern w:val="0"/>
                <w:sz w:val="22"/>
              </w:rPr>
              <w:t>地下建设量约</w:t>
            </w:r>
            <w:r>
              <w:rPr>
                <w:rFonts w:cs="Times New Roman"/>
                <w:kern w:val="0"/>
                <w:sz w:val="22"/>
              </w:rPr>
              <w:t xml:space="preserve">4.99 </w:t>
            </w:r>
            <w:r>
              <w:rPr>
                <w:rFonts w:hint="eastAsia" w:cs="宋体"/>
                <w:kern w:val="0"/>
                <w:sz w:val="22"/>
              </w:rPr>
              <w:t>万平方米</w:t>
            </w:r>
            <w:r>
              <w:rPr>
                <w:rFonts w:cs="Times New Roman"/>
                <w:kern w:val="0"/>
                <w:sz w:val="22"/>
              </w:rPr>
              <w:t>;</w:t>
            </w:r>
            <w:r>
              <w:rPr>
                <w:rFonts w:hint="eastAsia" w:cs="宋体"/>
                <w:kern w:val="0"/>
                <w:sz w:val="22"/>
              </w:rPr>
              <w:t>水体公园用地面积</w:t>
            </w:r>
            <w:r>
              <w:rPr>
                <w:rFonts w:cs="Times New Roman"/>
                <w:kern w:val="0"/>
                <w:sz w:val="22"/>
              </w:rPr>
              <w:t>11.56</w:t>
            </w:r>
            <w:r>
              <w:rPr>
                <w:rFonts w:hint="eastAsia" w:cs="宋体"/>
                <w:kern w:val="0"/>
                <w:sz w:val="22"/>
              </w:rPr>
              <w:t>万</w:t>
            </w:r>
            <w:r>
              <w:rPr>
                <w:rFonts w:cs="Times New Roman"/>
                <w:kern w:val="0"/>
                <w:sz w:val="22"/>
              </w:rPr>
              <w:t>m</w:t>
            </w:r>
            <w:r>
              <w:rPr>
                <w:rFonts w:hint="eastAsia" w:cs="宋体"/>
                <w:kern w:val="0"/>
                <w:sz w:val="22"/>
              </w:rPr>
              <w:t>。</w:t>
            </w:r>
          </w:p>
        </w:tc>
      </w:tr>
      <w:tr>
        <w:tblPrEx>
          <w:tblCellMar>
            <w:top w:w="0" w:type="dxa"/>
            <w:left w:w="108" w:type="dxa"/>
            <w:bottom w:w="0" w:type="dxa"/>
            <w:right w:w="108" w:type="dxa"/>
          </w:tblCellMar>
        </w:tblPrEx>
        <w:trPr>
          <w:trHeight w:val="288"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24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r>
      <w:tr>
        <w:tblPrEx>
          <w:tblCellMar>
            <w:top w:w="0" w:type="dxa"/>
            <w:left w:w="108" w:type="dxa"/>
            <w:bottom w:w="0" w:type="dxa"/>
            <w:right w:w="108" w:type="dxa"/>
          </w:tblCellMar>
        </w:tblPrEx>
        <w:trPr>
          <w:trHeight w:val="2016"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14</w:t>
            </w:r>
          </w:p>
        </w:tc>
        <w:tc>
          <w:tcPr>
            <w:tcW w:w="244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★含谷智能制造产业园二期</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楼宇厂房</w:t>
            </w:r>
          </w:p>
        </w:tc>
        <w:tc>
          <w:tcPr>
            <w:tcW w:w="1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13</w:t>
            </w:r>
          </w:p>
        </w:tc>
        <w:tc>
          <w:tcPr>
            <w:tcW w:w="14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w:t>
            </w:r>
          </w:p>
        </w:tc>
        <w:tc>
          <w:tcPr>
            <w:tcW w:w="63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cs="宋体"/>
                <w:kern w:val="0"/>
                <w:sz w:val="22"/>
              </w:rPr>
            </w:pPr>
            <w:r>
              <w:rPr>
                <w:rFonts w:hint="eastAsia" w:cs="宋体"/>
                <w:kern w:val="0"/>
                <w:sz w:val="22"/>
              </w:rPr>
              <w:t>项目地处于高腾大道与火龙路之间，含谷标准厂房一期东侧，占地面积约</w:t>
            </w:r>
            <w:r>
              <w:rPr>
                <w:rFonts w:cs="Times New Roman"/>
                <w:kern w:val="0"/>
                <w:sz w:val="22"/>
              </w:rPr>
              <w:t>74522</w:t>
            </w:r>
            <w:r>
              <w:rPr>
                <w:rFonts w:hint="eastAsia" w:cs="宋体"/>
                <w:kern w:val="0"/>
                <w:sz w:val="22"/>
              </w:rPr>
              <w:t>㎡，属于工业建筑设计项目，本项目是集标准厂房、配套办公、地下车库为一体的标准生产厂房工业区，其中</w:t>
            </w:r>
            <w:r>
              <w:rPr>
                <w:rFonts w:cs="Times New Roman"/>
                <w:kern w:val="0"/>
                <w:sz w:val="22"/>
              </w:rPr>
              <w:t>1#</w:t>
            </w:r>
            <w:r>
              <w:rPr>
                <w:rFonts w:hint="eastAsia" w:cs="宋体"/>
                <w:kern w:val="0"/>
                <w:sz w:val="22"/>
              </w:rPr>
              <w:t>、</w:t>
            </w:r>
            <w:r>
              <w:rPr>
                <w:rFonts w:cs="Times New Roman"/>
                <w:kern w:val="0"/>
                <w:sz w:val="22"/>
              </w:rPr>
              <w:t>5#</w:t>
            </w:r>
            <w:r>
              <w:rPr>
                <w:rFonts w:hint="eastAsia" w:cs="宋体"/>
                <w:kern w:val="0"/>
                <w:sz w:val="22"/>
              </w:rPr>
              <w:t>、</w:t>
            </w:r>
            <w:r>
              <w:rPr>
                <w:rFonts w:cs="Times New Roman"/>
                <w:kern w:val="0"/>
                <w:sz w:val="22"/>
              </w:rPr>
              <w:t>6#</w:t>
            </w:r>
            <w:r>
              <w:rPr>
                <w:rFonts w:hint="eastAsia" w:cs="宋体"/>
                <w:kern w:val="0"/>
                <w:sz w:val="22"/>
              </w:rPr>
              <w:t>楼为高层标准厂房，</w:t>
            </w:r>
            <w:r>
              <w:rPr>
                <w:rFonts w:cs="Times New Roman"/>
                <w:kern w:val="0"/>
                <w:sz w:val="22"/>
              </w:rPr>
              <w:t>2#-4#</w:t>
            </w:r>
            <w:r>
              <w:rPr>
                <w:rFonts w:hint="eastAsia" w:cs="宋体"/>
                <w:kern w:val="0"/>
                <w:sz w:val="22"/>
              </w:rPr>
              <w:t>、</w:t>
            </w:r>
            <w:r>
              <w:rPr>
                <w:rFonts w:cs="Times New Roman"/>
                <w:kern w:val="0"/>
                <w:sz w:val="22"/>
              </w:rPr>
              <w:t>7#</w:t>
            </w:r>
            <w:r>
              <w:rPr>
                <w:rFonts w:hint="eastAsia" w:cs="宋体"/>
                <w:kern w:val="0"/>
                <w:sz w:val="22"/>
              </w:rPr>
              <w:t>楼为多层标准厂房，</w:t>
            </w:r>
            <w:r>
              <w:rPr>
                <w:rFonts w:cs="Times New Roman"/>
                <w:kern w:val="0"/>
                <w:sz w:val="22"/>
              </w:rPr>
              <w:t xml:space="preserve"> 8#</w:t>
            </w:r>
            <w:r>
              <w:rPr>
                <w:rFonts w:hint="eastAsia" w:cs="宋体"/>
                <w:kern w:val="0"/>
                <w:sz w:val="22"/>
              </w:rPr>
              <w:t>楼为地下车库，</w:t>
            </w:r>
            <w:r>
              <w:rPr>
                <w:rFonts w:cs="Times New Roman"/>
                <w:kern w:val="0"/>
                <w:sz w:val="22"/>
              </w:rPr>
              <w:t>9#</w:t>
            </w:r>
            <w:r>
              <w:rPr>
                <w:rFonts w:hint="eastAsia" w:cs="宋体"/>
                <w:kern w:val="0"/>
                <w:sz w:val="22"/>
              </w:rPr>
              <w:t>、</w:t>
            </w:r>
            <w:r>
              <w:rPr>
                <w:rFonts w:cs="Times New Roman"/>
                <w:kern w:val="0"/>
                <w:sz w:val="22"/>
              </w:rPr>
              <w:t>10#</w:t>
            </w:r>
            <w:r>
              <w:rPr>
                <w:rFonts w:hint="eastAsia" w:cs="宋体"/>
                <w:kern w:val="0"/>
                <w:sz w:val="22"/>
              </w:rPr>
              <w:t>楼为配套用房，项目总建筑面积</w:t>
            </w:r>
            <w:r>
              <w:rPr>
                <w:rFonts w:cs="Times New Roman"/>
                <w:kern w:val="0"/>
                <w:sz w:val="22"/>
              </w:rPr>
              <w:t>216512.41</w:t>
            </w:r>
            <w:r>
              <w:rPr>
                <w:rFonts w:hint="eastAsia" w:cs="宋体"/>
                <w:kern w:val="0"/>
                <w:sz w:val="22"/>
              </w:rPr>
              <w:t>㎡，地上建筑面积</w:t>
            </w:r>
            <w:r>
              <w:rPr>
                <w:rFonts w:cs="Times New Roman"/>
                <w:kern w:val="0"/>
                <w:sz w:val="22"/>
              </w:rPr>
              <w:t>140942.27</w:t>
            </w:r>
            <w:r>
              <w:rPr>
                <w:rFonts w:hint="eastAsia" w:cs="宋体"/>
                <w:kern w:val="0"/>
                <w:sz w:val="22"/>
              </w:rPr>
              <w:t>㎡（其中标准厂房建筑面积</w:t>
            </w:r>
            <w:r>
              <w:rPr>
                <w:rFonts w:cs="Times New Roman"/>
                <w:kern w:val="0"/>
                <w:sz w:val="22"/>
              </w:rPr>
              <w:t>135932.77</w:t>
            </w:r>
            <w:r>
              <w:rPr>
                <w:rFonts w:hint="eastAsia" w:cs="宋体"/>
                <w:kern w:val="0"/>
                <w:sz w:val="22"/>
              </w:rPr>
              <w:t>㎡，配套、办公建筑面积</w:t>
            </w:r>
            <w:r>
              <w:rPr>
                <w:rFonts w:cs="Times New Roman"/>
                <w:kern w:val="0"/>
                <w:sz w:val="22"/>
              </w:rPr>
              <w:t>5009.5</w:t>
            </w:r>
            <w:r>
              <w:rPr>
                <w:rFonts w:hint="eastAsia" w:cs="宋体"/>
                <w:kern w:val="0"/>
                <w:sz w:val="22"/>
              </w:rPr>
              <w:t>㎡）；地下建筑面积</w:t>
            </w:r>
            <w:r>
              <w:rPr>
                <w:rFonts w:cs="Times New Roman"/>
                <w:kern w:val="0"/>
                <w:sz w:val="22"/>
              </w:rPr>
              <w:t>75570.14</w:t>
            </w:r>
            <w:r>
              <w:rPr>
                <w:rFonts w:hint="eastAsia" w:cs="宋体"/>
                <w:kern w:val="0"/>
                <w:sz w:val="22"/>
              </w:rPr>
              <w:t>㎡，为地下车库及设备用房。</w:t>
            </w:r>
          </w:p>
        </w:tc>
      </w:tr>
      <w:tr>
        <w:tblPrEx>
          <w:tblCellMar>
            <w:top w:w="0" w:type="dxa"/>
            <w:left w:w="108" w:type="dxa"/>
            <w:bottom w:w="0" w:type="dxa"/>
            <w:right w:w="108" w:type="dxa"/>
          </w:tblCellMar>
        </w:tblPrEx>
        <w:trPr>
          <w:trHeight w:val="144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15</w:t>
            </w:r>
          </w:p>
        </w:tc>
        <w:tc>
          <w:tcPr>
            <w:tcW w:w="244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国家检验检测高技术服务业集聚区（金凤）检测认证科技园</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楼宇厂房</w:t>
            </w:r>
          </w:p>
        </w:tc>
        <w:tc>
          <w:tcPr>
            <w:tcW w:w="1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9.5</w:t>
            </w:r>
          </w:p>
        </w:tc>
        <w:tc>
          <w:tcPr>
            <w:tcW w:w="14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4</w:t>
            </w:r>
          </w:p>
        </w:tc>
        <w:tc>
          <w:tcPr>
            <w:tcW w:w="63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cs="宋体"/>
                <w:kern w:val="0"/>
                <w:sz w:val="22"/>
              </w:rPr>
            </w:pPr>
            <w:r>
              <w:rPr>
                <w:rFonts w:hint="eastAsia" w:cs="宋体"/>
                <w:kern w:val="0"/>
                <w:sz w:val="22"/>
              </w:rPr>
              <w:t>总投资约</w:t>
            </w:r>
            <w:r>
              <w:rPr>
                <w:rFonts w:cs="Times New Roman"/>
                <w:kern w:val="0"/>
                <w:sz w:val="22"/>
              </w:rPr>
              <w:t>10.3</w:t>
            </w:r>
            <w:r>
              <w:rPr>
                <w:rFonts w:hint="eastAsia" w:cs="宋体"/>
                <w:kern w:val="0"/>
                <w:sz w:val="22"/>
              </w:rPr>
              <w:t>亿元，占地面积约</w:t>
            </w:r>
            <w:r>
              <w:rPr>
                <w:rFonts w:cs="Times New Roman"/>
                <w:kern w:val="0"/>
                <w:sz w:val="22"/>
              </w:rPr>
              <w:t>6.2</w:t>
            </w:r>
            <w:r>
              <w:rPr>
                <w:rFonts w:hint="eastAsia" w:cs="宋体"/>
                <w:kern w:val="0"/>
                <w:sz w:val="22"/>
                <w:lang w:eastAsia="zh-CN"/>
              </w:rPr>
              <w:t>万㎡</w:t>
            </w:r>
            <w:r>
              <w:rPr>
                <w:rFonts w:hint="eastAsia" w:cs="宋体"/>
                <w:kern w:val="0"/>
                <w:sz w:val="22"/>
              </w:rPr>
              <w:t>，总建面约</w:t>
            </w:r>
            <w:r>
              <w:rPr>
                <w:rFonts w:cs="Times New Roman"/>
                <w:kern w:val="0"/>
                <w:sz w:val="22"/>
              </w:rPr>
              <w:t>17.59</w:t>
            </w:r>
            <w:r>
              <w:rPr>
                <w:rFonts w:hint="eastAsia" w:cs="宋体"/>
                <w:kern w:val="0"/>
                <w:sz w:val="22"/>
                <w:lang w:eastAsia="zh-CN"/>
              </w:rPr>
              <w:t>万㎡</w:t>
            </w:r>
            <w:r>
              <w:rPr>
                <w:rFonts w:hint="eastAsia" w:cs="宋体"/>
                <w:kern w:val="0"/>
                <w:sz w:val="22"/>
              </w:rPr>
              <w:t>，地下建筑面积约为</w:t>
            </w:r>
            <w:r>
              <w:rPr>
                <w:rFonts w:cs="Times New Roman"/>
                <w:kern w:val="0"/>
                <w:sz w:val="22"/>
              </w:rPr>
              <w:t>5.17</w:t>
            </w:r>
            <w:r>
              <w:rPr>
                <w:rFonts w:hint="eastAsia" w:cs="宋体"/>
                <w:kern w:val="0"/>
                <w:sz w:val="22"/>
                <w:lang w:eastAsia="zh-CN"/>
              </w:rPr>
              <w:t>万㎡</w:t>
            </w:r>
            <w:r>
              <w:rPr>
                <w:rFonts w:cs="Times New Roman"/>
                <w:kern w:val="0"/>
                <w:sz w:val="22"/>
              </w:rPr>
              <w:t>,</w:t>
            </w:r>
            <w:r>
              <w:rPr>
                <w:rFonts w:hint="eastAsia" w:cs="宋体"/>
                <w:kern w:val="0"/>
                <w:sz w:val="22"/>
              </w:rPr>
              <w:t>地上建筑面积约为</w:t>
            </w:r>
            <w:r>
              <w:rPr>
                <w:rFonts w:cs="Times New Roman"/>
                <w:kern w:val="0"/>
                <w:sz w:val="22"/>
              </w:rPr>
              <w:t>12.42</w:t>
            </w:r>
            <w:r>
              <w:rPr>
                <w:rFonts w:hint="eastAsia" w:cs="宋体"/>
                <w:kern w:val="0"/>
                <w:sz w:val="22"/>
                <w:lang w:eastAsia="zh-CN"/>
              </w:rPr>
              <w:t>万㎡</w:t>
            </w:r>
            <w:r>
              <w:rPr>
                <w:rFonts w:hint="eastAsia" w:cs="宋体"/>
                <w:kern w:val="0"/>
                <w:sz w:val="22"/>
              </w:rPr>
              <w:t>，包含</w:t>
            </w:r>
            <w:r>
              <w:rPr>
                <w:rFonts w:cs="Times New Roman"/>
                <w:kern w:val="0"/>
                <w:sz w:val="22"/>
              </w:rPr>
              <w:t>2</w:t>
            </w:r>
            <w:r>
              <w:rPr>
                <w:rFonts w:hint="eastAsia" w:cs="宋体"/>
                <w:kern w:val="0"/>
                <w:sz w:val="22"/>
              </w:rPr>
              <w:t>栋高层塔楼</w:t>
            </w:r>
            <w:r>
              <w:rPr>
                <w:rFonts w:cs="Times New Roman"/>
                <w:kern w:val="0"/>
                <w:sz w:val="22"/>
              </w:rPr>
              <w:t>(</w:t>
            </w:r>
            <w:r>
              <w:rPr>
                <w:rFonts w:hint="eastAsia" w:cs="宋体"/>
                <w:kern w:val="0"/>
                <w:sz w:val="22"/>
              </w:rPr>
              <w:t>园区服务办公楼</w:t>
            </w:r>
            <w:r>
              <w:rPr>
                <w:rFonts w:cs="Times New Roman"/>
                <w:kern w:val="0"/>
                <w:sz w:val="22"/>
              </w:rPr>
              <w:t>2#</w:t>
            </w:r>
            <w:r>
              <w:rPr>
                <w:rFonts w:hint="eastAsia" w:cs="宋体"/>
                <w:kern w:val="0"/>
                <w:sz w:val="22"/>
              </w:rPr>
              <w:t>楼（一类高层）、</w:t>
            </w:r>
            <w:r>
              <w:rPr>
                <w:rFonts w:cs="Times New Roman"/>
                <w:kern w:val="0"/>
                <w:sz w:val="22"/>
              </w:rPr>
              <w:t>4#</w:t>
            </w:r>
            <w:r>
              <w:rPr>
                <w:rFonts w:hint="eastAsia" w:cs="宋体"/>
                <w:kern w:val="0"/>
                <w:sz w:val="22"/>
              </w:rPr>
              <w:t>楼（二类高层）</w:t>
            </w:r>
            <w:r>
              <w:rPr>
                <w:rFonts w:cs="Times New Roman"/>
                <w:kern w:val="0"/>
                <w:sz w:val="22"/>
              </w:rPr>
              <w:t>)</w:t>
            </w:r>
            <w:r>
              <w:rPr>
                <w:rFonts w:hint="eastAsia" w:cs="宋体"/>
                <w:kern w:val="0"/>
                <w:sz w:val="22"/>
              </w:rPr>
              <w:t>；</w:t>
            </w:r>
            <w:r>
              <w:rPr>
                <w:rFonts w:cs="Times New Roman"/>
                <w:kern w:val="0"/>
                <w:sz w:val="22"/>
              </w:rPr>
              <w:t>8</w:t>
            </w:r>
            <w:r>
              <w:rPr>
                <w:rFonts w:hint="eastAsia" w:cs="宋体"/>
                <w:kern w:val="0"/>
                <w:sz w:val="22"/>
              </w:rPr>
              <w:t>栋高层厂房（丙类二项）</w:t>
            </w:r>
            <w:r>
              <w:rPr>
                <w:rFonts w:cs="Times New Roman"/>
                <w:kern w:val="0"/>
                <w:sz w:val="22"/>
              </w:rPr>
              <w:t>(1#</w:t>
            </w:r>
            <w:r>
              <w:rPr>
                <w:rFonts w:hint="eastAsia" w:cs="宋体"/>
                <w:kern w:val="0"/>
                <w:sz w:val="22"/>
              </w:rPr>
              <w:t>、</w:t>
            </w:r>
            <w:r>
              <w:rPr>
                <w:rFonts w:cs="Times New Roman"/>
                <w:kern w:val="0"/>
                <w:sz w:val="22"/>
              </w:rPr>
              <w:t>5#~11#</w:t>
            </w:r>
            <w:r>
              <w:rPr>
                <w:rFonts w:hint="eastAsia" w:cs="宋体"/>
                <w:kern w:val="0"/>
                <w:sz w:val="22"/>
              </w:rPr>
              <w:t>楼</w:t>
            </w:r>
            <w:r>
              <w:rPr>
                <w:rFonts w:cs="Times New Roman"/>
                <w:kern w:val="0"/>
                <w:sz w:val="22"/>
              </w:rPr>
              <w:t>)(</w:t>
            </w:r>
            <w:r>
              <w:rPr>
                <w:rFonts w:hint="eastAsia" w:cs="宋体"/>
                <w:kern w:val="0"/>
                <w:sz w:val="22"/>
              </w:rPr>
              <w:t>二类高层</w:t>
            </w:r>
            <w:r>
              <w:rPr>
                <w:rFonts w:cs="Times New Roman"/>
                <w:kern w:val="0"/>
                <w:sz w:val="22"/>
              </w:rPr>
              <w:t>)</w:t>
            </w:r>
            <w:r>
              <w:rPr>
                <w:rFonts w:hint="eastAsia" w:cs="宋体"/>
                <w:kern w:val="0"/>
                <w:sz w:val="22"/>
              </w:rPr>
              <w:t>；</w:t>
            </w:r>
            <w:r>
              <w:rPr>
                <w:rFonts w:cs="Times New Roman"/>
                <w:kern w:val="0"/>
                <w:sz w:val="22"/>
              </w:rPr>
              <w:t>2</w:t>
            </w:r>
            <w:r>
              <w:rPr>
                <w:rFonts w:hint="eastAsia" w:cs="宋体"/>
                <w:kern w:val="0"/>
                <w:sz w:val="22"/>
              </w:rPr>
              <w:t>栋多层厂房（丙类二项）（</w:t>
            </w:r>
            <w:r>
              <w:rPr>
                <w:rFonts w:cs="Times New Roman"/>
                <w:kern w:val="0"/>
                <w:sz w:val="22"/>
              </w:rPr>
              <w:t>3#</w:t>
            </w:r>
            <w:r>
              <w:rPr>
                <w:rFonts w:hint="eastAsia" w:cs="宋体"/>
                <w:kern w:val="0"/>
                <w:sz w:val="22"/>
              </w:rPr>
              <w:t>楼、</w:t>
            </w:r>
            <w:r>
              <w:rPr>
                <w:rFonts w:cs="Times New Roman"/>
                <w:kern w:val="0"/>
                <w:sz w:val="22"/>
              </w:rPr>
              <w:t>12#</w:t>
            </w:r>
            <w:r>
              <w:rPr>
                <w:rFonts w:hint="eastAsia" w:cs="宋体"/>
                <w:kern w:val="0"/>
                <w:sz w:val="22"/>
              </w:rPr>
              <w:t>楼）（二类高层）。</w:t>
            </w:r>
          </w:p>
        </w:tc>
      </w:tr>
      <w:tr>
        <w:tblPrEx>
          <w:tblCellMar>
            <w:top w:w="0" w:type="dxa"/>
            <w:left w:w="108" w:type="dxa"/>
            <w:bottom w:w="0" w:type="dxa"/>
            <w:right w:w="108" w:type="dxa"/>
          </w:tblCellMar>
        </w:tblPrEx>
        <w:trPr>
          <w:trHeight w:val="288"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16</w:t>
            </w:r>
          </w:p>
        </w:tc>
        <w:tc>
          <w:tcPr>
            <w:tcW w:w="24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★微电子科创街一期（</w:t>
            </w:r>
            <w:r>
              <w:rPr>
                <w:rFonts w:cs="Times New Roman"/>
                <w:kern w:val="0"/>
                <w:sz w:val="22"/>
              </w:rPr>
              <w:t>A</w:t>
            </w:r>
            <w:r>
              <w:rPr>
                <w:rFonts w:hint="eastAsia" w:cs="宋体"/>
                <w:kern w:val="0"/>
                <w:sz w:val="22"/>
              </w:rPr>
              <w:t>组团）</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楼宇厂房</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27</w:t>
            </w:r>
          </w:p>
        </w:tc>
        <w:tc>
          <w:tcPr>
            <w:tcW w:w="141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2.5</w:t>
            </w:r>
          </w:p>
        </w:tc>
        <w:tc>
          <w:tcPr>
            <w:tcW w:w="63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kern w:val="0"/>
                <w:sz w:val="22"/>
              </w:rPr>
            </w:pPr>
            <w:r>
              <w:rPr>
                <w:rFonts w:hint="eastAsia" w:cs="Times New Roman"/>
                <w:kern w:val="0"/>
                <w:sz w:val="22"/>
              </w:rPr>
              <w:t>微电子科创街</w:t>
            </w:r>
            <w:r>
              <w:rPr>
                <w:rFonts w:eastAsia="宋体" w:cs="Times New Roman"/>
                <w:kern w:val="0"/>
                <w:sz w:val="22"/>
              </w:rPr>
              <w:t>A</w:t>
            </w:r>
            <w:r>
              <w:rPr>
                <w:rFonts w:hint="eastAsia" w:cs="Times New Roman"/>
                <w:kern w:val="0"/>
                <w:sz w:val="22"/>
              </w:rPr>
              <w:t>组团，占地约</w:t>
            </w:r>
            <w:r>
              <w:rPr>
                <w:rFonts w:eastAsia="宋体" w:cs="Times New Roman"/>
                <w:kern w:val="0"/>
                <w:sz w:val="22"/>
              </w:rPr>
              <w:t>170</w:t>
            </w:r>
            <w:r>
              <w:rPr>
                <w:rFonts w:hint="eastAsia" w:cs="Times New Roman"/>
                <w:kern w:val="0"/>
                <w:sz w:val="22"/>
              </w:rPr>
              <w:t>亩，建筑面积约</w:t>
            </w:r>
            <w:r>
              <w:rPr>
                <w:rFonts w:eastAsia="宋体" w:cs="Times New Roman"/>
                <w:kern w:val="0"/>
                <w:sz w:val="22"/>
              </w:rPr>
              <w:t>23</w:t>
            </w:r>
            <w:r>
              <w:rPr>
                <w:rFonts w:hint="eastAsia" w:cs="Times New Roman"/>
                <w:kern w:val="0"/>
                <w:sz w:val="22"/>
              </w:rPr>
              <w:t>万平方米。</w:t>
            </w:r>
          </w:p>
        </w:tc>
      </w:tr>
      <w:tr>
        <w:tblPrEx>
          <w:tblCellMar>
            <w:top w:w="0" w:type="dxa"/>
            <w:left w:w="108" w:type="dxa"/>
            <w:bottom w:w="0" w:type="dxa"/>
            <w:right w:w="108" w:type="dxa"/>
          </w:tblCellMar>
        </w:tblPrEx>
        <w:trPr>
          <w:trHeight w:val="288"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24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r>
      <w:tr>
        <w:tblPrEx>
          <w:tblCellMar>
            <w:top w:w="0" w:type="dxa"/>
            <w:left w:w="108" w:type="dxa"/>
            <w:bottom w:w="0" w:type="dxa"/>
            <w:right w:w="108" w:type="dxa"/>
          </w:tblCellMar>
        </w:tblPrEx>
        <w:trPr>
          <w:trHeight w:val="134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17</w:t>
            </w:r>
          </w:p>
        </w:tc>
        <w:tc>
          <w:tcPr>
            <w:tcW w:w="244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★科学谷一期</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楼宇厂房</w:t>
            </w:r>
          </w:p>
        </w:tc>
        <w:tc>
          <w:tcPr>
            <w:tcW w:w="1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30</w:t>
            </w:r>
          </w:p>
        </w:tc>
        <w:tc>
          <w:tcPr>
            <w:tcW w:w="14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3</w:t>
            </w:r>
          </w:p>
        </w:tc>
        <w:tc>
          <w:tcPr>
            <w:tcW w:w="63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kern w:val="0"/>
                <w:sz w:val="22"/>
              </w:rPr>
            </w:pPr>
            <w:r>
              <w:rPr>
                <w:rFonts w:hint="eastAsia" w:cs="Times New Roman"/>
                <w:kern w:val="0"/>
                <w:sz w:val="22"/>
              </w:rPr>
              <w:t>占地约</w:t>
            </w:r>
            <w:r>
              <w:rPr>
                <w:rFonts w:eastAsia="宋体" w:cs="Times New Roman"/>
                <w:kern w:val="0"/>
                <w:sz w:val="22"/>
              </w:rPr>
              <w:t>375</w:t>
            </w:r>
            <w:r>
              <w:rPr>
                <w:rFonts w:hint="eastAsia" w:cs="Times New Roman"/>
                <w:kern w:val="0"/>
                <w:sz w:val="22"/>
              </w:rPr>
              <w:t>亩，总建筑面积约</w:t>
            </w:r>
            <w:r>
              <w:rPr>
                <w:rFonts w:eastAsia="宋体" w:cs="Times New Roman"/>
                <w:kern w:val="0"/>
                <w:sz w:val="22"/>
              </w:rPr>
              <w:t>61</w:t>
            </w:r>
            <w:r>
              <w:rPr>
                <w:rFonts w:hint="eastAsia" w:cs="Times New Roman"/>
                <w:kern w:val="0"/>
                <w:sz w:val="22"/>
              </w:rPr>
              <w:t>万平方米。</w:t>
            </w:r>
          </w:p>
        </w:tc>
      </w:tr>
      <w:tr>
        <w:tblPrEx>
          <w:tblCellMar>
            <w:top w:w="0" w:type="dxa"/>
            <w:left w:w="108" w:type="dxa"/>
            <w:bottom w:w="0" w:type="dxa"/>
            <w:right w:w="108" w:type="dxa"/>
          </w:tblCellMar>
        </w:tblPrEx>
        <w:trPr>
          <w:trHeight w:val="288"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18</w:t>
            </w:r>
          </w:p>
        </w:tc>
        <w:tc>
          <w:tcPr>
            <w:tcW w:w="24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西彭水厂配套石板加压站扩建及配套管网工程一期</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市政设施</w:t>
            </w:r>
          </w:p>
        </w:tc>
        <w:tc>
          <w:tcPr>
            <w:tcW w:w="126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6.1</w:t>
            </w:r>
          </w:p>
        </w:tc>
        <w:tc>
          <w:tcPr>
            <w:tcW w:w="1417"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2.5</w:t>
            </w:r>
          </w:p>
        </w:tc>
        <w:tc>
          <w:tcPr>
            <w:tcW w:w="63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kern w:val="0"/>
                <w:sz w:val="22"/>
              </w:rPr>
            </w:pPr>
            <w:r>
              <w:rPr>
                <w:rFonts w:hint="eastAsia" w:cs="Times New Roman"/>
                <w:kern w:val="0"/>
                <w:sz w:val="22"/>
              </w:rPr>
              <w:t>新建</w:t>
            </w:r>
            <w:r>
              <w:rPr>
                <w:rFonts w:eastAsia="宋体" w:cs="Times New Roman"/>
                <w:kern w:val="0"/>
                <w:sz w:val="22"/>
              </w:rPr>
              <w:t>DN1000-DN1800</w:t>
            </w:r>
            <w:r>
              <w:rPr>
                <w:rFonts w:hint="eastAsia" w:cs="Times New Roman"/>
                <w:kern w:val="0"/>
                <w:sz w:val="22"/>
              </w:rPr>
              <w:t>输水管道，长度约</w:t>
            </w:r>
            <w:r>
              <w:rPr>
                <w:rFonts w:eastAsia="宋体" w:cs="Times New Roman"/>
                <w:kern w:val="0"/>
                <w:sz w:val="22"/>
              </w:rPr>
              <w:t>32.77km</w:t>
            </w:r>
            <w:r>
              <w:rPr>
                <w:rFonts w:hint="eastAsia" w:cs="Times New Roman"/>
                <w:kern w:val="0"/>
                <w:sz w:val="22"/>
              </w:rPr>
              <w:t>。新建加压站一座，设计总规模</w:t>
            </w:r>
            <w:r>
              <w:rPr>
                <w:rFonts w:eastAsia="宋体" w:cs="Times New Roman"/>
                <w:kern w:val="0"/>
                <w:sz w:val="22"/>
              </w:rPr>
              <w:t>60</w:t>
            </w:r>
            <w:r>
              <w:rPr>
                <w:rFonts w:hint="eastAsia" w:cs="Times New Roman"/>
                <w:kern w:val="0"/>
                <w:sz w:val="22"/>
              </w:rPr>
              <w:t>万</w:t>
            </w:r>
            <w:r>
              <w:rPr>
                <w:rFonts w:eastAsia="宋体" w:cs="Times New Roman"/>
                <w:kern w:val="0"/>
                <w:sz w:val="22"/>
              </w:rPr>
              <w:t>m³/</w:t>
            </w:r>
            <w:r>
              <w:rPr>
                <w:rFonts w:hint="eastAsia" w:cs="Times New Roman"/>
                <w:kern w:val="0"/>
                <w:sz w:val="22"/>
              </w:rPr>
              <w:t>日，其中一期工程规模为</w:t>
            </w:r>
            <w:r>
              <w:rPr>
                <w:rFonts w:eastAsia="宋体" w:cs="Times New Roman"/>
                <w:kern w:val="0"/>
                <w:sz w:val="22"/>
              </w:rPr>
              <w:t>20</w:t>
            </w:r>
            <w:r>
              <w:rPr>
                <w:rFonts w:hint="eastAsia" w:cs="Times New Roman"/>
                <w:kern w:val="0"/>
                <w:sz w:val="22"/>
              </w:rPr>
              <w:t>万</w:t>
            </w:r>
            <w:r>
              <w:rPr>
                <w:rFonts w:eastAsia="宋体" w:cs="Times New Roman"/>
                <w:kern w:val="0"/>
                <w:sz w:val="22"/>
              </w:rPr>
              <w:t>m³/</w:t>
            </w:r>
            <w:r>
              <w:rPr>
                <w:rFonts w:hint="eastAsia" w:cs="Times New Roman"/>
                <w:kern w:val="0"/>
                <w:sz w:val="22"/>
              </w:rPr>
              <w:t>日，主要建设内容包括清水池、加压泵站、补氯间等，以及厂外</w:t>
            </w:r>
            <w:r>
              <w:rPr>
                <w:rFonts w:eastAsia="宋体" w:cs="Times New Roman"/>
                <w:kern w:val="0"/>
                <w:sz w:val="22"/>
              </w:rPr>
              <w:t>DN1800</w:t>
            </w:r>
            <w:r>
              <w:rPr>
                <w:rFonts w:hint="eastAsia" w:cs="Times New Roman"/>
                <w:kern w:val="0"/>
                <w:sz w:val="22"/>
              </w:rPr>
              <w:t>进出水管道</w:t>
            </w:r>
            <w:r>
              <w:rPr>
                <w:rFonts w:eastAsia="宋体" w:cs="Times New Roman"/>
                <w:kern w:val="0"/>
                <w:sz w:val="22"/>
              </w:rPr>
              <w:t>1300m</w:t>
            </w:r>
            <w:r>
              <w:rPr>
                <w:rFonts w:hint="eastAsia" w:cs="Times New Roman"/>
                <w:kern w:val="0"/>
                <w:sz w:val="22"/>
              </w:rPr>
              <w:t>。</w:t>
            </w:r>
          </w:p>
        </w:tc>
      </w:tr>
      <w:tr>
        <w:tblPrEx>
          <w:tblCellMar>
            <w:top w:w="0" w:type="dxa"/>
            <w:left w:w="108" w:type="dxa"/>
            <w:bottom w:w="0" w:type="dxa"/>
            <w:right w:w="108" w:type="dxa"/>
          </w:tblCellMar>
        </w:tblPrEx>
        <w:trPr>
          <w:trHeight w:val="288"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24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r>
      <w:tr>
        <w:tblPrEx>
          <w:tblCellMar>
            <w:top w:w="0" w:type="dxa"/>
            <w:left w:w="108" w:type="dxa"/>
            <w:bottom w:w="0" w:type="dxa"/>
            <w:right w:w="108" w:type="dxa"/>
          </w:tblCellMar>
        </w:tblPrEx>
        <w:trPr>
          <w:trHeight w:val="144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19</w:t>
            </w:r>
          </w:p>
        </w:tc>
        <w:tc>
          <w:tcPr>
            <w:tcW w:w="244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★高新区北区大学城南路及立交改造工程二期</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道路工程</w:t>
            </w:r>
          </w:p>
        </w:tc>
        <w:tc>
          <w:tcPr>
            <w:tcW w:w="1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4"/>
                <w:szCs w:val="24"/>
              </w:rPr>
            </w:pPr>
            <w:r>
              <w:rPr>
                <w:rFonts w:eastAsia="宋体" w:cs="Times New Roman"/>
                <w:kern w:val="0"/>
                <w:sz w:val="24"/>
                <w:szCs w:val="24"/>
              </w:rPr>
              <w:t>18</w:t>
            </w:r>
          </w:p>
        </w:tc>
        <w:tc>
          <w:tcPr>
            <w:tcW w:w="14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1.5</w:t>
            </w:r>
          </w:p>
        </w:tc>
        <w:tc>
          <w:tcPr>
            <w:tcW w:w="63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cs="宋体"/>
                <w:kern w:val="0"/>
                <w:sz w:val="22"/>
              </w:rPr>
            </w:pPr>
            <w:r>
              <w:rPr>
                <w:rFonts w:hint="eastAsia" w:cs="宋体"/>
                <w:kern w:val="0"/>
                <w:sz w:val="22"/>
              </w:rPr>
              <w:t>大学城北路</w:t>
            </w:r>
            <w:r>
              <w:rPr>
                <w:rFonts w:cs="Times New Roman"/>
                <w:kern w:val="0"/>
                <w:sz w:val="22"/>
              </w:rPr>
              <w:t>-</w:t>
            </w:r>
            <w:r>
              <w:rPr>
                <w:rFonts w:hint="eastAsia" w:cs="宋体"/>
                <w:kern w:val="0"/>
                <w:sz w:val="22"/>
              </w:rPr>
              <w:t>大学城中路</w:t>
            </w:r>
            <w:r>
              <w:rPr>
                <w:rFonts w:cs="Times New Roman"/>
                <w:kern w:val="0"/>
                <w:sz w:val="22"/>
              </w:rPr>
              <w:t>2</w:t>
            </w:r>
            <w:r>
              <w:rPr>
                <w:rFonts w:hint="eastAsia" w:cs="宋体"/>
                <w:kern w:val="0"/>
                <w:sz w:val="22"/>
              </w:rPr>
              <w:t>号节点立交改造，大学城南一路</w:t>
            </w:r>
            <w:r>
              <w:rPr>
                <w:rFonts w:cs="Times New Roman"/>
                <w:kern w:val="0"/>
                <w:sz w:val="22"/>
              </w:rPr>
              <w:t>-</w:t>
            </w:r>
            <w:r>
              <w:rPr>
                <w:rFonts w:hint="eastAsia" w:cs="宋体"/>
                <w:kern w:val="0"/>
                <w:sz w:val="22"/>
              </w:rPr>
              <w:t>大学城中路</w:t>
            </w:r>
            <w:r>
              <w:rPr>
                <w:rFonts w:cs="Times New Roman"/>
                <w:kern w:val="0"/>
                <w:sz w:val="22"/>
              </w:rPr>
              <w:t>4</w:t>
            </w:r>
            <w:r>
              <w:rPr>
                <w:rFonts w:hint="eastAsia" w:cs="宋体"/>
                <w:kern w:val="0"/>
                <w:sz w:val="22"/>
              </w:rPr>
              <w:t>号节点立交改造，大学城西路</w:t>
            </w:r>
            <w:r>
              <w:rPr>
                <w:rFonts w:cs="Times New Roman"/>
                <w:kern w:val="0"/>
                <w:sz w:val="22"/>
              </w:rPr>
              <w:t>-</w:t>
            </w:r>
            <w:r>
              <w:rPr>
                <w:rFonts w:hint="eastAsia" w:cs="宋体"/>
                <w:kern w:val="0"/>
                <w:sz w:val="22"/>
              </w:rPr>
              <w:t>大学城南二路</w:t>
            </w:r>
            <w:r>
              <w:rPr>
                <w:rFonts w:cs="Times New Roman"/>
                <w:kern w:val="0"/>
                <w:sz w:val="22"/>
              </w:rPr>
              <w:t>5</w:t>
            </w:r>
            <w:r>
              <w:rPr>
                <w:rFonts w:hint="eastAsia" w:cs="宋体"/>
                <w:kern w:val="0"/>
                <w:sz w:val="22"/>
              </w:rPr>
              <w:t>号节点立交改造，大学城中路</w:t>
            </w:r>
            <w:r>
              <w:rPr>
                <w:rFonts w:cs="Times New Roman"/>
                <w:kern w:val="0"/>
                <w:sz w:val="22"/>
              </w:rPr>
              <w:t>-</w:t>
            </w:r>
            <w:r>
              <w:rPr>
                <w:rFonts w:hint="eastAsia" w:cs="宋体"/>
                <w:kern w:val="0"/>
                <w:sz w:val="22"/>
              </w:rPr>
              <w:t>大学城南二路</w:t>
            </w:r>
            <w:r>
              <w:rPr>
                <w:rFonts w:cs="Times New Roman"/>
                <w:kern w:val="0"/>
                <w:sz w:val="22"/>
              </w:rPr>
              <w:t>6</w:t>
            </w:r>
            <w:r>
              <w:rPr>
                <w:rFonts w:hint="eastAsia" w:cs="宋体"/>
                <w:kern w:val="0"/>
                <w:sz w:val="22"/>
              </w:rPr>
              <w:t>号节点改造，大学城东路</w:t>
            </w:r>
            <w:r>
              <w:rPr>
                <w:rFonts w:cs="Times New Roman"/>
                <w:kern w:val="0"/>
                <w:sz w:val="22"/>
              </w:rPr>
              <w:t>-</w:t>
            </w:r>
            <w:r>
              <w:rPr>
                <w:rFonts w:hint="eastAsia" w:cs="宋体"/>
                <w:kern w:val="0"/>
                <w:sz w:val="22"/>
              </w:rPr>
              <w:t>大学城南二路</w:t>
            </w:r>
            <w:r>
              <w:rPr>
                <w:rFonts w:cs="Times New Roman"/>
                <w:kern w:val="0"/>
                <w:sz w:val="22"/>
              </w:rPr>
              <w:t>7</w:t>
            </w:r>
            <w:r>
              <w:rPr>
                <w:rFonts w:hint="eastAsia" w:cs="宋体"/>
                <w:kern w:val="0"/>
                <w:sz w:val="22"/>
              </w:rPr>
              <w:t>号节点立交改造。高新区市政排水管网改造（虎溪街道）：工程范围内</w:t>
            </w:r>
            <w:r>
              <w:rPr>
                <w:rFonts w:cs="Times New Roman"/>
                <w:kern w:val="0"/>
                <w:sz w:val="22"/>
              </w:rPr>
              <w:t>1187</w:t>
            </w:r>
            <w:r>
              <w:rPr>
                <w:rFonts w:hint="eastAsia" w:cs="宋体"/>
                <w:kern w:val="0"/>
                <w:sz w:val="22"/>
              </w:rPr>
              <w:t>处（</w:t>
            </w:r>
            <w:r>
              <w:rPr>
                <w:rFonts w:cs="Times New Roman"/>
                <w:kern w:val="0"/>
                <w:sz w:val="22"/>
              </w:rPr>
              <w:t>3791</w:t>
            </w:r>
            <w:r>
              <w:rPr>
                <w:rFonts w:hint="eastAsia" w:cs="宋体"/>
                <w:kern w:val="0"/>
                <w:sz w:val="22"/>
              </w:rPr>
              <w:t>个点位）管道</w:t>
            </w:r>
            <w:r>
              <w:rPr>
                <w:rFonts w:hint="eastAsia" w:ascii="宋体" w:hAnsi="宋体" w:eastAsia="宋体" w:cs="宋体"/>
                <w:kern w:val="0"/>
                <w:sz w:val="22"/>
              </w:rPr>
              <w:t>Ⅲ</w:t>
            </w:r>
            <w:r>
              <w:rPr>
                <w:rFonts w:hint="eastAsia" w:cs="宋体"/>
                <w:kern w:val="0"/>
                <w:sz w:val="22"/>
              </w:rPr>
              <w:t>、</w:t>
            </w:r>
            <w:r>
              <w:rPr>
                <w:rFonts w:hint="eastAsia" w:ascii="宋体" w:hAnsi="宋体" w:eastAsia="宋体" w:cs="宋体"/>
                <w:kern w:val="0"/>
                <w:sz w:val="22"/>
              </w:rPr>
              <w:t>Ⅳ</w:t>
            </w:r>
            <w:r>
              <w:rPr>
                <w:rFonts w:hint="eastAsia" w:cs="宋体"/>
                <w:kern w:val="0"/>
                <w:sz w:val="22"/>
              </w:rPr>
              <w:t>级结构性缺陷进行修复。</w:t>
            </w:r>
          </w:p>
        </w:tc>
      </w:tr>
      <w:tr>
        <w:tblPrEx>
          <w:tblCellMar>
            <w:top w:w="0" w:type="dxa"/>
            <w:left w:w="108" w:type="dxa"/>
            <w:bottom w:w="0" w:type="dxa"/>
            <w:right w:w="108" w:type="dxa"/>
          </w:tblCellMar>
        </w:tblPrEx>
        <w:trPr>
          <w:trHeight w:val="115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20</w:t>
            </w:r>
          </w:p>
        </w:tc>
        <w:tc>
          <w:tcPr>
            <w:tcW w:w="244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★科学大道二期一标段、二标段</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道路工程</w:t>
            </w:r>
          </w:p>
        </w:tc>
        <w:tc>
          <w:tcPr>
            <w:tcW w:w="1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68.1</w:t>
            </w:r>
          </w:p>
        </w:tc>
        <w:tc>
          <w:tcPr>
            <w:tcW w:w="14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15.5</w:t>
            </w:r>
          </w:p>
        </w:tc>
        <w:tc>
          <w:tcPr>
            <w:tcW w:w="63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cs="宋体"/>
                <w:kern w:val="0"/>
                <w:sz w:val="22"/>
              </w:rPr>
            </w:pPr>
            <w:r>
              <w:rPr>
                <w:rFonts w:hint="eastAsia" w:cs="宋体"/>
                <w:kern w:val="0"/>
                <w:sz w:val="22"/>
              </w:rPr>
              <w:t>一标段为巴福立交至农马立交段（不含农马立交），全长约</w:t>
            </w:r>
            <w:r>
              <w:rPr>
                <w:rFonts w:cs="Times New Roman"/>
                <w:kern w:val="0"/>
                <w:sz w:val="22"/>
              </w:rPr>
              <w:t>6km</w:t>
            </w:r>
            <w:r>
              <w:rPr>
                <w:rFonts w:hint="eastAsia" w:cs="宋体"/>
                <w:kern w:val="0"/>
                <w:sz w:val="22"/>
              </w:rPr>
              <w:t>，其中石坝立交至农马立交为新建段，长约</w:t>
            </w:r>
            <w:r>
              <w:rPr>
                <w:rFonts w:cs="Times New Roman"/>
                <w:kern w:val="0"/>
                <w:sz w:val="22"/>
              </w:rPr>
              <w:t>2km</w:t>
            </w:r>
            <w:r>
              <w:rPr>
                <w:rFonts w:hint="eastAsia" w:cs="宋体"/>
                <w:kern w:val="0"/>
                <w:sz w:val="22"/>
              </w:rPr>
              <w:t>；巴福立交至石坝立交为改建段，长约</w:t>
            </w:r>
            <w:r>
              <w:rPr>
                <w:rFonts w:cs="Times New Roman"/>
                <w:kern w:val="0"/>
                <w:sz w:val="22"/>
              </w:rPr>
              <w:t>4km</w:t>
            </w:r>
            <w:r>
              <w:rPr>
                <w:rFonts w:hint="eastAsia" w:cs="宋体"/>
                <w:kern w:val="0"/>
                <w:sz w:val="22"/>
              </w:rPr>
              <w:t>；二标段起于中柱立交（不含中柱立交），止于龙井湾立交，长</w:t>
            </w:r>
            <w:r>
              <w:rPr>
                <w:rFonts w:cs="Times New Roman"/>
                <w:kern w:val="0"/>
                <w:sz w:val="22"/>
              </w:rPr>
              <w:t>6.7km</w:t>
            </w:r>
            <w:r>
              <w:rPr>
                <w:rFonts w:hint="eastAsia" w:cs="宋体"/>
                <w:kern w:val="0"/>
                <w:sz w:val="22"/>
              </w:rPr>
              <w:t>，均为改造段。</w:t>
            </w:r>
          </w:p>
        </w:tc>
      </w:tr>
      <w:tr>
        <w:tblPrEx>
          <w:tblCellMar>
            <w:top w:w="0" w:type="dxa"/>
            <w:left w:w="108" w:type="dxa"/>
            <w:bottom w:w="0" w:type="dxa"/>
            <w:right w:w="108" w:type="dxa"/>
          </w:tblCellMar>
        </w:tblPrEx>
        <w:trPr>
          <w:trHeight w:val="288"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21</w:t>
            </w:r>
          </w:p>
        </w:tc>
        <w:tc>
          <w:tcPr>
            <w:tcW w:w="244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hint="eastAsia" w:cs="Times New Roman"/>
                <w:kern w:val="0"/>
                <w:sz w:val="22"/>
              </w:rPr>
              <w:t>科学大道二期三标段</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道路工程</w:t>
            </w:r>
          </w:p>
        </w:tc>
        <w:tc>
          <w:tcPr>
            <w:tcW w:w="1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21</w:t>
            </w:r>
          </w:p>
        </w:tc>
        <w:tc>
          <w:tcPr>
            <w:tcW w:w="14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7</w:t>
            </w:r>
          </w:p>
        </w:tc>
        <w:tc>
          <w:tcPr>
            <w:tcW w:w="63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cs="宋体"/>
                <w:kern w:val="0"/>
                <w:sz w:val="22"/>
              </w:rPr>
            </w:pPr>
            <w:r>
              <w:rPr>
                <w:rFonts w:hint="eastAsia" w:cs="宋体"/>
                <w:kern w:val="0"/>
                <w:sz w:val="22"/>
              </w:rPr>
              <w:t>道路全长</w:t>
            </w:r>
            <w:r>
              <w:rPr>
                <w:rFonts w:cs="Times New Roman"/>
                <w:kern w:val="0"/>
                <w:sz w:val="22"/>
              </w:rPr>
              <w:t>4.5km</w:t>
            </w:r>
            <w:r>
              <w:rPr>
                <w:rFonts w:hint="eastAsia" w:cs="宋体"/>
                <w:kern w:val="0"/>
                <w:sz w:val="22"/>
              </w:rPr>
              <w:t>，宽</w:t>
            </w:r>
            <w:r>
              <w:rPr>
                <w:rFonts w:cs="Times New Roman"/>
                <w:kern w:val="0"/>
                <w:sz w:val="22"/>
              </w:rPr>
              <w:t>104m</w:t>
            </w:r>
            <w:r>
              <w:rPr>
                <w:rFonts w:hint="eastAsia" w:cs="宋体"/>
                <w:kern w:val="0"/>
                <w:sz w:val="22"/>
              </w:rPr>
              <w:t>，主路双向八车道，辅路双向六车道。</w:t>
            </w:r>
          </w:p>
        </w:tc>
      </w:tr>
      <w:tr>
        <w:tblPrEx>
          <w:tblCellMar>
            <w:top w:w="0" w:type="dxa"/>
            <w:left w:w="108" w:type="dxa"/>
            <w:bottom w:w="0" w:type="dxa"/>
            <w:right w:w="108" w:type="dxa"/>
          </w:tblCellMar>
        </w:tblPrEx>
        <w:trPr>
          <w:trHeight w:val="576"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22</w:t>
            </w:r>
          </w:p>
        </w:tc>
        <w:tc>
          <w:tcPr>
            <w:tcW w:w="179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★沿山大道一期</w:t>
            </w:r>
          </w:p>
        </w:tc>
        <w:tc>
          <w:tcPr>
            <w:tcW w:w="65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Ⅰ、Ⅱ、Ⅲ标段</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道路工程</w:t>
            </w:r>
          </w:p>
        </w:tc>
        <w:tc>
          <w:tcPr>
            <w:tcW w:w="1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46.4</w:t>
            </w:r>
          </w:p>
        </w:tc>
        <w:tc>
          <w:tcPr>
            <w:tcW w:w="14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12</w:t>
            </w:r>
          </w:p>
        </w:tc>
        <w:tc>
          <w:tcPr>
            <w:tcW w:w="63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kern w:val="0"/>
                <w:sz w:val="22"/>
              </w:rPr>
            </w:pPr>
            <w:r>
              <w:rPr>
                <w:rFonts w:hint="eastAsia" w:cs="Times New Roman"/>
                <w:kern w:val="0"/>
                <w:sz w:val="22"/>
              </w:rPr>
              <w:t>北起高腾大道，南至华岩隧道，长度</w:t>
            </w:r>
            <w:r>
              <w:rPr>
                <w:rFonts w:eastAsia="宋体" w:cs="Times New Roman"/>
                <w:kern w:val="0"/>
                <w:sz w:val="22"/>
              </w:rPr>
              <w:t>16km</w:t>
            </w:r>
            <w:r>
              <w:rPr>
                <w:rFonts w:hint="eastAsia" w:cs="Times New Roman"/>
                <w:kern w:val="0"/>
                <w:sz w:val="22"/>
              </w:rPr>
              <w:t>，城市主干路，双向八车道分为四个标段建设，一标段约</w:t>
            </w:r>
            <w:r>
              <w:rPr>
                <w:rFonts w:eastAsia="宋体" w:cs="Times New Roman"/>
                <w:kern w:val="0"/>
                <w:sz w:val="22"/>
              </w:rPr>
              <w:t>2km</w:t>
            </w:r>
            <w:r>
              <w:rPr>
                <w:rFonts w:hint="eastAsia" w:cs="Times New Roman"/>
                <w:kern w:val="0"/>
                <w:sz w:val="22"/>
              </w:rPr>
              <w:t>、二标段长约</w:t>
            </w:r>
            <w:r>
              <w:rPr>
                <w:rFonts w:eastAsia="宋体" w:cs="Times New Roman"/>
                <w:kern w:val="0"/>
                <w:sz w:val="22"/>
              </w:rPr>
              <w:t>4.86km</w:t>
            </w:r>
            <w:r>
              <w:rPr>
                <w:rFonts w:hint="eastAsia" w:cs="Times New Roman"/>
                <w:kern w:val="0"/>
                <w:sz w:val="22"/>
              </w:rPr>
              <w:t>、三标段约</w:t>
            </w:r>
            <w:r>
              <w:rPr>
                <w:rFonts w:eastAsia="宋体" w:cs="Times New Roman"/>
                <w:kern w:val="0"/>
                <w:sz w:val="22"/>
              </w:rPr>
              <w:t>4.96km</w:t>
            </w:r>
            <w:r>
              <w:rPr>
                <w:rFonts w:hint="eastAsia" w:cs="Times New Roman"/>
                <w:kern w:val="0"/>
                <w:sz w:val="22"/>
              </w:rPr>
              <w:t>。</w:t>
            </w:r>
          </w:p>
        </w:tc>
      </w:tr>
      <w:tr>
        <w:tblPrEx>
          <w:tblCellMar>
            <w:top w:w="0" w:type="dxa"/>
            <w:left w:w="108" w:type="dxa"/>
            <w:bottom w:w="0" w:type="dxa"/>
            <w:right w:w="108" w:type="dxa"/>
          </w:tblCellMar>
        </w:tblPrEx>
        <w:trPr>
          <w:trHeight w:val="288"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23</w:t>
            </w:r>
          </w:p>
        </w:tc>
        <w:tc>
          <w:tcPr>
            <w:tcW w:w="1792"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★沿山大道一期</w:t>
            </w:r>
          </w:p>
        </w:tc>
        <w:tc>
          <w:tcPr>
            <w:tcW w:w="65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Ⅳ四标段</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道路工程</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23</w:t>
            </w:r>
          </w:p>
        </w:tc>
        <w:tc>
          <w:tcPr>
            <w:tcW w:w="141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4.5</w:t>
            </w:r>
          </w:p>
        </w:tc>
        <w:tc>
          <w:tcPr>
            <w:tcW w:w="63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kern w:val="0"/>
                <w:sz w:val="22"/>
              </w:rPr>
            </w:pPr>
            <w:r>
              <w:rPr>
                <w:rFonts w:hint="eastAsia" w:cs="Times New Roman"/>
                <w:kern w:val="0"/>
                <w:sz w:val="22"/>
              </w:rPr>
              <w:t>南起高翔立交，北至西山立交，全长约</w:t>
            </w:r>
            <w:r>
              <w:rPr>
                <w:rFonts w:eastAsia="宋体" w:cs="Times New Roman"/>
                <w:kern w:val="0"/>
                <w:sz w:val="22"/>
              </w:rPr>
              <w:t>4.26km</w:t>
            </w:r>
            <w:r>
              <w:rPr>
                <w:rFonts w:hint="eastAsia" w:cs="Times New Roman"/>
                <w:kern w:val="0"/>
                <w:sz w:val="22"/>
              </w:rPr>
              <w:t>，城市主干路，主线双向</w:t>
            </w:r>
            <w:r>
              <w:rPr>
                <w:rFonts w:eastAsia="宋体" w:cs="Times New Roman"/>
                <w:kern w:val="0"/>
                <w:sz w:val="22"/>
              </w:rPr>
              <w:t>8</w:t>
            </w:r>
            <w:r>
              <w:rPr>
                <w:rFonts w:hint="eastAsia" w:cs="Times New Roman"/>
                <w:kern w:val="0"/>
                <w:sz w:val="22"/>
              </w:rPr>
              <w:t>车道，立交区主线为双向</w:t>
            </w:r>
            <w:r>
              <w:rPr>
                <w:rFonts w:eastAsia="宋体" w:cs="Times New Roman"/>
                <w:kern w:val="0"/>
                <w:sz w:val="22"/>
              </w:rPr>
              <w:t>6</w:t>
            </w:r>
            <w:r>
              <w:rPr>
                <w:rFonts w:hint="eastAsia" w:cs="Times New Roman"/>
                <w:kern w:val="0"/>
                <w:sz w:val="22"/>
              </w:rPr>
              <w:t>车道。</w:t>
            </w:r>
          </w:p>
        </w:tc>
      </w:tr>
      <w:tr>
        <w:tblPrEx>
          <w:tblCellMar>
            <w:top w:w="0" w:type="dxa"/>
            <w:left w:w="108" w:type="dxa"/>
            <w:bottom w:w="0" w:type="dxa"/>
            <w:right w:w="108" w:type="dxa"/>
          </w:tblCellMar>
        </w:tblPrEx>
        <w:trPr>
          <w:trHeight w:val="288"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79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65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r>
      <w:tr>
        <w:tblPrEx>
          <w:tblCellMar>
            <w:top w:w="0" w:type="dxa"/>
            <w:left w:w="108" w:type="dxa"/>
            <w:bottom w:w="0" w:type="dxa"/>
            <w:right w:w="108" w:type="dxa"/>
          </w:tblCellMar>
        </w:tblPrEx>
        <w:trPr>
          <w:trHeight w:val="576"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24</w:t>
            </w:r>
          </w:p>
        </w:tc>
        <w:tc>
          <w:tcPr>
            <w:tcW w:w="244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巴福大健康组团片区一、片区二路网一标段</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道路工程</w:t>
            </w:r>
          </w:p>
        </w:tc>
        <w:tc>
          <w:tcPr>
            <w:tcW w:w="1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25.8</w:t>
            </w:r>
          </w:p>
        </w:tc>
        <w:tc>
          <w:tcPr>
            <w:tcW w:w="14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w:t>
            </w:r>
          </w:p>
        </w:tc>
        <w:tc>
          <w:tcPr>
            <w:tcW w:w="63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kern w:val="0"/>
                <w:sz w:val="22"/>
              </w:rPr>
            </w:pPr>
            <w:r>
              <w:rPr>
                <w:rFonts w:hint="eastAsia" w:cs="Times New Roman"/>
                <w:kern w:val="0"/>
                <w:sz w:val="22"/>
              </w:rPr>
              <w:t>道路全长</w:t>
            </w:r>
            <w:r>
              <w:rPr>
                <w:rFonts w:eastAsia="宋体" w:cs="Times New Roman"/>
                <w:kern w:val="0"/>
                <w:sz w:val="22"/>
              </w:rPr>
              <w:t>16.73km</w:t>
            </w:r>
            <w:r>
              <w:rPr>
                <w:rFonts w:hint="eastAsia" w:cs="Times New Roman"/>
                <w:kern w:val="0"/>
                <w:sz w:val="22"/>
              </w:rPr>
              <w:t>，宽</w:t>
            </w:r>
            <w:r>
              <w:rPr>
                <w:rFonts w:eastAsia="宋体" w:cs="Times New Roman"/>
                <w:kern w:val="0"/>
                <w:sz w:val="22"/>
              </w:rPr>
              <w:t>16-47m,</w:t>
            </w:r>
            <w:r>
              <w:rPr>
                <w:rFonts w:hint="eastAsia" w:cs="Times New Roman"/>
                <w:kern w:val="0"/>
                <w:sz w:val="22"/>
              </w:rPr>
              <w:t>规划为双向二</w:t>
            </w:r>
            <w:r>
              <w:rPr>
                <w:rFonts w:eastAsia="宋体" w:cs="Times New Roman"/>
                <w:kern w:val="0"/>
                <w:sz w:val="22"/>
              </w:rPr>
              <w:t>-</w:t>
            </w:r>
            <w:r>
              <w:rPr>
                <w:rFonts w:hint="eastAsia" w:cs="Times New Roman"/>
                <w:kern w:val="0"/>
                <w:sz w:val="22"/>
              </w:rPr>
              <w:t>六车道，共计</w:t>
            </w:r>
            <w:r>
              <w:rPr>
                <w:rFonts w:eastAsia="宋体" w:cs="Times New Roman"/>
                <w:kern w:val="0"/>
                <w:sz w:val="22"/>
              </w:rPr>
              <w:t>21</w:t>
            </w:r>
            <w:r>
              <w:rPr>
                <w:rFonts w:hint="eastAsia" w:cs="Times New Roman"/>
                <w:kern w:val="0"/>
                <w:sz w:val="22"/>
              </w:rPr>
              <w:t>条；其中，支路</w:t>
            </w:r>
            <w:r>
              <w:rPr>
                <w:rFonts w:eastAsia="宋体" w:cs="Times New Roman"/>
                <w:kern w:val="0"/>
                <w:sz w:val="22"/>
              </w:rPr>
              <w:t>13</w:t>
            </w:r>
            <w:r>
              <w:rPr>
                <w:rFonts w:hint="eastAsia" w:cs="Times New Roman"/>
                <w:kern w:val="0"/>
                <w:sz w:val="22"/>
              </w:rPr>
              <w:t>条，次干路</w:t>
            </w:r>
            <w:r>
              <w:rPr>
                <w:rFonts w:eastAsia="宋体" w:cs="Times New Roman"/>
                <w:kern w:val="0"/>
                <w:sz w:val="22"/>
              </w:rPr>
              <w:t>6</w:t>
            </w:r>
            <w:r>
              <w:rPr>
                <w:rFonts w:hint="eastAsia" w:cs="Times New Roman"/>
                <w:kern w:val="0"/>
                <w:sz w:val="22"/>
              </w:rPr>
              <w:t>条，主干路</w:t>
            </w:r>
            <w:r>
              <w:rPr>
                <w:rFonts w:eastAsia="宋体" w:cs="Times New Roman"/>
                <w:kern w:val="0"/>
                <w:sz w:val="22"/>
              </w:rPr>
              <w:t>2</w:t>
            </w:r>
            <w:r>
              <w:rPr>
                <w:rFonts w:hint="eastAsia" w:cs="Times New Roman"/>
                <w:kern w:val="0"/>
                <w:sz w:val="22"/>
              </w:rPr>
              <w:t>条。</w:t>
            </w:r>
          </w:p>
        </w:tc>
      </w:tr>
      <w:tr>
        <w:tblPrEx>
          <w:tblCellMar>
            <w:top w:w="0" w:type="dxa"/>
            <w:left w:w="108" w:type="dxa"/>
            <w:bottom w:w="0" w:type="dxa"/>
            <w:right w:w="108" w:type="dxa"/>
          </w:tblCellMar>
        </w:tblPrEx>
        <w:trPr>
          <w:trHeight w:val="576"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25</w:t>
            </w:r>
          </w:p>
        </w:tc>
        <w:tc>
          <w:tcPr>
            <w:tcW w:w="244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曾家</w:t>
            </w:r>
            <w:r>
              <w:rPr>
                <w:rFonts w:cs="Times New Roman"/>
                <w:kern w:val="0"/>
                <w:sz w:val="22"/>
              </w:rPr>
              <w:t>“</w:t>
            </w:r>
            <w:r>
              <w:rPr>
                <w:rFonts w:hint="eastAsia" w:cs="宋体"/>
                <w:kern w:val="0"/>
                <w:sz w:val="22"/>
              </w:rPr>
              <w:t>科研港</w:t>
            </w:r>
            <w:r>
              <w:rPr>
                <w:rFonts w:cs="Times New Roman"/>
                <w:kern w:val="0"/>
                <w:sz w:val="22"/>
              </w:rPr>
              <w:t>”</w:t>
            </w:r>
            <w:r>
              <w:rPr>
                <w:rFonts w:hint="eastAsia" w:cs="宋体"/>
                <w:kern w:val="0"/>
                <w:sz w:val="22"/>
              </w:rPr>
              <w:t>片区一路网</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道路工程</w:t>
            </w:r>
          </w:p>
        </w:tc>
        <w:tc>
          <w:tcPr>
            <w:tcW w:w="1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20</w:t>
            </w:r>
          </w:p>
        </w:tc>
        <w:tc>
          <w:tcPr>
            <w:tcW w:w="14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5</w:t>
            </w:r>
          </w:p>
        </w:tc>
        <w:tc>
          <w:tcPr>
            <w:tcW w:w="63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kern w:val="0"/>
                <w:sz w:val="22"/>
              </w:rPr>
            </w:pPr>
            <w:r>
              <w:rPr>
                <w:rFonts w:hint="eastAsia" w:cs="Times New Roman"/>
                <w:kern w:val="0"/>
                <w:sz w:val="22"/>
              </w:rPr>
              <w:t>道路全长</w:t>
            </w:r>
            <w:r>
              <w:rPr>
                <w:rFonts w:eastAsia="宋体" w:cs="Times New Roman"/>
                <w:kern w:val="0"/>
                <w:sz w:val="22"/>
              </w:rPr>
              <w:t>31.86km</w:t>
            </w:r>
            <w:r>
              <w:rPr>
                <w:rFonts w:hint="eastAsia" w:cs="Times New Roman"/>
                <w:kern w:val="0"/>
                <w:sz w:val="22"/>
              </w:rPr>
              <w:t>，宽</w:t>
            </w:r>
            <w:r>
              <w:rPr>
                <w:rFonts w:eastAsia="宋体" w:cs="Times New Roman"/>
                <w:kern w:val="0"/>
                <w:sz w:val="22"/>
              </w:rPr>
              <w:t>16-44m</w:t>
            </w:r>
            <w:r>
              <w:rPr>
                <w:rFonts w:hint="eastAsia" w:cs="Times New Roman"/>
                <w:kern w:val="0"/>
                <w:sz w:val="22"/>
              </w:rPr>
              <w:t>，规划为双向二</w:t>
            </w:r>
            <w:r>
              <w:rPr>
                <w:rFonts w:eastAsia="宋体" w:cs="Times New Roman"/>
                <w:kern w:val="0"/>
                <w:sz w:val="22"/>
              </w:rPr>
              <w:t>-</w:t>
            </w:r>
            <w:r>
              <w:rPr>
                <w:rFonts w:hint="eastAsia" w:cs="Times New Roman"/>
                <w:kern w:val="0"/>
                <w:sz w:val="22"/>
              </w:rPr>
              <w:t>六车道，共计，</w:t>
            </w:r>
            <w:r>
              <w:rPr>
                <w:rFonts w:eastAsia="宋体" w:cs="Times New Roman"/>
                <w:kern w:val="0"/>
                <w:sz w:val="22"/>
              </w:rPr>
              <w:t>41</w:t>
            </w:r>
            <w:r>
              <w:rPr>
                <w:rFonts w:hint="eastAsia" w:cs="Times New Roman"/>
                <w:kern w:val="0"/>
                <w:sz w:val="22"/>
              </w:rPr>
              <w:t>条；其中，支路</w:t>
            </w:r>
            <w:r>
              <w:rPr>
                <w:rFonts w:eastAsia="宋体" w:cs="Times New Roman"/>
                <w:kern w:val="0"/>
                <w:sz w:val="22"/>
              </w:rPr>
              <w:t>21</w:t>
            </w:r>
            <w:r>
              <w:rPr>
                <w:rFonts w:hint="eastAsia" w:cs="Times New Roman"/>
                <w:kern w:val="0"/>
                <w:sz w:val="22"/>
              </w:rPr>
              <w:t>条，次干路</w:t>
            </w:r>
            <w:r>
              <w:rPr>
                <w:rFonts w:eastAsia="宋体" w:cs="Times New Roman"/>
                <w:kern w:val="0"/>
                <w:sz w:val="22"/>
              </w:rPr>
              <w:t>16</w:t>
            </w:r>
            <w:r>
              <w:rPr>
                <w:rFonts w:hint="eastAsia" w:cs="Times New Roman"/>
                <w:kern w:val="0"/>
                <w:sz w:val="22"/>
              </w:rPr>
              <w:t>条，主干路</w:t>
            </w:r>
            <w:r>
              <w:rPr>
                <w:rFonts w:eastAsia="宋体" w:cs="Times New Roman"/>
                <w:kern w:val="0"/>
                <w:sz w:val="22"/>
              </w:rPr>
              <w:t>4</w:t>
            </w:r>
            <w:r>
              <w:rPr>
                <w:rFonts w:hint="eastAsia" w:cs="Times New Roman"/>
                <w:kern w:val="0"/>
                <w:sz w:val="22"/>
              </w:rPr>
              <w:t>条。</w:t>
            </w:r>
          </w:p>
        </w:tc>
      </w:tr>
      <w:tr>
        <w:tblPrEx>
          <w:tblCellMar>
            <w:top w:w="0" w:type="dxa"/>
            <w:left w:w="108" w:type="dxa"/>
            <w:bottom w:w="0" w:type="dxa"/>
            <w:right w:w="108" w:type="dxa"/>
          </w:tblCellMar>
        </w:tblPrEx>
        <w:trPr>
          <w:trHeight w:val="86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26</w:t>
            </w:r>
          </w:p>
        </w:tc>
        <w:tc>
          <w:tcPr>
            <w:tcW w:w="244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★科学大道一期（中柱立交至狮子口立交段）</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道路工程</w:t>
            </w:r>
          </w:p>
        </w:tc>
        <w:tc>
          <w:tcPr>
            <w:tcW w:w="1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22</w:t>
            </w:r>
          </w:p>
        </w:tc>
        <w:tc>
          <w:tcPr>
            <w:tcW w:w="14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3</w:t>
            </w:r>
          </w:p>
        </w:tc>
        <w:tc>
          <w:tcPr>
            <w:tcW w:w="63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cs="宋体"/>
                <w:kern w:val="0"/>
                <w:sz w:val="22"/>
              </w:rPr>
            </w:pPr>
            <w:r>
              <w:rPr>
                <w:rFonts w:hint="eastAsia" w:cs="宋体"/>
                <w:kern w:val="0"/>
                <w:sz w:val="22"/>
              </w:rPr>
              <w:t>一期改造主线长度</w:t>
            </w:r>
            <w:r>
              <w:rPr>
                <w:rFonts w:cs="Times New Roman"/>
                <w:kern w:val="0"/>
                <w:sz w:val="22"/>
              </w:rPr>
              <w:t>10.5km</w:t>
            </w:r>
            <w:r>
              <w:rPr>
                <w:rFonts w:hint="eastAsia" w:cs="宋体"/>
                <w:kern w:val="0"/>
                <w:sz w:val="22"/>
              </w:rPr>
              <w:t>，双向辅路新建段长约</w:t>
            </w:r>
            <w:r>
              <w:rPr>
                <w:rFonts w:cs="Times New Roman"/>
                <w:kern w:val="0"/>
                <w:sz w:val="22"/>
              </w:rPr>
              <w:t>18.2km</w:t>
            </w:r>
            <w:r>
              <w:rPr>
                <w:rFonts w:hint="eastAsia" w:cs="宋体"/>
                <w:kern w:val="0"/>
                <w:sz w:val="22"/>
              </w:rPr>
              <w:t>，新建枢纽立交</w:t>
            </w:r>
            <w:r>
              <w:rPr>
                <w:rFonts w:cs="Times New Roman"/>
                <w:kern w:val="0"/>
                <w:sz w:val="22"/>
              </w:rPr>
              <w:t>1</w:t>
            </w:r>
            <w:r>
              <w:rPr>
                <w:rFonts w:hint="eastAsia" w:cs="宋体"/>
                <w:kern w:val="0"/>
                <w:sz w:val="22"/>
              </w:rPr>
              <w:t>座（狮子口立交），改建立交</w:t>
            </w:r>
            <w:r>
              <w:rPr>
                <w:rFonts w:cs="Times New Roman"/>
                <w:kern w:val="0"/>
                <w:sz w:val="22"/>
              </w:rPr>
              <w:t>2</w:t>
            </w:r>
            <w:r>
              <w:rPr>
                <w:rFonts w:hint="eastAsia" w:cs="宋体"/>
                <w:kern w:val="0"/>
                <w:sz w:val="22"/>
              </w:rPr>
              <w:t>座，科学谷上盖广场段隧道一座，长约</w:t>
            </w:r>
            <w:r>
              <w:rPr>
                <w:rFonts w:cs="Times New Roman"/>
                <w:kern w:val="0"/>
                <w:sz w:val="22"/>
              </w:rPr>
              <w:t>1km</w:t>
            </w:r>
            <w:r>
              <w:rPr>
                <w:rFonts w:hint="eastAsia" w:cs="宋体"/>
                <w:kern w:val="0"/>
                <w:sz w:val="22"/>
              </w:rPr>
              <w:t>，综合管廊总长约</w:t>
            </w:r>
            <w:r>
              <w:rPr>
                <w:rFonts w:cs="Times New Roman"/>
                <w:kern w:val="0"/>
                <w:sz w:val="22"/>
              </w:rPr>
              <w:t>10.5km</w:t>
            </w:r>
            <w:r>
              <w:rPr>
                <w:rFonts w:hint="eastAsia" w:cs="宋体"/>
                <w:kern w:val="0"/>
                <w:sz w:val="22"/>
              </w:rPr>
              <w:t>。</w:t>
            </w:r>
          </w:p>
        </w:tc>
      </w:tr>
      <w:tr>
        <w:tblPrEx>
          <w:tblCellMar>
            <w:top w:w="0" w:type="dxa"/>
            <w:left w:w="108" w:type="dxa"/>
            <w:bottom w:w="0" w:type="dxa"/>
            <w:right w:w="108" w:type="dxa"/>
          </w:tblCellMar>
        </w:tblPrEx>
        <w:trPr>
          <w:trHeight w:val="1728"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27</w:t>
            </w:r>
          </w:p>
        </w:tc>
        <w:tc>
          <w:tcPr>
            <w:tcW w:w="244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★高新大道改扩建工程</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道路工程</w:t>
            </w:r>
          </w:p>
        </w:tc>
        <w:tc>
          <w:tcPr>
            <w:tcW w:w="1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9</w:t>
            </w:r>
          </w:p>
        </w:tc>
        <w:tc>
          <w:tcPr>
            <w:tcW w:w="14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1.1</w:t>
            </w:r>
          </w:p>
        </w:tc>
        <w:tc>
          <w:tcPr>
            <w:tcW w:w="63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kern w:val="0"/>
                <w:sz w:val="22"/>
              </w:rPr>
            </w:pPr>
            <w:r>
              <w:rPr>
                <w:rFonts w:hint="eastAsia" w:cs="Times New Roman"/>
                <w:kern w:val="0"/>
                <w:sz w:val="22"/>
              </w:rPr>
              <w:t>高新大道景观提升，西起绕城高速下道金凤收费站，东至中梁山隧道洞口，对全线</w:t>
            </w:r>
            <w:r>
              <w:rPr>
                <w:rFonts w:eastAsia="宋体" w:cs="Times New Roman"/>
                <w:kern w:val="0"/>
                <w:sz w:val="22"/>
              </w:rPr>
              <w:t>9.5km</w:t>
            </w:r>
            <w:r>
              <w:rPr>
                <w:rFonts w:hint="eastAsia" w:cs="Times New Roman"/>
                <w:kern w:val="0"/>
                <w:sz w:val="22"/>
              </w:rPr>
              <w:t>附属设施品质提升、人行道及外侧景观打造及道路交通改造其中，对新金大道东至青龙咀立交西段约</w:t>
            </w:r>
            <w:r>
              <w:rPr>
                <w:rFonts w:eastAsia="宋体" w:cs="Times New Roman"/>
                <w:kern w:val="0"/>
                <w:sz w:val="22"/>
              </w:rPr>
              <w:t>4639.99m</w:t>
            </w:r>
            <w:r>
              <w:rPr>
                <w:rFonts w:hint="eastAsia" w:cs="Times New Roman"/>
                <w:kern w:val="0"/>
                <w:sz w:val="22"/>
              </w:rPr>
              <w:t>进行道路交通改造及景观品质提升，改造包含</w:t>
            </w:r>
            <w:r>
              <w:rPr>
                <w:rFonts w:eastAsia="宋体" w:cs="Times New Roman"/>
                <w:kern w:val="0"/>
                <w:sz w:val="22"/>
              </w:rPr>
              <w:t>3</w:t>
            </w:r>
            <w:r>
              <w:rPr>
                <w:rFonts w:hint="eastAsia" w:cs="Times New Roman"/>
                <w:kern w:val="0"/>
                <w:sz w:val="22"/>
              </w:rPr>
              <w:t>个菱形立交（与金志路、新州大道、青竹路节点）；</w:t>
            </w:r>
            <w:r>
              <w:rPr>
                <w:rFonts w:eastAsia="宋体" w:cs="Times New Roman"/>
                <w:kern w:val="0"/>
                <w:sz w:val="22"/>
              </w:rPr>
              <w:t>2</w:t>
            </w:r>
            <w:r>
              <w:rPr>
                <w:rFonts w:hint="eastAsia" w:cs="Times New Roman"/>
                <w:kern w:val="0"/>
                <w:sz w:val="22"/>
              </w:rPr>
              <w:t>座桥梁，总长约</w:t>
            </w:r>
            <w:r>
              <w:rPr>
                <w:rFonts w:eastAsia="宋体" w:cs="Times New Roman"/>
                <w:kern w:val="0"/>
                <w:sz w:val="22"/>
              </w:rPr>
              <w:t>260m</w:t>
            </w:r>
            <w:r>
              <w:rPr>
                <w:rFonts w:hint="eastAsia" w:cs="Times New Roman"/>
                <w:kern w:val="0"/>
                <w:sz w:val="22"/>
              </w:rPr>
              <w:t>（其中跨莲花滩河桥</w:t>
            </w:r>
            <w:r>
              <w:rPr>
                <w:rFonts w:eastAsia="宋体" w:cs="Times New Roman"/>
                <w:kern w:val="0"/>
                <w:sz w:val="22"/>
              </w:rPr>
              <w:t>1</w:t>
            </w:r>
            <w:r>
              <w:rPr>
                <w:rFonts w:hint="eastAsia" w:cs="Times New Roman"/>
                <w:kern w:val="0"/>
                <w:sz w:val="22"/>
              </w:rPr>
              <w:t>座）；</w:t>
            </w:r>
            <w:r>
              <w:rPr>
                <w:rFonts w:eastAsia="宋体" w:cs="Times New Roman"/>
                <w:kern w:val="0"/>
                <w:sz w:val="22"/>
              </w:rPr>
              <w:t>3</w:t>
            </w:r>
            <w:r>
              <w:rPr>
                <w:rFonts w:hint="eastAsia" w:cs="Times New Roman"/>
                <w:kern w:val="0"/>
                <w:sz w:val="22"/>
              </w:rPr>
              <w:t>座车行地通道，总长约</w:t>
            </w:r>
            <w:r>
              <w:rPr>
                <w:rFonts w:eastAsia="宋体" w:cs="Times New Roman"/>
                <w:kern w:val="0"/>
                <w:sz w:val="22"/>
              </w:rPr>
              <w:t>318m</w:t>
            </w:r>
            <w:r>
              <w:rPr>
                <w:rFonts w:hint="eastAsia" w:cs="Times New Roman"/>
                <w:kern w:val="0"/>
                <w:sz w:val="22"/>
              </w:rPr>
              <w:t>；</w:t>
            </w:r>
            <w:r>
              <w:rPr>
                <w:rFonts w:eastAsia="宋体" w:cs="Times New Roman"/>
                <w:kern w:val="0"/>
                <w:sz w:val="22"/>
              </w:rPr>
              <w:t>3</w:t>
            </w:r>
            <w:r>
              <w:rPr>
                <w:rFonts w:hint="eastAsia" w:cs="Times New Roman"/>
                <w:kern w:val="0"/>
                <w:sz w:val="22"/>
              </w:rPr>
              <w:t>座人行地通道。</w:t>
            </w:r>
          </w:p>
        </w:tc>
      </w:tr>
      <w:tr>
        <w:tblPrEx>
          <w:tblCellMar>
            <w:top w:w="0" w:type="dxa"/>
            <w:left w:w="108" w:type="dxa"/>
            <w:bottom w:w="0" w:type="dxa"/>
            <w:right w:w="108" w:type="dxa"/>
          </w:tblCellMar>
        </w:tblPrEx>
        <w:trPr>
          <w:trHeight w:val="115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28</w:t>
            </w:r>
          </w:p>
        </w:tc>
        <w:tc>
          <w:tcPr>
            <w:tcW w:w="244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国道</w:t>
            </w:r>
            <w:r>
              <w:rPr>
                <w:rFonts w:cs="Times New Roman"/>
                <w:kern w:val="0"/>
                <w:sz w:val="22"/>
              </w:rPr>
              <w:t>G212</w:t>
            </w:r>
            <w:r>
              <w:rPr>
                <w:rFonts w:hint="eastAsia" w:cs="宋体"/>
                <w:kern w:val="0"/>
                <w:sz w:val="22"/>
              </w:rPr>
              <w:t>园区路段（原九龙坡界至曾家段）改建项目</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道路工程</w:t>
            </w:r>
          </w:p>
        </w:tc>
        <w:tc>
          <w:tcPr>
            <w:tcW w:w="1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8.3</w:t>
            </w:r>
          </w:p>
        </w:tc>
        <w:tc>
          <w:tcPr>
            <w:tcW w:w="14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2.5</w:t>
            </w:r>
          </w:p>
        </w:tc>
        <w:tc>
          <w:tcPr>
            <w:tcW w:w="63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kern w:val="0"/>
                <w:sz w:val="22"/>
              </w:rPr>
            </w:pPr>
            <w:r>
              <w:rPr>
                <w:rFonts w:hint="eastAsia" w:cs="Times New Roman"/>
                <w:kern w:val="0"/>
                <w:sz w:val="22"/>
              </w:rPr>
              <w:t>项目起于金科廊桥水乡绕城下穿附近，止于曾家木材市场接新凤大道，里程约</w:t>
            </w:r>
            <w:r>
              <w:rPr>
                <w:rFonts w:eastAsia="宋体" w:cs="Times New Roman"/>
                <w:kern w:val="0"/>
                <w:sz w:val="22"/>
              </w:rPr>
              <w:t>8.5km</w:t>
            </w:r>
            <w:r>
              <w:rPr>
                <w:rFonts w:hint="eastAsia" w:cs="Times New Roman"/>
                <w:kern w:val="0"/>
                <w:sz w:val="22"/>
              </w:rPr>
              <w:t>，路基宽度</w:t>
            </w:r>
            <w:r>
              <w:rPr>
                <w:rFonts w:eastAsia="宋体" w:cs="Times New Roman"/>
                <w:kern w:val="0"/>
                <w:sz w:val="22"/>
              </w:rPr>
              <w:t>36m</w:t>
            </w:r>
            <w:r>
              <w:rPr>
                <w:rFonts w:hint="eastAsia" w:cs="Times New Roman"/>
                <w:kern w:val="0"/>
                <w:sz w:val="22"/>
              </w:rPr>
              <w:t>，双向</w:t>
            </w:r>
            <w:r>
              <w:rPr>
                <w:rFonts w:eastAsia="宋体" w:cs="Times New Roman"/>
                <w:kern w:val="0"/>
                <w:sz w:val="22"/>
              </w:rPr>
              <w:t>6</w:t>
            </w:r>
            <w:r>
              <w:rPr>
                <w:rFonts w:hint="eastAsia" w:cs="Times New Roman"/>
                <w:kern w:val="0"/>
                <w:sz w:val="22"/>
              </w:rPr>
              <w:t>车道，工程内容包括路基工程，路面工程、交通标线标志标牌、安全防护设施、电子警察、监控、桥涵、雨污水管网、路灯、慢行系统、人行道、绿化工程、综合管廊等。</w:t>
            </w:r>
          </w:p>
        </w:tc>
      </w:tr>
      <w:tr>
        <w:tblPrEx>
          <w:tblCellMar>
            <w:top w:w="0" w:type="dxa"/>
            <w:left w:w="108" w:type="dxa"/>
            <w:bottom w:w="0" w:type="dxa"/>
            <w:right w:w="108" w:type="dxa"/>
          </w:tblCellMar>
        </w:tblPrEx>
        <w:trPr>
          <w:trHeight w:val="576"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29</w:t>
            </w:r>
          </w:p>
        </w:tc>
        <w:tc>
          <w:tcPr>
            <w:tcW w:w="244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★新森大道（凤湖路至高龙大道）道路工程</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道路工程</w:t>
            </w:r>
          </w:p>
        </w:tc>
        <w:tc>
          <w:tcPr>
            <w:tcW w:w="1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9</w:t>
            </w:r>
          </w:p>
        </w:tc>
        <w:tc>
          <w:tcPr>
            <w:tcW w:w="14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1.5</w:t>
            </w:r>
          </w:p>
        </w:tc>
        <w:tc>
          <w:tcPr>
            <w:tcW w:w="63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kern w:val="0"/>
                <w:sz w:val="22"/>
              </w:rPr>
            </w:pPr>
            <w:r>
              <w:rPr>
                <w:rFonts w:hint="eastAsia" w:cs="Times New Roman"/>
                <w:kern w:val="0"/>
                <w:sz w:val="22"/>
              </w:rPr>
              <w:t>道路全长</w:t>
            </w:r>
            <w:r>
              <w:rPr>
                <w:rFonts w:eastAsia="宋体" w:cs="Times New Roman"/>
                <w:kern w:val="0"/>
                <w:sz w:val="22"/>
              </w:rPr>
              <w:t>2506.139m</w:t>
            </w:r>
            <w:r>
              <w:rPr>
                <w:rFonts w:hint="eastAsia" w:cs="Times New Roman"/>
                <w:kern w:val="0"/>
                <w:sz w:val="22"/>
              </w:rPr>
              <w:t>，双向八车道。隧道全长</w:t>
            </w:r>
            <w:r>
              <w:rPr>
                <w:rFonts w:eastAsia="宋体" w:cs="Times New Roman"/>
                <w:kern w:val="0"/>
                <w:sz w:val="22"/>
              </w:rPr>
              <w:t>790m</w:t>
            </w:r>
            <w:r>
              <w:rPr>
                <w:rFonts w:hint="eastAsia" w:cs="Times New Roman"/>
                <w:kern w:val="0"/>
                <w:sz w:val="22"/>
              </w:rPr>
              <w:t>，其中明挖段长</w:t>
            </w:r>
            <w:r>
              <w:rPr>
                <w:rFonts w:eastAsia="宋体" w:cs="Times New Roman"/>
                <w:kern w:val="0"/>
                <w:sz w:val="22"/>
              </w:rPr>
              <w:t>480m</w:t>
            </w:r>
            <w:r>
              <w:rPr>
                <w:rFonts w:hint="eastAsia" w:cs="Times New Roman"/>
                <w:kern w:val="0"/>
                <w:sz w:val="22"/>
              </w:rPr>
              <w:t>，为双连拱双向八车道隧道，单洞净宽</w:t>
            </w:r>
            <w:r>
              <w:rPr>
                <w:rFonts w:eastAsia="宋体" w:cs="Times New Roman"/>
                <w:kern w:val="0"/>
                <w:sz w:val="22"/>
              </w:rPr>
              <w:t>16.5m</w:t>
            </w:r>
            <w:r>
              <w:rPr>
                <w:rFonts w:hint="eastAsia" w:cs="Times New Roman"/>
                <w:kern w:val="0"/>
                <w:sz w:val="22"/>
              </w:rPr>
              <w:t>。</w:t>
            </w:r>
          </w:p>
        </w:tc>
      </w:tr>
      <w:tr>
        <w:tblPrEx>
          <w:tblCellMar>
            <w:top w:w="0" w:type="dxa"/>
            <w:left w:w="108" w:type="dxa"/>
            <w:bottom w:w="0" w:type="dxa"/>
            <w:right w:w="108" w:type="dxa"/>
          </w:tblCellMar>
        </w:tblPrEx>
        <w:trPr>
          <w:trHeight w:val="576"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30</w:t>
            </w:r>
          </w:p>
        </w:tc>
        <w:tc>
          <w:tcPr>
            <w:tcW w:w="244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★高新区北区大学城南路及立交改造工程一期</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道路工程</w:t>
            </w:r>
          </w:p>
        </w:tc>
        <w:tc>
          <w:tcPr>
            <w:tcW w:w="1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7</w:t>
            </w:r>
          </w:p>
        </w:tc>
        <w:tc>
          <w:tcPr>
            <w:tcW w:w="14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1.1</w:t>
            </w:r>
          </w:p>
        </w:tc>
        <w:tc>
          <w:tcPr>
            <w:tcW w:w="63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kern w:val="0"/>
                <w:sz w:val="22"/>
              </w:rPr>
            </w:pPr>
            <w:r>
              <w:rPr>
                <w:rFonts w:hint="eastAsia" w:cs="Times New Roman"/>
                <w:kern w:val="0"/>
                <w:sz w:val="22"/>
              </w:rPr>
              <w:t>大学城南路改造长度</w:t>
            </w:r>
            <w:r>
              <w:rPr>
                <w:rFonts w:eastAsia="宋体" w:cs="Times New Roman"/>
                <w:kern w:val="0"/>
                <w:sz w:val="22"/>
              </w:rPr>
              <w:t>6km</w:t>
            </w:r>
            <w:r>
              <w:rPr>
                <w:rFonts w:hint="eastAsia" w:cs="Times New Roman"/>
                <w:kern w:val="0"/>
                <w:sz w:val="22"/>
              </w:rPr>
              <w:t>，由双向四车道改造为双向六车道，涉及新建</w:t>
            </w:r>
            <w:r>
              <w:rPr>
                <w:rFonts w:eastAsia="宋体" w:cs="Times New Roman"/>
                <w:kern w:val="0"/>
                <w:sz w:val="22"/>
              </w:rPr>
              <w:t>2</w:t>
            </w:r>
            <w:r>
              <w:rPr>
                <w:rFonts w:hint="eastAsia" w:cs="Times New Roman"/>
                <w:kern w:val="0"/>
                <w:sz w:val="22"/>
              </w:rPr>
              <w:t>座立交。</w:t>
            </w:r>
          </w:p>
        </w:tc>
      </w:tr>
      <w:tr>
        <w:tblPrEx>
          <w:tblCellMar>
            <w:top w:w="0" w:type="dxa"/>
            <w:left w:w="108" w:type="dxa"/>
            <w:bottom w:w="0" w:type="dxa"/>
            <w:right w:w="108" w:type="dxa"/>
          </w:tblCellMar>
        </w:tblPrEx>
        <w:trPr>
          <w:trHeight w:val="288"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31</w:t>
            </w:r>
          </w:p>
        </w:tc>
        <w:tc>
          <w:tcPr>
            <w:tcW w:w="24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曾家</w:t>
            </w:r>
            <w:r>
              <w:rPr>
                <w:rFonts w:cs="Times New Roman"/>
                <w:kern w:val="0"/>
                <w:sz w:val="22"/>
              </w:rPr>
              <w:t>“</w:t>
            </w:r>
            <w:r>
              <w:rPr>
                <w:rFonts w:hint="eastAsia" w:cs="宋体"/>
                <w:kern w:val="0"/>
                <w:sz w:val="22"/>
              </w:rPr>
              <w:t>科研港</w:t>
            </w:r>
            <w:r>
              <w:rPr>
                <w:rFonts w:cs="Times New Roman"/>
                <w:kern w:val="0"/>
                <w:sz w:val="22"/>
              </w:rPr>
              <w:t>”</w:t>
            </w:r>
            <w:r>
              <w:rPr>
                <w:rFonts w:hint="eastAsia" w:cs="宋体"/>
                <w:kern w:val="0"/>
                <w:sz w:val="22"/>
              </w:rPr>
              <w:t>片区二路网、金凤</w:t>
            </w:r>
            <w:r>
              <w:rPr>
                <w:rFonts w:cs="Times New Roman"/>
                <w:kern w:val="0"/>
                <w:sz w:val="22"/>
              </w:rPr>
              <w:t>“</w:t>
            </w:r>
            <w:r>
              <w:rPr>
                <w:rFonts w:hint="eastAsia" w:cs="宋体"/>
                <w:kern w:val="0"/>
                <w:sz w:val="22"/>
              </w:rPr>
              <w:t>科技岛</w:t>
            </w:r>
            <w:r>
              <w:rPr>
                <w:rFonts w:cs="Times New Roman"/>
                <w:kern w:val="0"/>
                <w:sz w:val="22"/>
              </w:rPr>
              <w:t>”</w:t>
            </w:r>
            <w:r>
              <w:rPr>
                <w:rFonts w:hint="eastAsia" w:cs="宋体"/>
                <w:kern w:val="0"/>
                <w:sz w:val="22"/>
              </w:rPr>
              <w:t>片区路网及含谷</w:t>
            </w:r>
            <w:r>
              <w:rPr>
                <w:rFonts w:cs="Times New Roman"/>
                <w:kern w:val="0"/>
                <w:sz w:val="22"/>
              </w:rPr>
              <w:t>“</w:t>
            </w:r>
            <w:r>
              <w:rPr>
                <w:rFonts w:hint="eastAsia" w:cs="宋体"/>
                <w:kern w:val="0"/>
                <w:sz w:val="22"/>
              </w:rPr>
              <w:t>科学谷</w:t>
            </w:r>
            <w:r>
              <w:rPr>
                <w:rFonts w:cs="Times New Roman"/>
                <w:kern w:val="0"/>
                <w:sz w:val="22"/>
              </w:rPr>
              <w:t>”</w:t>
            </w:r>
            <w:r>
              <w:rPr>
                <w:rFonts w:hint="eastAsia" w:cs="宋体"/>
                <w:kern w:val="0"/>
                <w:sz w:val="22"/>
              </w:rPr>
              <w:t>片区路网工程一标段</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道路工程</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43</w:t>
            </w:r>
          </w:p>
        </w:tc>
        <w:tc>
          <w:tcPr>
            <w:tcW w:w="141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w:t>
            </w:r>
          </w:p>
        </w:tc>
        <w:tc>
          <w:tcPr>
            <w:tcW w:w="63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kern w:val="0"/>
                <w:sz w:val="22"/>
              </w:rPr>
            </w:pPr>
            <w:r>
              <w:rPr>
                <w:rFonts w:hint="eastAsia" w:cs="Times New Roman"/>
                <w:kern w:val="0"/>
                <w:sz w:val="22"/>
              </w:rPr>
              <w:t>道路全长</w:t>
            </w:r>
            <w:r>
              <w:rPr>
                <w:rFonts w:eastAsia="宋体" w:cs="Times New Roman"/>
                <w:kern w:val="0"/>
                <w:sz w:val="22"/>
              </w:rPr>
              <w:t>19km</w:t>
            </w:r>
            <w:r>
              <w:rPr>
                <w:rFonts w:hint="eastAsia" w:cs="Times New Roman"/>
                <w:kern w:val="0"/>
                <w:sz w:val="22"/>
              </w:rPr>
              <w:t>，宽</w:t>
            </w:r>
            <w:r>
              <w:rPr>
                <w:rFonts w:eastAsia="宋体" w:cs="Times New Roman"/>
                <w:kern w:val="0"/>
                <w:sz w:val="22"/>
              </w:rPr>
              <w:t>16-47m</w:t>
            </w:r>
            <w:r>
              <w:rPr>
                <w:rFonts w:hint="eastAsia" w:cs="Times New Roman"/>
                <w:kern w:val="0"/>
                <w:sz w:val="22"/>
              </w:rPr>
              <w:t>，规划为双向二</w:t>
            </w:r>
            <w:r>
              <w:rPr>
                <w:rFonts w:eastAsia="宋体" w:cs="Times New Roman"/>
                <w:kern w:val="0"/>
                <w:sz w:val="22"/>
              </w:rPr>
              <w:t>-</w:t>
            </w:r>
            <w:r>
              <w:rPr>
                <w:rFonts w:hint="eastAsia" w:cs="Times New Roman"/>
                <w:kern w:val="0"/>
                <w:sz w:val="22"/>
              </w:rPr>
              <w:t>六车道，共计</w:t>
            </w:r>
            <w:r>
              <w:rPr>
                <w:rFonts w:eastAsia="宋体" w:cs="Times New Roman"/>
                <w:kern w:val="0"/>
                <w:sz w:val="22"/>
              </w:rPr>
              <w:t>28</w:t>
            </w:r>
            <w:r>
              <w:rPr>
                <w:rFonts w:hint="eastAsia" w:cs="Times New Roman"/>
                <w:kern w:val="0"/>
                <w:sz w:val="22"/>
              </w:rPr>
              <w:t>条；其中，支路</w:t>
            </w:r>
            <w:r>
              <w:rPr>
                <w:rFonts w:eastAsia="宋体" w:cs="Times New Roman"/>
                <w:kern w:val="0"/>
                <w:sz w:val="22"/>
              </w:rPr>
              <w:t>21</w:t>
            </w:r>
            <w:r>
              <w:rPr>
                <w:rFonts w:hint="eastAsia" w:cs="Times New Roman"/>
                <w:kern w:val="0"/>
                <w:sz w:val="22"/>
              </w:rPr>
              <w:t>条，次干路</w:t>
            </w:r>
            <w:r>
              <w:rPr>
                <w:rFonts w:eastAsia="宋体" w:cs="Times New Roman"/>
                <w:kern w:val="0"/>
                <w:sz w:val="22"/>
              </w:rPr>
              <w:t>5</w:t>
            </w:r>
            <w:r>
              <w:rPr>
                <w:rFonts w:hint="eastAsia" w:cs="Times New Roman"/>
                <w:kern w:val="0"/>
                <w:sz w:val="22"/>
              </w:rPr>
              <w:t>条，主干路</w:t>
            </w:r>
            <w:r>
              <w:rPr>
                <w:rFonts w:eastAsia="宋体" w:cs="Times New Roman"/>
                <w:kern w:val="0"/>
                <w:sz w:val="22"/>
              </w:rPr>
              <w:t>2</w:t>
            </w:r>
            <w:r>
              <w:rPr>
                <w:rFonts w:hint="eastAsia" w:cs="Times New Roman"/>
                <w:kern w:val="0"/>
                <w:sz w:val="22"/>
              </w:rPr>
              <w:t>条。</w:t>
            </w:r>
          </w:p>
        </w:tc>
      </w:tr>
      <w:tr>
        <w:tblPrEx>
          <w:tblCellMar>
            <w:top w:w="0" w:type="dxa"/>
            <w:left w:w="108" w:type="dxa"/>
            <w:bottom w:w="0" w:type="dxa"/>
            <w:right w:w="108" w:type="dxa"/>
          </w:tblCellMar>
        </w:tblPrEx>
        <w:trPr>
          <w:trHeight w:val="2516"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24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r>
      <w:tr>
        <w:tblPrEx>
          <w:tblCellMar>
            <w:top w:w="0" w:type="dxa"/>
            <w:left w:w="108" w:type="dxa"/>
            <w:bottom w:w="0" w:type="dxa"/>
            <w:right w:w="108" w:type="dxa"/>
          </w:tblCellMar>
        </w:tblPrEx>
        <w:trPr>
          <w:trHeight w:val="1508"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32</w:t>
            </w:r>
          </w:p>
        </w:tc>
        <w:tc>
          <w:tcPr>
            <w:tcW w:w="244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★科学城人才社区一期</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公共服务配套</w:t>
            </w:r>
          </w:p>
        </w:tc>
        <w:tc>
          <w:tcPr>
            <w:tcW w:w="1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7.7</w:t>
            </w:r>
          </w:p>
        </w:tc>
        <w:tc>
          <w:tcPr>
            <w:tcW w:w="14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3.9</w:t>
            </w:r>
          </w:p>
        </w:tc>
        <w:tc>
          <w:tcPr>
            <w:tcW w:w="63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cs="宋体"/>
                <w:kern w:val="0"/>
                <w:sz w:val="22"/>
              </w:rPr>
            </w:pPr>
            <w:r>
              <w:rPr>
                <w:rFonts w:hint="eastAsia" w:cs="宋体"/>
                <w:kern w:val="0"/>
                <w:sz w:val="22"/>
              </w:rPr>
              <w:t>占地约</w:t>
            </w:r>
            <w:r>
              <w:rPr>
                <w:rFonts w:cs="Times New Roman"/>
                <w:kern w:val="0"/>
                <w:sz w:val="22"/>
              </w:rPr>
              <w:t>40</w:t>
            </w:r>
            <w:r>
              <w:rPr>
                <w:rFonts w:hint="eastAsia" w:cs="宋体"/>
                <w:kern w:val="0"/>
                <w:sz w:val="22"/>
              </w:rPr>
              <w:t>亩，总建筑面积约</w:t>
            </w:r>
            <w:r>
              <w:rPr>
                <w:rFonts w:cs="Times New Roman"/>
                <w:kern w:val="0"/>
                <w:sz w:val="22"/>
              </w:rPr>
              <w:t>6</w:t>
            </w:r>
            <w:r>
              <w:rPr>
                <w:rFonts w:hint="eastAsia" w:cs="宋体"/>
                <w:kern w:val="0"/>
                <w:sz w:val="22"/>
              </w:rPr>
              <w:t>万平方米。</w:t>
            </w:r>
          </w:p>
        </w:tc>
      </w:tr>
      <w:tr>
        <w:tblPrEx>
          <w:tblCellMar>
            <w:top w:w="0" w:type="dxa"/>
            <w:left w:w="108" w:type="dxa"/>
            <w:bottom w:w="0" w:type="dxa"/>
            <w:right w:w="108" w:type="dxa"/>
          </w:tblCellMar>
        </w:tblPrEx>
        <w:trPr>
          <w:trHeight w:val="103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33</w:t>
            </w:r>
          </w:p>
        </w:tc>
        <w:tc>
          <w:tcPr>
            <w:tcW w:w="244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hint="eastAsia" w:cs="Times New Roman"/>
                <w:kern w:val="0"/>
                <w:sz w:val="22"/>
              </w:rPr>
              <w:t>科学城人才社区二期</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公共服务配套</w:t>
            </w:r>
          </w:p>
        </w:tc>
        <w:tc>
          <w:tcPr>
            <w:tcW w:w="1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37</w:t>
            </w:r>
          </w:p>
        </w:tc>
        <w:tc>
          <w:tcPr>
            <w:tcW w:w="14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2.5</w:t>
            </w:r>
          </w:p>
        </w:tc>
        <w:tc>
          <w:tcPr>
            <w:tcW w:w="63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cs="宋体"/>
                <w:kern w:val="0"/>
                <w:sz w:val="22"/>
              </w:rPr>
            </w:pPr>
            <w:r>
              <w:rPr>
                <w:rFonts w:hint="eastAsia" w:cs="宋体"/>
                <w:kern w:val="0"/>
                <w:sz w:val="22"/>
              </w:rPr>
              <w:t>占地约</w:t>
            </w:r>
            <w:r>
              <w:rPr>
                <w:rFonts w:cs="Times New Roman"/>
                <w:kern w:val="0"/>
                <w:sz w:val="22"/>
              </w:rPr>
              <w:t>180</w:t>
            </w:r>
            <w:r>
              <w:rPr>
                <w:rFonts w:hint="eastAsia" w:cs="宋体"/>
                <w:kern w:val="0"/>
                <w:sz w:val="22"/>
              </w:rPr>
              <w:t>亩，总建筑面积约</w:t>
            </w:r>
            <w:r>
              <w:rPr>
                <w:rFonts w:cs="Times New Roman"/>
                <w:kern w:val="0"/>
                <w:sz w:val="22"/>
              </w:rPr>
              <w:t>24</w:t>
            </w:r>
            <w:r>
              <w:rPr>
                <w:rFonts w:hint="eastAsia" w:cs="宋体"/>
                <w:kern w:val="0"/>
                <w:sz w:val="22"/>
              </w:rPr>
              <w:t>万平方米。</w:t>
            </w:r>
          </w:p>
        </w:tc>
      </w:tr>
      <w:tr>
        <w:tblPrEx>
          <w:tblCellMar>
            <w:top w:w="0" w:type="dxa"/>
            <w:left w:w="108" w:type="dxa"/>
            <w:bottom w:w="0" w:type="dxa"/>
            <w:right w:w="108" w:type="dxa"/>
          </w:tblCellMar>
        </w:tblPrEx>
        <w:trPr>
          <w:trHeight w:val="288"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34</w:t>
            </w:r>
          </w:p>
        </w:tc>
        <w:tc>
          <w:tcPr>
            <w:tcW w:w="24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★北京师范大学重庆科学城实验学校</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公共服务配套</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26.5</w:t>
            </w:r>
          </w:p>
        </w:tc>
        <w:tc>
          <w:tcPr>
            <w:tcW w:w="141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10</w:t>
            </w:r>
          </w:p>
        </w:tc>
        <w:tc>
          <w:tcPr>
            <w:tcW w:w="63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cs="宋体"/>
                <w:kern w:val="0"/>
                <w:sz w:val="22"/>
              </w:rPr>
            </w:pPr>
            <w:r>
              <w:rPr>
                <w:rFonts w:hint="eastAsia" w:cs="宋体"/>
                <w:kern w:val="0"/>
                <w:sz w:val="22"/>
              </w:rPr>
              <w:t>项目占地面积约</w:t>
            </w:r>
            <w:r>
              <w:rPr>
                <w:rFonts w:cs="Times New Roman"/>
                <w:kern w:val="0"/>
                <w:sz w:val="22"/>
              </w:rPr>
              <w:t>23.39</w:t>
            </w:r>
            <w:r>
              <w:rPr>
                <w:rFonts w:hint="eastAsia" w:cs="宋体"/>
                <w:kern w:val="0"/>
                <w:sz w:val="22"/>
              </w:rPr>
              <w:t>万平方米，总建筑面积约</w:t>
            </w:r>
            <w:r>
              <w:rPr>
                <w:rFonts w:cs="Times New Roman"/>
                <w:kern w:val="0"/>
                <w:sz w:val="22"/>
              </w:rPr>
              <w:t>30</w:t>
            </w:r>
            <w:r>
              <w:rPr>
                <w:rFonts w:hint="eastAsia" w:cs="宋体"/>
                <w:kern w:val="0"/>
                <w:sz w:val="22"/>
              </w:rPr>
              <w:t>万平方米，建设内容包括土石方平场、土建、给排水、强弱电、消防工程、暖通工程、人防工程、绿建节能、装配式建筑、环境景观、装修、智慧校园、电梯、空调、设施设备采购等。其中，土石方平场为一期工程。</w:t>
            </w:r>
          </w:p>
        </w:tc>
      </w:tr>
      <w:tr>
        <w:tblPrEx>
          <w:tblCellMar>
            <w:top w:w="0" w:type="dxa"/>
            <w:left w:w="108" w:type="dxa"/>
            <w:bottom w:w="0" w:type="dxa"/>
            <w:right w:w="108" w:type="dxa"/>
          </w:tblCellMar>
        </w:tblPrEx>
        <w:trPr>
          <w:trHeight w:val="1875"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24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r>
      <w:tr>
        <w:tblPrEx>
          <w:tblCellMar>
            <w:top w:w="0" w:type="dxa"/>
            <w:left w:w="108" w:type="dxa"/>
            <w:bottom w:w="0" w:type="dxa"/>
            <w:right w:w="108" w:type="dxa"/>
          </w:tblCellMar>
        </w:tblPrEx>
        <w:trPr>
          <w:trHeight w:val="288"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35</w:t>
            </w:r>
          </w:p>
        </w:tc>
        <w:tc>
          <w:tcPr>
            <w:tcW w:w="24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华中师范大学重庆学校</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公共服务配套</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22</w:t>
            </w:r>
          </w:p>
        </w:tc>
        <w:tc>
          <w:tcPr>
            <w:tcW w:w="141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8</w:t>
            </w:r>
          </w:p>
        </w:tc>
        <w:tc>
          <w:tcPr>
            <w:tcW w:w="63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cs="宋体"/>
                <w:kern w:val="0"/>
                <w:sz w:val="22"/>
              </w:rPr>
            </w:pPr>
            <w:r>
              <w:rPr>
                <w:rFonts w:hint="eastAsia" w:cs="宋体"/>
                <w:kern w:val="0"/>
                <w:sz w:val="22"/>
              </w:rPr>
              <w:t>项目占地面积约</w:t>
            </w:r>
            <w:r>
              <w:rPr>
                <w:rFonts w:cs="Times New Roman"/>
                <w:kern w:val="0"/>
                <w:sz w:val="22"/>
              </w:rPr>
              <w:t>18.26</w:t>
            </w:r>
            <w:r>
              <w:rPr>
                <w:rFonts w:hint="eastAsia" w:cs="宋体"/>
                <w:kern w:val="0"/>
                <w:sz w:val="22"/>
              </w:rPr>
              <w:t>万平方米，总建筑面积约</w:t>
            </w:r>
            <w:r>
              <w:rPr>
                <w:rFonts w:cs="Times New Roman"/>
                <w:kern w:val="0"/>
                <w:sz w:val="22"/>
              </w:rPr>
              <w:t>24</w:t>
            </w:r>
            <w:r>
              <w:rPr>
                <w:rFonts w:hint="eastAsia" w:cs="宋体"/>
                <w:kern w:val="0"/>
                <w:sz w:val="22"/>
              </w:rPr>
              <w:t>万平方米，建设内容包括土石方平场、土建、给排水、强弱电、消防工程、暖通工程、人防工程、绿建节能、装配式建筑、环境景观、装修、智慧校园、电梯、空调、设施设备采购等。其中，土石方平场为一期工程。</w:t>
            </w:r>
          </w:p>
        </w:tc>
      </w:tr>
      <w:tr>
        <w:tblPrEx>
          <w:tblCellMar>
            <w:top w:w="0" w:type="dxa"/>
            <w:left w:w="108" w:type="dxa"/>
            <w:bottom w:w="0" w:type="dxa"/>
            <w:right w:w="108" w:type="dxa"/>
          </w:tblCellMar>
        </w:tblPrEx>
        <w:trPr>
          <w:trHeight w:val="288"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24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r>
      <w:tr>
        <w:tblPrEx>
          <w:tblCellMar>
            <w:top w:w="0" w:type="dxa"/>
            <w:left w:w="108" w:type="dxa"/>
            <w:bottom w:w="0" w:type="dxa"/>
            <w:right w:w="108" w:type="dxa"/>
          </w:tblCellMar>
        </w:tblPrEx>
        <w:trPr>
          <w:trHeight w:val="86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36</w:t>
            </w:r>
          </w:p>
        </w:tc>
        <w:tc>
          <w:tcPr>
            <w:tcW w:w="244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金凤佳园改造工程</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公共服务配套</w:t>
            </w:r>
          </w:p>
        </w:tc>
        <w:tc>
          <w:tcPr>
            <w:tcW w:w="1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w:t>
            </w:r>
          </w:p>
        </w:tc>
        <w:tc>
          <w:tcPr>
            <w:tcW w:w="14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0.8</w:t>
            </w:r>
          </w:p>
        </w:tc>
        <w:tc>
          <w:tcPr>
            <w:tcW w:w="63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cs="宋体"/>
                <w:kern w:val="0"/>
                <w:sz w:val="22"/>
              </w:rPr>
            </w:pPr>
            <w:r>
              <w:rPr>
                <w:rFonts w:hint="eastAsia" w:cs="宋体"/>
                <w:kern w:val="0"/>
                <w:sz w:val="22"/>
              </w:rPr>
              <w:t>高新区人才公寓使用金凤佳园</w:t>
            </w:r>
            <w:r>
              <w:rPr>
                <w:rFonts w:cs="Times New Roman"/>
                <w:kern w:val="0"/>
                <w:sz w:val="22"/>
              </w:rPr>
              <w:t>E</w:t>
            </w:r>
            <w:r>
              <w:rPr>
                <w:rFonts w:hint="eastAsia" w:cs="宋体"/>
                <w:kern w:val="0"/>
                <w:sz w:val="22"/>
              </w:rPr>
              <w:t>组团</w:t>
            </w:r>
            <w:r>
              <w:rPr>
                <w:rFonts w:cs="Times New Roman"/>
                <w:kern w:val="0"/>
                <w:sz w:val="22"/>
              </w:rPr>
              <w:t>5</w:t>
            </w:r>
            <w:r>
              <w:rPr>
                <w:rFonts w:hint="eastAsia" w:cs="宋体"/>
                <w:kern w:val="0"/>
                <w:sz w:val="22"/>
              </w:rPr>
              <w:t>栋楼房屋进行改造，总建筑面积约</w:t>
            </w:r>
            <w:r>
              <w:rPr>
                <w:rFonts w:cs="Times New Roman"/>
                <w:kern w:val="0"/>
                <w:sz w:val="22"/>
              </w:rPr>
              <w:t>10</w:t>
            </w:r>
            <w:r>
              <w:rPr>
                <w:rFonts w:hint="eastAsia" w:cs="宋体"/>
                <w:kern w:val="0"/>
                <w:sz w:val="22"/>
              </w:rPr>
              <w:t>万㎡，改造总户数</w:t>
            </w:r>
            <w:r>
              <w:rPr>
                <w:rFonts w:cs="Times New Roman"/>
                <w:kern w:val="0"/>
                <w:sz w:val="22"/>
              </w:rPr>
              <w:t>1152</w:t>
            </w:r>
            <w:r>
              <w:rPr>
                <w:rFonts w:hint="eastAsia" w:cs="宋体"/>
                <w:kern w:val="0"/>
                <w:sz w:val="22"/>
              </w:rPr>
              <w:t>套，其中：一房户型</w:t>
            </w:r>
            <w:r>
              <w:rPr>
                <w:rFonts w:cs="Times New Roman"/>
                <w:kern w:val="0"/>
                <w:sz w:val="22"/>
              </w:rPr>
              <w:t>320</w:t>
            </w:r>
            <w:r>
              <w:rPr>
                <w:rFonts w:hint="eastAsia" w:cs="宋体"/>
                <w:kern w:val="0"/>
                <w:sz w:val="22"/>
              </w:rPr>
              <w:t>套、两房户型</w:t>
            </w:r>
            <w:r>
              <w:rPr>
                <w:rFonts w:cs="Times New Roman"/>
                <w:kern w:val="0"/>
                <w:sz w:val="22"/>
              </w:rPr>
              <w:t>832</w:t>
            </w:r>
            <w:r>
              <w:rPr>
                <w:rFonts w:hint="eastAsia" w:cs="宋体"/>
                <w:kern w:val="0"/>
                <w:sz w:val="22"/>
              </w:rPr>
              <w:t>套。建设内容包括室内、建筑外立面、室外环境升级改造等工程。</w:t>
            </w:r>
          </w:p>
        </w:tc>
      </w:tr>
      <w:tr>
        <w:tblPrEx>
          <w:tblCellMar>
            <w:top w:w="0" w:type="dxa"/>
            <w:left w:w="108" w:type="dxa"/>
            <w:bottom w:w="0" w:type="dxa"/>
            <w:right w:w="108" w:type="dxa"/>
          </w:tblCellMar>
        </w:tblPrEx>
        <w:trPr>
          <w:trHeight w:val="288"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37</w:t>
            </w:r>
          </w:p>
        </w:tc>
        <w:tc>
          <w:tcPr>
            <w:tcW w:w="24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重庆大学附属肿瘤医院科学城院区建设项目</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公共服务配套</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53</w:t>
            </w:r>
          </w:p>
        </w:tc>
        <w:tc>
          <w:tcPr>
            <w:tcW w:w="141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5.7</w:t>
            </w:r>
          </w:p>
        </w:tc>
        <w:tc>
          <w:tcPr>
            <w:tcW w:w="63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kern w:val="0"/>
                <w:sz w:val="22"/>
              </w:rPr>
            </w:pPr>
            <w:r>
              <w:rPr>
                <w:rFonts w:hint="eastAsia" w:cs="Times New Roman"/>
                <w:kern w:val="0"/>
                <w:sz w:val="22"/>
              </w:rPr>
              <w:t>占地</w:t>
            </w:r>
            <w:r>
              <w:rPr>
                <w:rFonts w:eastAsia="宋体" w:cs="Times New Roman"/>
                <w:kern w:val="0"/>
                <w:sz w:val="22"/>
              </w:rPr>
              <w:t>280</w:t>
            </w:r>
            <w:r>
              <w:rPr>
                <w:rFonts w:hint="eastAsia" w:cs="Times New Roman"/>
                <w:kern w:val="0"/>
                <w:sz w:val="22"/>
              </w:rPr>
              <w:t>亩，建筑面积约</w:t>
            </w:r>
            <w:r>
              <w:rPr>
                <w:rFonts w:eastAsia="宋体" w:cs="Times New Roman"/>
                <w:kern w:val="0"/>
                <w:sz w:val="22"/>
              </w:rPr>
              <w:t>46</w:t>
            </w:r>
            <w:r>
              <w:rPr>
                <w:rFonts w:hint="eastAsia" w:cs="Times New Roman"/>
                <w:kern w:val="0"/>
                <w:sz w:val="22"/>
              </w:rPr>
              <w:t>万平方米，设立病床</w:t>
            </w:r>
            <w:r>
              <w:rPr>
                <w:rFonts w:eastAsia="宋体" w:cs="Times New Roman"/>
                <w:kern w:val="0"/>
                <w:sz w:val="22"/>
              </w:rPr>
              <w:t>2500</w:t>
            </w:r>
            <w:r>
              <w:rPr>
                <w:rFonts w:hint="eastAsia" w:cs="Times New Roman"/>
                <w:kern w:val="0"/>
                <w:sz w:val="22"/>
              </w:rPr>
              <w:t>张。建设成以肿瘤治疗、预防为特色的综合三甲国际医院。</w:t>
            </w:r>
          </w:p>
        </w:tc>
      </w:tr>
      <w:tr>
        <w:tblPrEx>
          <w:tblCellMar>
            <w:top w:w="0" w:type="dxa"/>
            <w:left w:w="108" w:type="dxa"/>
            <w:bottom w:w="0" w:type="dxa"/>
            <w:right w:w="108" w:type="dxa"/>
          </w:tblCellMar>
        </w:tblPrEx>
        <w:trPr>
          <w:trHeight w:val="288"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24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r>
      <w:tr>
        <w:tblPrEx>
          <w:tblCellMar>
            <w:top w:w="0" w:type="dxa"/>
            <w:left w:w="108" w:type="dxa"/>
            <w:bottom w:w="0" w:type="dxa"/>
            <w:right w:w="108" w:type="dxa"/>
          </w:tblCellMar>
        </w:tblPrEx>
        <w:trPr>
          <w:trHeight w:val="288"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38</w:t>
            </w:r>
          </w:p>
        </w:tc>
        <w:tc>
          <w:tcPr>
            <w:tcW w:w="24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重庆市第四人民医院（急救医疗中心）科学城院区</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公共服务配套</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22</w:t>
            </w:r>
          </w:p>
        </w:tc>
        <w:tc>
          <w:tcPr>
            <w:tcW w:w="141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w:t>
            </w:r>
          </w:p>
        </w:tc>
        <w:tc>
          <w:tcPr>
            <w:tcW w:w="63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kern w:val="0"/>
                <w:sz w:val="22"/>
              </w:rPr>
            </w:pPr>
            <w:r>
              <w:rPr>
                <w:rFonts w:hint="eastAsia" w:cs="Times New Roman"/>
                <w:kern w:val="0"/>
                <w:sz w:val="22"/>
              </w:rPr>
              <w:t>规划建设建筑</w:t>
            </w:r>
            <w:r>
              <w:rPr>
                <w:rFonts w:eastAsia="宋体" w:cs="Times New Roman"/>
                <w:kern w:val="0"/>
                <w:sz w:val="22"/>
              </w:rPr>
              <w:t>22</w:t>
            </w:r>
            <w:r>
              <w:rPr>
                <w:rFonts w:hint="eastAsia" w:cs="Times New Roman"/>
                <w:kern w:val="0"/>
                <w:sz w:val="22"/>
              </w:rPr>
              <w:t>万平方米，设床位约</w:t>
            </w:r>
            <w:r>
              <w:rPr>
                <w:rFonts w:eastAsia="宋体" w:cs="Times New Roman"/>
                <w:kern w:val="0"/>
                <w:sz w:val="22"/>
              </w:rPr>
              <w:t>1500</w:t>
            </w:r>
            <w:r>
              <w:rPr>
                <w:rFonts w:hint="eastAsia" w:cs="Times New Roman"/>
                <w:kern w:val="0"/>
                <w:sz w:val="22"/>
              </w:rPr>
              <w:t>张，总投资约</w:t>
            </w:r>
            <w:r>
              <w:rPr>
                <w:rFonts w:eastAsia="宋体" w:cs="Times New Roman"/>
                <w:kern w:val="0"/>
                <w:sz w:val="22"/>
              </w:rPr>
              <w:t>22</w:t>
            </w:r>
            <w:r>
              <w:rPr>
                <w:rFonts w:hint="eastAsia" w:cs="Times New Roman"/>
                <w:kern w:val="0"/>
                <w:sz w:val="22"/>
              </w:rPr>
              <w:t>亿元，计划建设总周期为</w:t>
            </w:r>
            <w:r>
              <w:rPr>
                <w:rFonts w:eastAsia="宋体" w:cs="Times New Roman"/>
                <w:kern w:val="0"/>
                <w:sz w:val="22"/>
              </w:rPr>
              <w:t>36-60</w:t>
            </w:r>
            <w:r>
              <w:rPr>
                <w:rFonts w:hint="eastAsia" w:cs="Times New Roman"/>
                <w:kern w:val="0"/>
                <w:sz w:val="22"/>
              </w:rPr>
              <w:t>个月，分两期实施。按照</w:t>
            </w:r>
            <w:r>
              <w:rPr>
                <w:rFonts w:eastAsia="宋体" w:cs="Times New Roman"/>
                <w:kern w:val="0"/>
                <w:sz w:val="22"/>
              </w:rPr>
              <w:t>“</w:t>
            </w:r>
            <w:r>
              <w:rPr>
                <w:rFonts w:hint="eastAsia" w:cs="Times New Roman"/>
                <w:kern w:val="0"/>
                <w:sz w:val="22"/>
              </w:rPr>
              <w:t>一院三中心</w:t>
            </w:r>
            <w:r>
              <w:rPr>
                <w:rFonts w:eastAsia="宋体" w:cs="Times New Roman"/>
                <w:kern w:val="0"/>
                <w:sz w:val="22"/>
              </w:rPr>
              <w:t>”</w:t>
            </w:r>
            <w:r>
              <w:rPr>
                <w:rFonts w:hint="eastAsia" w:cs="Times New Roman"/>
                <w:kern w:val="0"/>
                <w:sz w:val="22"/>
              </w:rPr>
              <w:t>（</w:t>
            </w:r>
            <w:r>
              <w:rPr>
                <w:rFonts w:eastAsia="宋体" w:cs="Times New Roman"/>
                <w:kern w:val="0"/>
                <w:sz w:val="22"/>
              </w:rPr>
              <w:t>“</w:t>
            </w:r>
            <w:r>
              <w:rPr>
                <w:rFonts w:hint="eastAsia" w:cs="Times New Roman"/>
                <w:kern w:val="0"/>
                <w:sz w:val="22"/>
              </w:rPr>
              <w:t>一院</w:t>
            </w:r>
            <w:r>
              <w:rPr>
                <w:rFonts w:eastAsia="宋体" w:cs="Times New Roman"/>
                <w:kern w:val="0"/>
                <w:sz w:val="22"/>
              </w:rPr>
              <w:t>”</w:t>
            </w:r>
            <w:r>
              <w:rPr>
                <w:rFonts w:hint="eastAsia" w:cs="Times New Roman"/>
                <w:kern w:val="0"/>
                <w:sz w:val="22"/>
              </w:rPr>
              <w:t>是指：综合三甲医院，为区域提供高质量综合医疗服务；</w:t>
            </w:r>
            <w:r>
              <w:rPr>
                <w:rFonts w:eastAsia="宋体" w:cs="Times New Roman"/>
                <w:kern w:val="0"/>
                <w:sz w:val="22"/>
              </w:rPr>
              <w:t>“</w:t>
            </w:r>
            <w:r>
              <w:rPr>
                <w:rFonts w:hint="eastAsia" w:cs="Times New Roman"/>
                <w:kern w:val="0"/>
                <w:sz w:val="22"/>
              </w:rPr>
              <w:t>三中心</w:t>
            </w:r>
            <w:r>
              <w:rPr>
                <w:rFonts w:eastAsia="宋体" w:cs="Times New Roman"/>
                <w:kern w:val="0"/>
                <w:sz w:val="22"/>
              </w:rPr>
              <w:t>”</w:t>
            </w:r>
            <w:r>
              <w:rPr>
                <w:rFonts w:hint="eastAsia" w:cs="Times New Roman"/>
                <w:kern w:val="0"/>
                <w:sz w:val="22"/>
              </w:rPr>
              <w:t>是指：医学研究中心，医学培训、教学和科普中心，紧急医学救援中心）的理念建设。</w:t>
            </w:r>
          </w:p>
        </w:tc>
      </w:tr>
      <w:tr>
        <w:tblPrEx>
          <w:tblCellMar>
            <w:top w:w="0" w:type="dxa"/>
            <w:left w:w="108" w:type="dxa"/>
            <w:bottom w:w="0" w:type="dxa"/>
            <w:right w:w="108" w:type="dxa"/>
          </w:tblCellMar>
        </w:tblPrEx>
        <w:trPr>
          <w:trHeight w:val="288"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24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r>
      <w:tr>
        <w:tblPrEx>
          <w:tblCellMar>
            <w:top w:w="0" w:type="dxa"/>
            <w:left w:w="108" w:type="dxa"/>
            <w:bottom w:w="0" w:type="dxa"/>
            <w:right w:w="108" w:type="dxa"/>
          </w:tblCellMar>
        </w:tblPrEx>
        <w:trPr>
          <w:trHeight w:val="288"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39</w:t>
            </w:r>
          </w:p>
        </w:tc>
        <w:tc>
          <w:tcPr>
            <w:tcW w:w="24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重庆高新区疾控中心及二级综合医院</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公共服务配套</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 xml:space="preserve">9 </w:t>
            </w:r>
          </w:p>
        </w:tc>
        <w:tc>
          <w:tcPr>
            <w:tcW w:w="141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w:t>
            </w:r>
          </w:p>
        </w:tc>
        <w:tc>
          <w:tcPr>
            <w:tcW w:w="63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cs="宋体"/>
                <w:kern w:val="0"/>
                <w:sz w:val="22"/>
              </w:rPr>
            </w:pPr>
            <w:r>
              <w:rPr>
                <w:rFonts w:hint="eastAsia" w:cs="宋体"/>
                <w:kern w:val="0"/>
                <w:sz w:val="22"/>
              </w:rPr>
              <w:t>重庆高新区疾控中心建筑面积约</w:t>
            </w:r>
            <w:r>
              <w:rPr>
                <w:rFonts w:cs="Times New Roman"/>
                <w:kern w:val="0"/>
                <w:sz w:val="22"/>
              </w:rPr>
              <w:t>9900</w:t>
            </w:r>
            <w:r>
              <w:rPr>
                <w:rFonts w:hint="eastAsia" w:cs="宋体"/>
                <w:kern w:val="0"/>
                <w:sz w:val="22"/>
              </w:rPr>
              <w:t>平方米，微生物、理化实验室等约</w:t>
            </w:r>
            <w:r>
              <w:rPr>
                <w:rFonts w:cs="Times New Roman"/>
                <w:kern w:val="0"/>
                <w:sz w:val="22"/>
              </w:rPr>
              <w:t>4000</w:t>
            </w:r>
            <w:r>
              <w:rPr>
                <w:rFonts w:hint="eastAsia" w:cs="宋体"/>
                <w:kern w:val="0"/>
                <w:sz w:val="22"/>
              </w:rPr>
              <w:t>平方米，共用业务用房、办公用心、配套用房、地下建筑用房等约</w:t>
            </w:r>
            <w:r>
              <w:rPr>
                <w:rFonts w:cs="Times New Roman"/>
                <w:kern w:val="0"/>
                <w:sz w:val="22"/>
              </w:rPr>
              <w:t>5900</w:t>
            </w:r>
            <w:r>
              <w:rPr>
                <w:rFonts w:hint="eastAsia" w:cs="宋体"/>
                <w:kern w:val="0"/>
                <w:sz w:val="22"/>
              </w:rPr>
              <w:t>平方米，实施设施设备、配套设施等。科学城第一人民医院，建筑面积为</w:t>
            </w:r>
            <w:r>
              <w:rPr>
                <w:rFonts w:cs="Times New Roman"/>
                <w:kern w:val="0"/>
                <w:sz w:val="22"/>
              </w:rPr>
              <w:t>45200</w:t>
            </w:r>
            <w:r>
              <w:rPr>
                <w:rFonts w:hint="eastAsia" w:cs="宋体"/>
                <w:kern w:val="0"/>
                <w:sz w:val="22"/>
              </w:rPr>
              <w:t>平方米，床位数设置为</w:t>
            </w:r>
            <w:r>
              <w:rPr>
                <w:rFonts w:cs="Times New Roman"/>
                <w:kern w:val="0"/>
                <w:sz w:val="22"/>
              </w:rPr>
              <w:t>400</w:t>
            </w:r>
            <w:r>
              <w:rPr>
                <w:rFonts w:hint="eastAsia" w:cs="宋体"/>
                <w:kern w:val="0"/>
                <w:sz w:val="22"/>
              </w:rPr>
              <w:t>床。</w:t>
            </w:r>
          </w:p>
        </w:tc>
      </w:tr>
      <w:tr>
        <w:tblPrEx>
          <w:tblCellMar>
            <w:top w:w="0" w:type="dxa"/>
            <w:left w:w="108" w:type="dxa"/>
            <w:bottom w:w="0" w:type="dxa"/>
            <w:right w:w="108" w:type="dxa"/>
          </w:tblCellMar>
        </w:tblPrEx>
        <w:trPr>
          <w:trHeight w:val="288"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24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r>
      <w:tr>
        <w:tblPrEx>
          <w:tblCellMar>
            <w:top w:w="0" w:type="dxa"/>
            <w:left w:w="108" w:type="dxa"/>
            <w:bottom w:w="0" w:type="dxa"/>
            <w:right w:w="108" w:type="dxa"/>
          </w:tblCellMar>
        </w:tblPrEx>
        <w:trPr>
          <w:trHeight w:val="576"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40</w:t>
            </w:r>
          </w:p>
        </w:tc>
        <w:tc>
          <w:tcPr>
            <w:tcW w:w="244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★四川外国语大学重庆科学城中学校</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公共服务配套</w:t>
            </w:r>
          </w:p>
        </w:tc>
        <w:tc>
          <w:tcPr>
            <w:tcW w:w="1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8.1</w:t>
            </w:r>
          </w:p>
        </w:tc>
        <w:tc>
          <w:tcPr>
            <w:tcW w:w="14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w:t>
            </w:r>
          </w:p>
        </w:tc>
        <w:tc>
          <w:tcPr>
            <w:tcW w:w="63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kern w:val="0"/>
                <w:sz w:val="22"/>
              </w:rPr>
            </w:pPr>
            <w:r>
              <w:rPr>
                <w:rFonts w:hint="eastAsia" w:cs="Times New Roman"/>
                <w:kern w:val="0"/>
                <w:sz w:val="22"/>
              </w:rPr>
              <w:t>占地约</w:t>
            </w:r>
            <w:r>
              <w:rPr>
                <w:rFonts w:eastAsia="宋体" w:cs="Times New Roman"/>
                <w:kern w:val="0"/>
                <w:sz w:val="22"/>
              </w:rPr>
              <w:t>94</w:t>
            </w:r>
            <w:r>
              <w:rPr>
                <w:rFonts w:hint="eastAsia" w:cs="Times New Roman"/>
                <w:kern w:val="0"/>
                <w:sz w:val="22"/>
              </w:rPr>
              <w:t>亩，建设高完中，总建筑面积约</w:t>
            </w:r>
            <w:r>
              <w:rPr>
                <w:rFonts w:eastAsia="宋体" w:cs="Times New Roman"/>
                <w:kern w:val="0"/>
                <w:sz w:val="22"/>
              </w:rPr>
              <w:t>11</w:t>
            </w:r>
            <w:r>
              <w:rPr>
                <w:rFonts w:hint="eastAsia" w:cs="Times New Roman"/>
                <w:kern w:val="0"/>
                <w:sz w:val="22"/>
              </w:rPr>
              <w:t>万㎡，办学规模为</w:t>
            </w:r>
            <w:r>
              <w:rPr>
                <w:rFonts w:eastAsia="宋体" w:cs="Times New Roman"/>
                <w:kern w:val="0"/>
                <w:sz w:val="22"/>
              </w:rPr>
              <w:t>60</w:t>
            </w:r>
            <w:r>
              <w:rPr>
                <w:rFonts w:hint="eastAsia" w:cs="Times New Roman"/>
                <w:kern w:val="0"/>
                <w:sz w:val="22"/>
              </w:rPr>
              <w:t>个教学班。</w:t>
            </w:r>
          </w:p>
        </w:tc>
      </w:tr>
      <w:tr>
        <w:tblPrEx>
          <w:tblCellMar>
            <w:top w:w="0" w:type="dxa"/>
            <w:left w:w="108" w:type="dxa"/>
            <w:bottom w:w="0" w:type="dxa"/>
            <w:right w:w="108" w:type="dxa"/>
          </w:tblCellMar>
        </w:tblPrEx>
        <w:trPr>
          <w:trHeight w:val="288"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41</w:t>
            </w:r>
          </w:p>
        </w:tc>
        <w:tc>
          <w:tcPr>
            <w:tcW w:w="24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西部（重庆）科学城梁滩河生态治理修复及绿色循环工程</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生态水利</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34.6</w:t>
            </w:r>
          </w:p>
        </w:tc>
        <w:tc>
          <w:tcPr>
            <w:tcW w:w="141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3</w:t>
            </w:r>
          </w:p>
        </w:tc>
        <w:tc>
          <w:tcPr>
            <w:tcW w:w="63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kern w:val="0"/>
                <w:sz w:val="22"/>
              </w:rPr>
            </w:pPr>
            <w:r>
              <w:rPr>
                <w:rFonts w:hint="eastAsia" w:cs="Times New Roman"/>
                <w:kern w:val="0"/>
                <w:sz w:val="22"/>
              </w:rPr>
              <w:t>梁滩河河流域项目、虎溪河流域项目、大溪河流域项目、资源能源综合利用项目、智慧水务项目等六部分组成，涵盖截污干管、市政雨污水管网、小区管网、污水处理设施、补水设施、河道综合整治、湿地保护、分布式能源站、固体废物综合处置与资源化利用中心、智慧停车场、智慧水务管理系统等建设内容。</w:t>
            </w:r>
          </w:p>
        </w:tc>
      </w:tr>
      <w:tr>
        <w:tblPrEx>
          <w:tblCellMar>
            <w:top w:w="0" w:type="dxa"/>
            <w:left w:w="108" w:type="dxa"/>
            <w:bottom w:w="0" w:type="dxa"/>
            <w:right w:w="108" w:type="dxa"/>
          </w:tblCellMar>
        </w:tblPrEx>
        <w:trPr>
          <w:trHeight w:val="288"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24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r>
      <w:tr>
        <w:tblPrEx>
          <w:tblCellMar>
            <w:top w:w="0" w:type="dxa"/>
            <w:left w:w="108" w:type="dxa"/>
            <w:bottom w:w="0" w:type="dxa"/>
            <w:right w:w="108" w:type="dxa"/>
          </w:tblCellMar>
        </w:tblPrEx>
        <w:trPr>
          <w:trHeight w:val="288"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42</w:t>
            </w:r>
          </w:p>
        </w:tc>
        <w:tc>
          <w:tcPr>
            <w:tcW w:w="24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科学公园一期</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生态水利</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19</w:t>
            </w:r>
          </w:p>
        </w:tc>
        <w:tc>
          <w:tcPr>
            <w:tcW w:w="141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5</w:t>
            </w:r>
          </w:p>
        </w:tc>
        <w:tc>
          <w:tcPr>
            <w:tcW w:w="63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cs="宋体"/>
                <w:kern w:val="0"/>
                <w:sz w:val="22"/>
              </w:rPr>
            </w:pPr>
            <w:r>
              <w:rPr>
                <w:rFonts w:hint="eastAsia" w:cs="宋体"/>
                <w:kern w:val="0"/>
                <w:sz w:val="22"/>
              </w:rPr>
              <w:t>新建占地</w:t>
            </w:r>
            <w:r>
              <w:rPr>
                <w:rFonts w:cs="Times New Roman"/>
                <w:kern w:val="0"/>
                <w:sz w:val="22"/>
              </w:rPr>
              <w:t>2700</w:t>
            </w:r>
            <w:r>
              <w:rPr>
                <w:rFonts w:hint="eastAsia" w:cs="宋体"/>
                <w:kern w:val="0"/>
                <w:sz w:val="22"/>
              </w:rPr>
              <w:t>亩左右的主题公园，总长约</w:t>
            </w:r>
            <w:r>
              <w:rPr>
                <w:rFonts w:cs="Times New Roman"/>
                <w:kern w:val="0"/>
                <w:sz w:val="22"/>
              </w:rPr>
              <w:t>16</w:t>
            </w:r>
            <w:r>
              <w:rPr>
                <w:rFonts w:hint="eastAsia" w:cs="宋体"/>
                <w:kern w:val="0"/>
                <w:sz w:val="22"/>
              </w:rPr>
              <w:t>公里的公园配套公路，停车位约</w:t>
            </w:r>
            <w:r>
              <w:rPr>
                <w:rFonts w:cs="Times New Roman"/>
                <w:kern w:val="0"/>
                <w:sz w:val="22"/>
              </w:rPr>
              <w:t>1600</w:t>
            </w:r>
            <w:r>
              <w:rPr>
                <w:rFonts w:hint="eastAsia" w:cs="宋体"/>
                <w:kern w:val="0"/>
                <w:sz w:val="22"/>
              </w:rPr>
              <w:t>个的配套停车场。</w:t>
            </w:r>
          </w:p>
        </w:tc>
      </w:tr>
      <w:tr>
        <w:tblPrEx>
          <w:tblCellMar>
            <w:top w:w="0" w:type="dxa"/>
            <w:left w:w="108" w:type="dxa"/>
            <w:bottom w:w="0" w:type="dxa"/>
            <w:right w:w="108" w:type="dxa"/>
          </w:tblCellMar>
        </w:tblPrEx>
        <w:trPr>
          <w:trHeight w:val="288"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24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r>
      <w:tr>
        <w:tblPrEx>
          <w:tblCellMar>
            <w:top w:w="0" w:type="dxa"/>
            <w:left w:w="108" w:type="dxa"/>
            <w:bottom w:w="0" w:type="dxa"/>
            <w:right w:w="108" w:type="dxa"/>
          </w:tblCellMar>
        </w:tblPrEx>
        <w:trPr>
          <w:trHeight w:val="86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43</w:t>
            </w:r>
          </w:p>
        </w:tc>
        <w:tc>
          <w:tcPr>
            <w:tcW w:w="244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★科学城生态水系示范工程项目一期</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生态水利</w:t>
            </w:r>
          </w:p>
        </w:tc>
        <w:tc>
          <w:tcPr>
            <w:tcW w:w="1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2.3</w:t>
            </w:r>
          </w:p>
        </w:tc>
        <w:tc>
          <w:tcPr>
            <w:tcW w:w="14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0.7</w:t>
            </w:r>
          </w:p>
        </w:tc>
        <w:tc>
          <w:tcPr>
            <w:tcW w:w="63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cs="宋体"/>
                <w:kern w:val="0"/>
                <w:sz w:val="22"/>
              </w:rPr>
            </w:pPr>
            <w:r>
              <w:rPr>
                <w:rFonts w:hint="eastAsia" w:cs="宋体"/>
                <w:kern w:val="0"/>
                <w:sz w:val="22"/>
              </w:rPr>
              <w:t>包含梁滩河干流白市驿含谷片区点源污染控制工程；虎溪河支流点源污染控制工程、内源污染控制工程；莲花滩河支流曾家片区、金凤片区、走马片区点源污染控制工程、内源污染控制工程。</w:t>
            </w:r>
          </w:p>
        </w:tc>
      </w:tr>
      <w:tr>
        <w:tblPrEx>
          <w:tblCellMar>
            <w:top w:w="0" w:type="dxa"/>
            <w:left w:w="108" w:type="dxa"/>
            <w:bottom w:w="0" w:type="dxa"/>
            <w:right w:w="108" w:type="dxa"/>
          </w:tblCellMar>
        </w:tblPrEx>
        <w:trPr>
          <w:trHeight w:val="288"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44</w:t>
            </w:r>
          </w:p>
        </w:tc>
        <w:tc>
          <w:tcPr>
            <w:tcW w:w="24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中子科学基地建设项目</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产业发展</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10</w:t>
            </w:r>
          </w:p>
        </w:tc>
        <w:tc>
          <w:tcPr>
            <w:tcW w:w="141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1.5</w:t>
            </w:r>
          </w:p>
        </w:tc>
        <w:tc>
          <w:tcPr>
            <w:tcW w:w="63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cs="宋体"/>
                <w:kern w:val="0"/>
                <w:sz w:val="22"/>
              </w:rPr>
            </w:pPr>
            <w:r>
              <w:rPr>
                <w:rFonts w:hint="eastAsia" w:cs="宋体"/>
                <w:kern w:val="0"/>
                <w:sz w:val="22"/>
              </w:rPr>
              <w:t>本项目总投资约</w:t>
            </w:r>
            <w:r>
              <w:rPr>
                <w:rFonts w:cs="Times New Roman"/>
                <w:kern w:val="0"/>
                <w:sz w:val="22"/>
              </w:rPr>
              <w:t>10</w:t>
            </w:r>
            <w:r>
              <w:rPr>
                <w:rFonts w:hint="eastAsia" w:cs="宋体"/>
                <w:kern w:val="0"/>
                <w:sz w:val="22"/>
              </w:rPr>
              <w:t>亿元，拟在巴福镇片区摘地约</w:t>
            </w:r>
            <w:r>
              <w:rPr>
                <w:rFonts w:cs="Times New Roman"/>
                <w:kern w:val="0"/>
                <w:sz w:val="22"/>
              </w:rPr>
              <w:t>92</w:t>
            </w:r>
            <w:r>
              <w:rPr>
                <w:rFonts w:hint="eastAsia" w:cs="宋体"/>
                <w:kern w:val="0"/>
                <w:sz w:val="22"/>
              </w:rPr>
              <w:t>亩，建设载体约</w:t>
            </w:r>
            <w:r>
              <w:rPr>
                <w:rFonts w:cs="Times New Roman"/>
                <w:kern w:val="0"/>
                <w:sz w:val="22"/>
              </w:rPr>
              <w:t>138000</w:t>
            </w:r>
            <w:r>
              <w:rPr>
                <w:rFonts w:hint="eastAsia" w:cs="宋体"/>
                <w:kern w:val="0"/>
                <w:sz w:val="22"/>
              </w:rPr>
              <w:t>平方米，项目建成后将以搭建中子科学核心，培育引入产业链相关企业，形成中子产业新高地，打造国际化高端研发机构。</w:t>
            </w:r>
          </w:p>
        </w:tc>
      </w:tr>
      <w:tr>
        <w:tblPrEx>
          <w:tblCellMar>
            <w:top w:w="0" w:type="dxa"/>
            <w:left w:w="108" w:type="dxa"/>
            <w:bottom w:w="0" w:type="dxa"/>
            <w:right w:w="108" w:type="dxa"/>
          </w:tblCellMar>
        </w:tblPrEx>
        <w:trPr>
          <w:trHeight w:val="1330"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24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r>
      <w:tr>
        <w:tblPrEx>
          <w:tblCellMar>
            <w:top w:w="0" w:type="dxa"/>
            <w:left w:w="108" w:type="dxa"/>
            <w:bottom w:w="0" w:type="dxa"/>
            <w:right w:w="108" w:type="dxa"/>
          </w:tblCellMar>
        </w:tblPrEx>
        <w:trPr>
          <w:trHeight w:val="288"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45</w:t>
            </w:r>
          </w:p>
        </w:tc>
        <w:tc>
          <w:tcPr>
            <w:tcW w:w="24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中科院重庆科学中心二期</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科技创新</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11.3</w:t>
            </w:r>
          </w:p>
        </w:tc>
        <w:tc>
          <w:tcPr>
            <w:tcW w:w="141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0.1</w:t>
            </w:r>
          </w:p>
        </w:tc>
        <w:tc>
          <w:tcPr>
            <w:tcW w:w="63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kern w:val="0"/>
                <w:sz w:val="22"/>
              </w:rPr>
            </w:pPr>
            <w:r>
              <w:rPr>
                <w:rFonts w:hint="eastAsia" w:cs="Times New Roman"/>
                <w:kern w:val="0"/>
                <w:sz w:val="22"/>
              </w:rPr>
              <w:t>该项目位于中科院科学中心一期北侧两个地块，占地面积约</w:t>
            </w:r>
            <w:r>
              <w:rPr>
                <w:rFonts w:eastAsia="宋体" w:cs="Times New Roman"/>
                <w:kern w:val="0"/>
                <w:sz w:val="22"/>
              </w:rPr>
              <w:t>5.6</w:t>
            </w:r>
            <w:r>
              <w:rPr>
                <w:rFonts w:hint="eastAsia" w:cs="Times New Roman"/>
                <w:kern w:val="0"/>
                <w:sz w:val="22"/>
              </w:rPr>
              <w:t>万平方米，总建筑面积约</w:t>
            </w:r>
            <w:r>
              <w:rPr>
                <w:rFonts w:eastAsia="宋体" w:cs="Times New Roman"/>
                <w:kern w:val="0"/>
                <w:sz w:val="22"/>
              </w:rPr>
              <w:t>11.3</w:t>
            </w:r>
            <w:r>
              <w:rPr>
                <w:rFonts w:hint="eastAsia" w:cs="Times New Roman"/>
                <w:kern w:val="0"/>
                <w:sz w:val="22"/>
              </w:rPr>
              <w:t>万平方米。</w:t>
            </w:r>
          </w:p>
        </w:tc>
      </w:tr>
      <w:tr>
        <w:tblPrEx>
          <w:tblCellMar>
            <w:top w:w="0" w:type="dxa"/>
            <w:left w:w="108" w:type="dxa"/>
            <w:bottom w:w="0" w:type="dxa"/>
            <w:right w:w="108" w:type="dxa"/>
          </w:tblCellMar>
        </w:tblPrEx>
        <w:trPr>
          <w:trHeight w:val="288"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24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r>
      <w:tr>
        <w:tblPrEx>
          <w:tblCellMar>
            <w:top w:w="0" w:type="dxa"/>
            <w:left w:w="108" w:type="dxa"/>
            <w:bottom w:w="0" w:type="dxa"/>
            <w:right w:w="108" w:type="dxa"/>
          </w:tblCellMar>
        </w:tblPrEx>
        <w:trPr>
          <w:trHeight w:val="288"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46</w:t>
            </w:r>
          </w:p>
        </w:tc>
        <w:tc>
          <w:tcPr>
            <w:tcW w:w="24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上海交通大学重庆人工智能研究院工程</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科技创新</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0.42</w:t>
            </w:r>
          </w:p>
        </w:tc>
        <w:tc>
          <w:tcPr>
            <w:tcW w:w="141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0.42</w:t>
            </w:r>
          </w:p>
        </w:tc>
        <w:tc>
          <w:tcPr>
            <w:tcW w:w="63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kern w:val="0"/>
                <w:sz w:val="22"/>
              </w:rPr>
            </w:pPr>
            <w:r>
              <w:rPr>
                <w:rFonts w:hint="eastAsia" w:cs="Times New Roman"/>
                <w:kern w:val="0"/>
                <w:sz w:val="22"/>
              </w:rPr>
              <w:t>项目位于科学谷一期</w:t>
            </w:r>
            <w:r>
              <w:rPr>
                <w:rFonts w:eastAsia="宋体" w:cs="Times New Roman"/>
                <w:kern w:val="0"/>
                <w:sz w:val="22"/>
              </w:rPr>
              <w:t>3-4</w:t>
            </w:r>
            <w:r>
              <w:rPr>
                <w:rFonts w:hint="eastAsia" w:cs="Times New Roman"/>
                <w:kern w:val="0"/>
                <w:sz w:val="22"/>
              </w:rPr>
              <w:t>地块</w:t>
            </w:r>
            <w:r>
              <w:rPr>
                <w:rFonts w:eastAsia="宋体" w:cs="Times New Roman"/>
                <w:kern w:val="0"/>
                <w:sz w:val="22"/>
              </w:rPr>
              <w:t>8</w:t>
            </w:r>
            <w:r>
              <w:rPr>
                <w:rFonts w:hint="eastAsia" w:cs="Times New Roman"/>
                <w:kern w:val="0"/>
                <w:sz w:val="22"/>
              </w:rPr>
              <w:t>号楼，共八层，总建筑面积约</w:t>
            </w:r>
            <w:r>
              <w:rPr>
                <w:rFonts w:eastAsia="宋体" w:cs="Times New Roman"/>
                <w:kern w:val="0"/>
                <w:sz w:val="22"/>
              </w:rPr>
              <w:t>2.8</w:t>
            </w:r>
            <w:r>
              <w:rPr>
                <w:rFonts w:hint="eastAsia" w:cs="Times New Roman"/>
                <w:kern w:val="0"/>
                <w:sz w:val="22"/>
              </w:rPr>
              <w:t>万平方米，装修内容包含硬装、空调和智能化。</w:t>
            </w:r>
          </w:p>
        </w:tc>
      </w:tr>
      <w:tr>
        <w:tblPrEx>
          <w:tblCellMar>
            <w:top w:w="0" w:type="dxa"/>
            <w:left w:w="108" w:type="dxa"/>
            <w:bottom w:w="0" w:type="dxa"/>
            <w:right w:w="108" w:type="dxa"/>
          </w:tblCellMar>
        </w:tblPrEx>
        <w:trPr>
          <w:trHeight w:val="288"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24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r>
      <w:tr>
        <w:tblPrEx>
          <w:tblCellMar>
            <w:top w:w="0" w:type="dxa"/>
            <w:left w:w="108" w:type="dxa"/>
            <w:bottom w:w="0" w:type="dxa"/>
            <w:right w:w="108" w:type="dxa"/>
          </w:tblCellMar>
        </w:tblPrEx>
        <w:trPr>
          <w:trHeight w:val="288"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47</w:t>
            </w:r>
          </w:p>
        </w:tc>
        <w:tc>
          <w:tcPr>
            <w:tcW w:w="24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北京大学重庆大数据研究院二期项目</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科技创新</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0.3</w:t>
            </w:r>
          </w:p>
        </w:tc>
        <w:tc>
          <w:tcPr>
            <w:tcW w:w="141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0.3</w:t>
            </w:r>
          </w:p>
        </w:tc>
        <w:tc>
          <w:tcPr>
            <w:tcW w:w="63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cs="宋体"/>
                <w:kern w:val="0"/>
                <w:sz w:val="22"/>
              </w:rPr>
            </w:pPr>
            <w:r>
              <w:rPr>
                <w:rFonts w:hint="eastAsia" w:cs="宋体"/>
                <w:kern w:val="0"/>
                <w:sz w:val="22"/>
              </w:rPr>
              <w:t>项目位于科学谷一期</w:t>
            </w:r>
            <w:r>
              <w:rPr>
                <w:rFonts w:cs="Times New Roman"/>
                <w:kern w:val="0"/>
                <w:sz w:val="22"/>
              </w:rPr>
              <w:t>3-4</w:t>
            </w:r>
            <w:r>
              <w:rPr>
                <w:rFonts w:hint="eastAsia" w:cs="宋体"/>
                <w:kern w:val="0"/>
                <w:sz w:val="22"/>
              </w:rPr>
              <w:t>地块</w:t>
            </w:r>
            <w:r>
              <w:rPr>
                <w:rFonts w:cs="Times New Roman"/>
                <w:kern w:val="0"/>
                <w:sz w:val="22"/>
              </w:rPr>
              <w:t>10</w:t>
            </w:r>
            <w:r>
              <w:rPr>
                <w:rFonts w:hint="eastAsia" w:cs="宋体"/>
                <w:kern w:val="0"/>
                <w:sz w:val="22"/>
              </w:rPr>
              <w:t>号楼，共八层，总建筑面积约</w:t>
            </w:r>
            <w:r>
              <w:rPr>
                <w:rFonts w:cs="Times New Roman"/>
                <w:kern w:val="0"/>
                <w:sz w:val="22"/>
              </w:rPr>
              <w:t>2</w:t>
            </w:r>
            <w:r>
              <w:rPr>
                <w:rFonts w:hint="eastAsia" w:cs="宋体"/>
                <w:kern w:val="0"/>
                <w:sz w:val="22"/>
              </w:rPr>
              <w:t>万平方米，装修内容包含硬装、空调和智能化。</w:t>
            </w:r>
          </w:p>
        </w:tc>
      </w:tr>
      <w:tr>
        <w:tblPrEx>
          <w:tblCellMar>
            <w:top w:w="0" w:type="dxa"/>
            <w:left w:w="108" w:type="dxa"/>
            <w:bottom w:w="0" w:type="dxa"/>
            <w:right w:w="108" w:type="dxa"/>
          </w:tblCellMar>
        </w:tblPrEx>
        <w:trPr>
          <w:trHeight w:val="288"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24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r>
      <w:tr>
        <w:tblPrEx>
          <w:tblCellMar>
            <w:top w:w="0" w:type="dxa"/>
            <w:left w:w="108" w:type="dxa"/>
            <w:bottom w:w="0" w:type="dxa"/>
            <w:right w:w="108" w:type="dxa"/>
          </w:tblCellMar>
        </w:tblPrEx>
        <w:trPr>
          <w:trHeight w:val="115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48</w:t>
            </w:r>
          </w:p>
        </w:tc>
        <w:tc>
          <w:tcPr>
            <w:tcW w:w="244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智能网联汽车技术及产业创新中心暨李克强院士工作站共装修项目</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科技创新</w:t>
            </w:r>
          </w:p>
        </w:tc>
        <w:tc>
          <w:tcPr>
            <w:tcW w:w="1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0.3</w:t>
            </w:r>
          </w:p>
        </w:tc>
        <w:tc>
          <w:tcPr>
            <w:tcW w:w="14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0.3</w:t>
            </w:r>
          </w:p>
        </w:tc>
        <w:tc>
          <w:tcPr>
            <w:tcW w:w="63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kern w:val="0"/>
                <w:sz w:val="22"/>
              </w:rPr>
            </w:pPr>
            <w:r>
              <w:rPr>
                <w:rFonts w:hint="eastAsia" w:cs="Times New Roman"/>
                <w:kern w:val="0"/>
                <w:sz w:val="22"/>
              </w:rPr>
              <w:t>项目位于科学谷一期</w:t>
            </w:r>
            <w:r>
              <w:rPr>
                <w:rFonts w:eastAsia="宋体" w:cs="Times New Roman"/>
                <w:kern w:val="0"/>
                <w:sz w:val="22"/>
              </w:rPr>
              <w:t>2-2</w:t>
            </w:r>
            <w:r>
              <w:rPr>
                <w:rFonts w:hint="eastAsia" w:cs="Times New Roman"/>
                <w:kern w:val="0"/>
                <w:sz w:val="22"/>
              </w:rPr>
              <w:t>地块的</w:t>
            </w:r>
            <w:r>
              <w:rPr>
                <w:rFonts w:eastAsia="宋体" w:cs="Times New Roman"/>
                <w:kern w:val="0"/>
                <w:sz w:val="22"/>
              </w:rPr>
              <w:t>1</w:t>
            </w:r>
            <w:r>
              <w:rPr>
                <w:rFonts w:hint="eastAsia" w:cs="Times New Roman"/>
                <w:kern w:val="0"/>
                <w:sz w:val="22"/>
              </w:rPr>
              <w:t>号楼和</w:t>
            </w:r>
            <w:r>
              <w:rPr>
                <w:rFonts w:eastAsia="宋体" w:cs="Times New Roman"/>
                <w:kern w:val="0"/>
                <w:sz w:val="22"/>
              </w:rPr>
              <w:t>2</w:t>
            </w:r>
            <w:r>
              <w:rPr>
                <w:rFonts w:hint="eastAsia" w:cs="Times New Roman"/>
                <w:kern w:val="0"/>
                <w:sz w:val="22"/>
              </w:rPr>
              <w:t>号楼，每栋各有</w:t>
            </w:r>
            <w:r>
              <w:rPr>
                <w:rFonts w:eastAsia="宋体" w:cs="Times New Roman"/>
                <w:kern w:val="0"/>
                <w:sz w:val="22"/>
              </w:rPr>
              <w:t>8</w:t>
            </w:r>
            <w:r>
              <w:rPr>
                <w:rFonts w:hint="eastAsia" w:cs="Times New Roman"/>
                <w:kern w:val="0"/>
                <w:sz w:val="22"/>
              </w:rPr>
              <w:t>层，总建筑面积约</w:t>
            </w:r>
            <w:r>
              <w:rPr>
                <w:rFonts w:eastAsia="宋体" w:cs="Times New Roman"/>
                <w:kern w:val="0"/>
                <w:sz w:val="22"/>
              </w:rPr>
              <w:t>2</w:t>
            </w:r>
            <w:r>
              <w:rPr>
                <w:rFonts w:hint="eastAsia" w:cs="Times New Roman"/>
                <w:kern w:val="0"/>
                <w:sz w:val="22"/>
              </w:rPr>
              <w:t>万平方米，布局建设办公、会议、接待、休闲文化、智慧办公、配套机房和实验室等功能，主要包括天地墙装饰面、安装、空调、智能化和消防。</w:t>
            </w:r>
          </w:p>
        </w:tc>
      </w:tr>
      <w:tr>
        <w:tblPrEx>
          <w:tblCellMar>
            <w:top w:w="0" w:type="dxa"/>
            <w:left w:w="108" w:type="dxa"/>
            <w:bottom w:w="0" w:type="dxa"/>
            <w:right w:w="108" w:type="dxa"/>
          </w:tblCellMar>
        </w:tblPrEx>
        <w:trPr>
          <w:trHeight w:val="288"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49</w:t>
            </w:r>
          </w:p>
        </w:tc>
        <w:tc>
          <w:tcPr>
            <w:tcW w:w="24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中子科技氘氚科学装置建设</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科技创新</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2.5</w:t>
            </w:r>
          </w:p>
        </w:tc>
        <w:tc>
          <w:tcPr>
            <w:tcW w:w="141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1.5</w:t>
            </w:r>
          </w:p>
        </w:tc>
        <w:tc>
          <w:tcPr>
            <w:tcW w:w="63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cs="宋体"/>
                <w:kern w:val="0"/>
                <w:sz w:val="22"/>
              </w:rPr>
            </w:pPr>
            <w:r>
              <w:rPr>
                <w:rFonts w:hint="eastAsia" w:cs="宋体"/>
                <w:kern w:val="0"/>
                <w:sz w:val="22"/>
              </w:rPr>
              <w:t>建设大型中子科学实验装置平台，扩大中子物理、核信息学及软件、中子检测技术等应用研究方向，争创中子科学与技术国家级重点研发机构。项目建成后将以搭建中子科学核心领域科研平台＋公共技术服务平台＋产业化应用转化平台，积极培育引入产业链相关企业，形成中子产业新高地，打造</w:t>
            </w:r>
            <w:r>
              <w:rPr>
                <w:rFonts w:cs="Times New Roman"/>
                <w:kern w:val="0"/>
                <w:sz w:val="22"/>
              </w:rPr>
              <w:t>“</w:t>
            </w:r>
            <w:r>
              <w:rPr>
                <w:rFonts w:hint="eastAsia" w:cs="宋体"/>
                <w:kern w:val="0"/>
                <w:sz w:val="22"/>
              </w:rPr>
              <w:t>国内领先、国际一流</w:t>
            </w:r>
            <w:r>
              <w:rPr>
                <w:rFonts w:cs="Times New Roman"/>
                <w:kern w:val="0"/>
                <w:sz w:val="22"/>
              </w:rPr>
              <w:t>”</w:t>
            </w:r>
            <w:r>
              <w:rPr>
                <w:rFonts w:hint="eastAsia" w:cs="宋体"/>
                <w:kern w:val="0"/>
                <w:sz w:val="22"/>
              </w:rPr>
              <w:t>的开放式国际化高端研发机构。</w:t>
            </w:r>
          </w:p>
        </w:tc>
      </w:tr>
      <w:tr>
        <w:tblPrEx>
          <w:tblCellMar>
            <w:top w:w="0" w:type="dxa"/>
            <w:left w:w="108" w:type="dxa"/>
            <w:bottom w:w="0" w:type="dxa"/>
            <w:right w:w="108" w:type="dxa"/>
          </w:tblCellMar>
        </w:tblPrEx>
        <w:trPr>
          <w:trHeight w:val="2284"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24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r>
      <w:tr>
        <w:tblPrEx>
          <w:tblCellMar>
            <w:top w:w="0" w:type="dxa"/>
            <w:left w:w="108" w:type="dxa"/>
            <w:bottom w:w="0" w:type="dxa"/>
            <w:right w:w="108" w:type="dxa"/>
          </w:tblCellMar>
        </w:tblPrEx>
        <w:trPr>
          <w:trHeight w:val="288"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50</w:t>
            </w:r>
          </w:p>
        </w:tc>
        <w:tc>
          <w:tcPr>
            <w:tcW w:w="24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奥松半导体</w:t>
            </w:r>
            <w:r>
              <w:rPr>
                <w:rFonts w:cs="Times New Roman"/>
                <w:kern w:val="0"/>
                <w:sz w:val="22"/>
              </w:rPr>
              <w:t>8</w:t>
            </w:r>
            <w:r>
              <w:rPr>
                <w:rFonts w:hint="eastAsia" w:cs="宋体"/>
                <w:kern w:val="0"/>
                <w:sz w:val="22"/>
              </w:rPr>
              <w:t>英寸</w:t>
            </w:r>
            <w:r>
              <w:rPr>
                <w:rFonts w:cs="Times New Roman"/>
                <w:kern w:val="0"/>
                <w:sz w:val="22"/>
              </w:rPr>
              <w:t>MEMS</w:t>
            </w:r>
            <w:r>
              <w:rPr>
                <w:rFonts w:hint="eastAsia" w:cs="宋体"/>
                <w:kern w:val="0"/>
                <w:sz w:val="22"/>
              </w:rPr>
              <w:t>芯片</w:t>
            </w:r>
            <w:r>
              <w:rPr>
                <w:rFonts w:cs="Times New Roman"/>
                <w:kern w:val="0"/>
                <w:sz w:val="22"/>
              </w:rPr>
              <w:t>IDM</w:t>
            </w:r>
            <w:r>
              <w:rPr>
                <w:rFonts w:hint="eastAsia" w:cs="宋体"/>
                <w:kern w:val="0"/>
                <w:sz w:val="22"/>
              </w:rPr>
              <w:t>产业基地</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产业发展</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14.1</w:t>
            </w:r>
          </w:p>
        </w:tc>
        <w:tc>
          <w:tcPr>
            <w:tcW w:w="141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10</w:t>
            </w:r>
          </w:p>
        </w:tc>
        <w:tc>
          <w:tcPr>
            <w:tcW w:w="63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cs="宋体"/>
                <w:kern w:val="0"/>
                <w:sz w:val="22"/>
              </w:rPr>
            </w:pPr>
            <w:r>
              <w:rPr>
                <w:rFonts w:hint="eastAsia" w:cs="宋体"/>
                <w:kern w:val="0"/>
                <w:sz w:val="22"/>
              </w:rPr>
              <w:t>项目总投资</w:t>
            </w:r>
            <w:r>
              <w:rPr>
                <w:rFonts w:cs="Times New Roman"/>
                <w:kern w:val="0"/>
                <w:sz w:val="22"/>
              </w:rPr>
              <w:t>35</w:t>
            </w:r>
            <w:r>
              <w:rPr>
                <w:rFonts w:hint="eastAsia" w:cs="宋体"/>
                <w:kern w:val="0"/>
                <w:sz w:val="22"/>
              </w:rPr>
              <w:t>亿元，将打造</w:t>
            </w:r>
            <w:r>
              <w:rPr>
                <w:rFonts w:cs="Times New Roman"/>
                <w:kern w:val="0"/>
                <w:sz w:val="22"/>
              </w:rPr>
              <w:t>MEMS</w:t>
            </w:r>
            <w:r>
              <w:rPr>
                <w:rFonts w:hint="eastAsia" w:cs="宋体"/>
                <w:kern w:val="0"/>
                <w:sz w:val="22"/>
              </w:rPr>
              <w:t>特色芯片及智能传感器全产业链，设计月产能超</w:t>
            </w:r>
            <w:r>
              <w:rPr>
                <w:rFonts w:cs="Times New Roman"/>
                <w:kern w:val="0"/>
                <w:sz w:val="22"/>
              </w:rPr>
              <w:t>2</w:t>
            </w:r>
            <w:r>
              <w:rPr>
                <w:rFonts w:hint="eastAsia" w:cs="宋体"/>
                <w:kern w:val="0"/>
                <w:sz w:val="22"/>
              </w:rPr>
              <w:t>万片，达产后年产值超</w:t>
            </w:r>
            <w:r>
              <w:rPr>
                <w:rFonts w:cs="Times New Roman"/>
                <w:kern w:val="0"/>
                <w:sz w:val="22"/>
              </w:rPr>
              <w:t>30</w:t>
            </w:r>
            <w:r>
              <w:rPr>
                <w:rFonts w:hint="eastAsia" w:cs="宋体"/>
                <w:kern w:val="0"/>
                <w:sz w:val="22"/>
              </w:rPr>
              <w:t>亿元，助力科学城芯片产业发展。</w:t>
            </w:r>
          </w:p>
        </w:tc>
      </w:tr>
      <w:tr>
        <w:tblPrEx>
          <w:tblCellMar>
            <w:top w:w="0" w:type="dxa"/>
            <w:left w:w="108" w:type="dxa"/>
            <w:bottom w:w="0" w:type="dxa"/>
            <w:right w:w="108" w:type="dxa"/>
          </w:tblCellMar>
        </w:tblPrEx>
        <w:trPr>
          <w:trHeight w:val="866"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24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3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r>
      <w:tr>
        <w:tblPrEx>
          <w:tblCellMar>
            <w:top w:w="0" w:type="dxa"/>
            <w:left w:w="108" w:type="dxa"/>
            <w:bottom w:w="0" w:type="dxa"/>
            <w:right w:w="108" w:type="dxa"/>
          </w:tblCellMar>
        </w:tblPrEx>
        <w:trPr>
          <w:trHeight w:val="288" w:hRule="atLeast"/>
        </w:trPr>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51</w:t>
            </w:r>
          </w:p>
        </w:tc>
        <w:tc>
          <w:tcPr>
            <w:tcW w:w="2448"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万帮星星能源储能电池系统先进制造基地（一期）项目</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楼宇厂房</w:t>
            </w:r>
          </w:p>
        </w:tc>
        <w:tc>
          <w:tcPr>
            <w:tcW w:w="1268"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10</w:t>
            </w:r>
          </w:p>
        </w:tc>
        <w:tc>
          <w:tcPr>
            <w:tcW w:w="141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1.5</w:t>
            </w:r>
          </w:p>
        </w:tc>
        <w:tc>
          <w:tcPr>
            <w:tcW w:w="6334"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cs="宋体"/>
                <w:kern w:val="0"/>
                <w:sz w:val="22"/>
              </w:rPr>
            </w:pPr>
            <w:r>
              <w:rPr>
                <w:rFonts w:hint="eastAsia" w:cs="宋体"/>
                <w:kern w:val="0"/>
                <w:sz w:val="22"/>
              </w:rPr>
              <w:t>万帮项目拟选址石板镇（西永组团</w:t>
            </w:r>
            <w:r>
              <w:rPr>
                <w:rFonts w:cs="Times New Roman"/>
                <w:kern w:val="0"/>
                <w:sz w:val="22"/>
              </w:rPr>
              <w:t>Aa-42-2-1/04</w:t>
            </w:r>
            <w:r>
              <w:rPr>
                <w:rFonts w:hint="eastAsia" w:cs="宋体"/>
                <w:kern w:val="0"/>
                <w:sz w:val="22"/>
              </w:rPr>
              <w:t>地块），一期占地</w:t>
            </w:r>
            <w:r>
              <w:rPr>
                <w:rFonts w:cs="Times New Roman"/>
                <w:kern w:val="0"/>
                <w:sz w:val="22"/>
              </w:rPr>
              <w:t>100</w:t>
            </w:r>
            <w:r>
              <w:rPr>
                <w:rFonts w:hint="eastAsia" w:cs="宋体"/>
                <w:kern w:val="0"/>
                <w:sz w:val="22"/>
              </w:rPr>
              <w:t>亩。</w:t>
            </w:r>
          </w:p>
        </w:tc>
      </w:tr>
      <w:tr>
        <w:tblPrEx>
          <w:tblCellMar>
            <w:top w:w="0" w:type="dxa"/>
            <w:left w:w="108" w:type="dxa"/>
            <w:bottom w:w="0" w:type="dxa"/>
            <w:right w:w="108" w:type="dxa"/>
          </w:tblCellMar>
        </w:tblPrEx>
        <w:trPr>
          <w:trHeight w:val="1083"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2448"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spacing w:line="240" w:lineRule="auto"/>
              <w:ind w:firstLine="0" w:firstLineChars="0"/>
              <w:jc w:val="left"/>
              <w:rPr>
                <w:rFonts w:cs="宋体"/>
                <w:kern w:val="0"/>
                <w:sz w:val="22"/>
              </w:rPr>
            </w:pP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r>
      <w:tr>
        <w:tblPrEx>
          <w:tblCellMar>
            <w:top w:w="0" w:type="dxa"/>
            <w:left w:w="108" w:type="dxa"/>
            <w:bottom w:w="0" w:type="dxa"/>
            <w:right w:w="108" w:type="dxa"/>
          </w:tblCellMar>
        </w:tblPrEx>
        <w:trPr>
          <w:trHeight w:val="576"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52</w:t>
            </w:r>
          </w:p>
        </w:tc>
        <w:tc>
          <w:tcPr>
            <w:tcW w:w="244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国家生物产业园改造工程</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楼宇厂房</w:t>
            </w:r>
          </w:p>
        </w:tc>
        <w:tc>
          <w:tcPr>
            <w:tcW w:w="1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1.3</w:t>
            </w:r>
          </w:p>
        </w:tc>
        <w:tc>
          <w:tcPr>
            <w:tcW w:w="14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0.9</w:t>
            </w:r>
          </w:p>
        </w:tc>
        <w:tc>
          <w:tcPr>
            <w:tcW w:w="63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cs="宋体"/>
                <w:kern w:val="0"/>
                <w:sz w:val="22"/>
              </w:rPr>
            </w:pPr>
            <w:r>
              <w:rPr>
                <w:rFonts w:hint="eastAsia" w:cs="宋体"/>
                <w:kern w:val="0"/>
                <w:sz w:val="22"/>
              </w:rPr>
              <w:t>总用底面积</w:t>
            </w:r>
            <w:r>
              <w:rPr>
                <w:rFonts w:cs="Times New Roman"/>
                <w:kern w:val="0"/>
                <w:sz w:val="22"/>
              </w:rPr>
              <w:t>9.5</w:t>
            </w:r>
            <w:r>
              <w:rPr>
                <w:rFonts w:hint="eastAsia" w:cs="宋体"/>
                <w:kern w:val="0"/>
                <w:sz w:val="22"/>
              </w:rPr>
              <w:t>万平方米，改造地上建筑面积约</w:t>
            </w:r>
            <w:r>
              <w:rPr>
                <w:rFonts w:cs="Times New Roman"/>
                <w:kern w:val="0"/>
                <w:sz w:val="22"/>
              </w:rPr>
              <w:t>17.8</w:t>
            </w:r>
            <w:r>
              <w:rPr>
                <w:rFonts w:hint="eastAsia" w:cs="宋体"/>
                <w:kern w:val="0"/>
                <w:sz w:val="22"/>
              </w:rPr>
              <w:t>万平方米，改造建筑立面面积约</w:t>
            </w:r>
            <w:r>
              <w:rPr>
                <w:rFonts w:cs="Times New Roman"/>
                <w:kern w:val="0"/>
                <w:sz w:val="22"/>
              </w:rPr>
              <w:t>9</w:t>
            </w:r>
            <w:r>
              <w:rPr>
                <w:rFonts w:hint="eastAsia" w:cs="宋体"/>
                <w:kern w:val="0"/>
                <w:sz w:val="22"/>
              </w:rPr>
              <w:t>万平方米，改造环境景观面积约</w:t>
            </w:r>
            <w:r>
              <w:rPr>
                <w:rFonts w:cs="Times New Roman"/>
                <w:kern w:val="0"/>
                <w:sz w:val="22"/>
              </w:rPr>
              <w:t>5.1</w:t>
            </w:r>
            <w:r>
              <w:rPr>
                <w:rFonts w:hint="eastAsia" w:cs="宋体"/>
                <w:kern w:val="0"/>
                <w:sz w:val="22"/>
              </w:rPr>
              <w:t>万平方米。</w:t>
            </w:r>
          </w:p>
        </w:tc>
      </w:tr>
      <w:tr>
        <w:tblPrEx>
          <w:tblCellMar>
            <w:top w:w="0" w:type="dxa"/>
            <w:left w:w="108" w:type="dxa"/>
            <w:bottom w:w="0" w:type="dxa"/>
            <w:right w:w="108" w:type="dxa"/>
          </w:tblCellMar>
        </w:tblPrEx>
        <w:trPr>
          <w:trHeight w:val="288"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53</w:t>
            </w:r>
          </w:p>
        </w:tc>
        <w:tc>
          <w:tcPr>
            <w:tcW w:w="24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西部（重庆）科学城智能网联汽车示范区建设工程项目</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科技创新</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8</w:t>
            </w:r>
          </w:p>
        </w:tc>
        <w:tc>
          <w:tcPr>
            <w:tcW w:w="141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1.5</w:t>
            </w:r>
          </w:p>
        </w:tc>
        <w:tc>
          <w:tcPr>
            <w:tcW w:w="63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cs="宋体"/>
                <w:kern w:val="0"/>
                <w:sz w:val="22"/>
              </w:rPr>
            </w:pPr>
            <w:r>
              <w:rPr>
                <w:rFonts w:hint="eastAsia" w:cs="宋体"/>
                <w:kern w:val="0"/>
                <w:sz w:val="22"/>
              </w:rPr>
              <w:t>西部（重庆）科学城智能网联汽车示范区建设工程项目建设内容涉及智能网联汽车拓量提示，科学城城市道路智慧化升级改造、云控平台建设、智能网联汽车示范区运营中心建设</w:t>
            </w:r>
            <w:r>
              <w:rPr>
                <w:rFonts w:cs="Times New Roman"/>
                <w:kern w:val="0"/>
                <w:sz w:val="22"/>
              </w:rPr>
              <w:t>4</w:t>
            </w:r>
            <w:r>
              <w:rPr>
                <w:rFonts w:hint="eastAsia" w:cs="宋体"/>
                <w:kern w:val="0"/>
                <w:sz w:val="22"/>
              </w:rPr>
              <w:t>个部分，分三期建设，本次实施为一期工程。</w:t>
            </w:r>
          </w:p>
        </w:tc>
      </w:tr>
      <w:tr>
        <w:tblPrEx>
          <w:tblCellMar>
            <w:top w:w="0" w:type="dxa"/>
            <w:left w:w="108" w:type="dxa"/>
            <w:bottom w:w="0" w:type="dxa"/>
            <w:right w:w="108" w:type="dxa"/>
          </w:tblCellMar>
        </w:tblPrEx>
        <w:trPr>
          <w:trHeight w:val="1613"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24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r>
      <w:tr>
        <w:tblPrEx>
          <w:tblCellMar>
            <w:top w:w="0" w:type="dxa"/>
            <w:left w:w="108" w:type="dxa"/>
            <w:bottom w:w="0" w:type="dxa"/>
            <w:right w:w="108" w:type="dxa"/>
          </w:tblCellMar>
        </w:tblPrEx>
        <w:trPr>
          <w:trHeight w:val="288"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54</w:t>
            </w:r>
          </w:p>
        </w:tc>
        <w:tc>
          <w:tcPr>
            <w:tcW w:w="24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精准生物细胞技术研发中心和细胞制备中心</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产业发展</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10.3</w:t>
            </w:r>
          </w:p>
        </w:tc>
        <w:tc>
          <w:tcPr>
            <w:tcW w:w="141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7.5</w:t>
            </w:r>
          </w:p>
        </w:tc>
        <w:tc>
          <w:tcPr>
            <w:tcW w:w="63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cs="宋体"/>
                <w:kern w:val="0"/>
                <w:sz w:val="22"/>
              </w:rPr>
            </w:pPr>
            <w:r>
              <w:rPr>
                <w:rFonts w:hint="eastAsia" w:cs="宋体"/>
                <w:kern w:val="0"/>
                <w:sz w:val="22"/>
              </w:rPr>
              <w:t>精准生物细胞技术研发中心和细胞制备中心位于重庆科学城金凤镇西永组团，总投资约</w:t>
            </w:r>
            <w:r>
              <w:rPr>
                <w:rFonts w:cs="Times New Roman"/>
                <w:kern w:val="0"/>
                <w:sz w:val="22"/>
              </w:rPr>
              <w:t>30</w:t>
            </w:r>
            <w:r>
              <w:rPr>
                <w:rFonts w:hint="eastAsia" w:cs="宋体"/>
                <w:kern w:val="0"/>
                <w:sz w:val="22"/>
              </w:rPr>
              <w:t>亿元，其中工程投资</w:t>
            </w:r>
            <w:r>
              <w:rPr>
                <w:rFonts w:cs="Times New Roman"/>
                <w:kern w:val="0"/>
                <w:sz w:val="22"/>
              </w:rPr>
              <w:t>10.32</w:t>
            </w:r>
            <w:r>
              <w:rPr>
                <w:rFonts w:hint="eastAsia" w:cs="宋体"/>
                <w:kern w:val="0"/>
                <w:sz w:val="22"/>
              </w:rPr>
              <w:t>亿元</w:t>
            </w:r>
            <w:r>
              <w:rPr>
                <w:rFonts w:cs="Times New Roman"/>
                <w:kern w:val="0"/>
                <w:sz w:val="22"/>
              </w:rPr>
              <w:t>,</w:t>
            </w:r>
            <w:r>
              <w:rPr>
                <w:rFonts w:hint="eastAsia" w:cs="宋体"/>
                <w:kern w:val="0"/>
                <w:sz w:val="22"/>
              </w:rPr>
              <w:t>建设用地</w:t>
            </w:r>
            <w:r>
              <w:rPr>
                <w:rFonts w:cs="Times New Roman"/>
                <w:kern w:val="0"/>
                <w:sz w:val="22"/>
              </w:rPr>
              <w:t>153.96</w:t>
            </w:r>
            <w:r>
              <w:rPr>
                <w:rFonts w:hint="eastAsia" w:cs="宋体"/>
                <w:kern w:val="0"/>
                <w:sz w:val="22"/>
              </w:rPr>
              <w:t>亩，建筑面积约</w:t>
            </w:r>
            <w:r>
              <w:rPr>
                <w:rFonts w:cs="Times New Roman"/>
                <w:kern w:val="0"/>
                <w:sz w:val="22"/>
              </w:rPr>
              <w:t>10</w:t>
            </w:r>
            <w:r>
              <w:rPr>
                <w:rFonts w:hint="eastAsia" w:cs="宋体"/>
                <w:kern w:val="0"/>
                <w:sz w:val="22"/>
              </w:rPr>
              <w:t>万平方米，其中技术研发中心约</w:t>
            </w:r>
            <w:r>
              <w:rPr>
                <w:rFonts w:cs="Times New Roman"/>
                <w:kern w:val="0"/>
                <w:sz w:val="22"/>
              </w:rPr>
              <w:t>3</w:t>
            </w:r>
            <w:r>
              <w:rPr>
                <w:rFonts w:hint="eastAsia" w:cs="宋体"/>
                <w:kern w:val="0"/>
                <w:sz w:val="22"/>
              </w:rPr>
              <w:t>万平方米，细胞制备中心约</w:t>
            </w:r>
            <w:r>
              <w:rPr>
                <w:rFonts w:cs="Times New Roman"/>
                <w:kern w:val="0"/>
                <w:sz w:val="22"/>
              </w:rPr>
              <w:t>7</w:t>
            </w:r>
            <w:r>
              <w:rPr>
                <w:rFonts w:hint="eastAsia" w:cs="宋体"/>
                <w:kern w:val="0"/>
                <w:sz w:val="22"/>
              </w:rPr>
              <w:t>万平方米，拟建科研大楼、综合楼、研发中心、质控中心、质粒和载体车间、细胞车间以及配套设施等。</w:t>
            </w:r>
          </w:p>
        </w:tc>
      </w:tr>
      <w:tr>
        <w:tblPrEx>
          <w:tblCellMar>
            <w:top w:w="0" w:type="dxa"/>
            <w:left w:w="108" w:type="dxa"/>
            <w:bottom w:w="0" w:type="dxa"/>
            <w:right w:w="108" w:type="dxa"/>
          </w:tblCellMar>
        </w:tblPrEx>
        <w:trPr>
          <w:trHeight w:val="288"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24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r>
      <w:tr>
        <w:tblPrEx>
          <w:tblCellMar>
            <w:top w:w="0" w:type="dxa"/>
            <w:left w:w="108" w:type="dxa"/>
            <w:bottom w:w="0" w:type="dxa"/>
            <w:right w:w="108" w:type="dxa"/>
          </w:tblCellMar>
        </w:tblPrEx>
        <w:trPr>
          <w:trHeight w:val="2001"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55</w:t>
            </w:r>
          </w:p>
        </w:tc>
        <w:tc>
          <w:tcPr>
            <w:tcW w:w="244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招商车研新能源智能网联汽车及智慧交通科技创新基地项目</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产业发展</w:t>
            </w:r>
          </w:p>
        </w:tc>
        <w:tc>
          <w:tcPr>
            <w:tcW w:w="126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7</w:t>
            </w:r>
          </w:p>
        </w:tc>
        <w:tc>
          <w:tcPr>
            <w:tcW w:w="141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3</w:t>
            </w:r>
          </w:p>
        </w:tc>
        <w:tc>
          <w:tcPr>
            <w:tcW w:w="63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cs="宋体"/>
                <w:kern w:val="0"/>
                <w:sz w:val="22"/>
              </w:rPr>
            </w:pPr>
            <w:r>
              <w:rPr>
                <w:rFonts w:hint="eastAsia" w:cs="宋体"/>
                <w:kern w:val="0"/>
                <w:sz w:val="22"/>
              </w:rPr>
              <w:t>主要建设内容分为建筑面积</w:t>
            </w:r>
            <w:r>
              <w:rPr>
                <w:rFonts w:cs="Times New Roman"/>
                <w:kern w:val="0"/>
                <w:sz w:val="22"/>
              </w:rPr>
              <w:t>1.9</w:t>
            </w:r>
            <w:r>
              <w:rPr>
                <w:rFonts w:hint="eastAsia" w:cs="宋体"/>
                <w:kern w:val="0"/>
                <w:sz w:val="22"/>
              </w:rPr>
              <w:t>万㎡的新能源汽车极端环境与火灾安全重点实验室（</w:t>
            </w:r>
            <w:r>
              <w:rPr>
                <w:rFonts w:cs="Times New Roman"/>
                <w:kern w:val="0"/>
                <w:sz w:val="22"/>
              </w:rPr>
              <w:t>2#</w:t>
            </w:r>
            <w:r>
              <w:rPr>
                <w:rFonts w:hint="eastAsia" w:cs="宋体"/>
                <w:kern w:val="0"/>
                <w:sz w:val="22"/>
              </w:rPr>
              <w:t>楼）、智能汽车技术研发测试及智慧交通科技创新中心实验室（</w:t>
            </w:r>
            <w:r>
              <w:rPr>
                <w:rFonts w:cs="Times New Roman"/>
                <w:kern w:val="0"/>
                <w:sz w:val="22"/>
              </w:rPr>
              <w:t>1#</w:t>
            </w:r>
            <w:r>
              <w:rPr>
                <w:rFonts w:hint="eastAsia" w:cs="宋体"/>
                <w:kern w:val="0"/>
                <w:sz w:val="22"/>
              </w:rPr>
              <w:t>楼）和面积约</w:t>
            </w:r>
            <w:r>
              <w:rPr>
                <w:rFonts w:cs="Times New Roman"/>
                <w:kern w:val="0"/>
                <w:sz w:val="22"/>
              </w:rPr>
              <w:t>2.2</w:t>
            </w:r>
            <w:r>
              <w:rPr>
                <w:rFonts w:hint="eastAsia" w:cs="宋体"/>
                <w:kern w:val="0"/>
                <w:sz w:val="22"/>
              </w:rPr>
              <w:t>万㎡、</w:t>
            </w:r>
            <w:r>
              <w:rPr>
                <w:rFonts w:cs="Times New Roman"/>
                <w:kern w:val="0"/>
                <w:sz w:val="22"/>
              </w:rPr>
              <w:t>5.4km</w:t>
            </w:r>
            <w:r>
              <w:rPr>
                <w:rFonts w:hint="eastAsia" w:cs="宋体"/>
                <w:kern w:val="0"/>
                <w:sz w:val="22"/>
              </w:rPr>
              <w:t>长的整车耐久、综合评价、碰撞气囊误作用等特殊试验道路。</w:t>
            </w:r>
          </w:p>
        </w:tc>
      </w:tr>
      <w:tr>
        <w:tblPrEx>
          <w:tblCellMar>
            <w:top w:w="0" w:type="dxa"/>
            <w:left w:w="108" w:type="dxa"/>
            <w:bottom w:w="0" w:type="dxa"/>
            <w:right w:w="108" w:type="dxa"/>
          </w:tblCellMar>
        </w:tblPrEx>
        <w:trPr>
          <w:trHeight w:val="288"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56</w:t>
            </w:r>
          </w:p>
        </w:tc>
        <w:tc>
          <w:tcPr>
            <w:tcW w:w="24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金凤软件园（虎溪园）二期</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楼宇厂房</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68</w:t>
            </w:r>
          </w:p>
        </w:tc>
        <w:tc>
          <w:tcPr>
            <w:tcW w:w="141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4</w:t>
            </w:r>
          </w:p>
        </w:tc>
        <w:tc>
          <w:tcPr>
            <w:tcW w:w="63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color w:val="000000"/>
                <w:kern w:val="0"/>
                <w:sz w:val="22"/>
              </w:rPr>
            </w:pPr>
            <w:r>
              <w:rPr>
                <w:rFonts w:hint="eastAsia" w:cs="Times New Roman"/>
                <w:color w:val="000000"/>
                <w:kern w:val="0"/>
                <w:sz w:val="22"/>
              </w:rPr>
              <w:t>项目位于大学城</w:t>
            </w:r>
            <w:r>
              <w:rPr>
                <w:rFonts w:eastAsia="宋体" w:cs="Times New Roman"/>
                <w:color w:val="000000"/>
                <w:kern w:val="0"/>
                <w:sz w:val="22"/>
              </w:rPr>
              <w:t>U5-4-2</w:t>
            </w:r>
            <w:r>
              <w:rPr>
                <w:rFonts w:hint="eastAsia" w:cs="Times New Roman"/>
                <w:color w:val="000000"/>
                <w:kern w:val="0"/>
                <w:sz w:val="22"/>
              </w:rPr>
              <w:t>地块、</w:t>
            </w:r>
            <w:r>
              <w:rPr>
                <w:rFonts w:eastAsia="宋体" w:cs="Times New Roman"/>
                <w:color w:val="000000"/>
                <w:kern w:val="0"/>
                <w:sz w:val="22"/>
              </w:rPr>
              <w:t>U5-8-1</w:t>
            </w:r>
            <w:r>
              <w:rPr>
                <w:rFonts w:hint="eastAsia" w:cs="Times New Roman"/>
                <w:color w:val="000000"/>
                <w:kern w:val="0"/>
                <w:sz w:val="22"/>
              </w:rPr>
              <w:t>地块和</w:t>
            </w:r>
            <w:r>
              <w:rPr>
                <w:rFonts w:eastAsia="宋体" w:cs="Times New Roman"/>
                <w:color w:val="000000"/>
                <w:kern w:val="0"/>
                <w:sz w:val="22"/>
              </w:rPr>
              <w:t>WO7-1</w:t>
            </w:r>
            <w:r>
              <w:rPr>
                <w:rFonts w:hint="eastAsia" w:cs="Times New Roman"/>
                <w:color w:val="000000"/>
                <w:kern w:val="0"/>
                <w:sz w:val="22"/>
              </w:rPr>
              <w:t>地块三个地块，总用地面积约</w:t>
            </w:r>
            <w:r>
              <w:rPr>
                <w:rFonts w:eastAsia="宋体" w:cs="Times New Roman"/>
                <w:color w:val="000000"/>
                <w:kern w:val="0"/>
                <w:sz w:val="22"/>
              </w:rPr>
              <w:t>184000</w:t>
            </w:r>
            <w:r>
              <w:rPr>
                <w:rFonts w:hint="eastAsia" w:cs="Times New Roman"/>
                <w:color w:val="000000"/>
                <w:kern w:val="0"/>
                <w:sz w:val="22"/>
              </w:rPr>
              <w:t>㎡，总建筑面积约</w:t>
            </w:r>
            <w:r>
              <w:rPr>
                <w:rFonts w:eastAsia="宋体" w:cs="Times New Roman"/>
                <w:color w:val="000000"/>
                <w:kern w:val="0"/>
                <w:sz w:val="22"/>
              </w:rPr>
              <w:t>680000</w:t>
            </w:r>
            <w:r>
              <w:rPr>
                <w:rFonts w:hint="eastAsia" w:cs="Times New Roman"/>
                <w:color w:val="000000"/>
                <w:kern w:val="0"/>
                <w:sz w:val="22"/>
              </w:rPr>
              <w:t>㎡，其中规划计容面积约</w:t>
            </w:r>
            <w:r>
              <w:rPr>
                <w:rFonts w:eastAsia="宋体" w:cs="Times New Roman"/>
                <w:color w:val="000000"/>
                <w:kern w:val="0"/>
                <w:sz w:val="22"/>
              </w:rPr>
              <w:t>490000</w:t>
            </w:r>
            <w:r>
              <w:rPr>
                <w:rFonts w:hint="eastAsia" w:cs="Times New Roman"/>
                <w:color w:val="000000"/>
                <w:kern w:val="0"/>
                <w:sz w:val="22"/>
              </w:rPr>
              <w:t>㎡，地下建筑面积（车库及设备用房）约</w:t>
            </w:r>
            <w:r>
              <w:rPr>
                <w:rFonts w:eastAsia="宋体" w:cs="Times New Roman"/>
                <w:color w:val="000000"/>
                <w:kern w:val="0"/>
                <w:sz w:val="22"/>
              </w:rPr>
              <w:t>190000</w:t>
            </w:r>
            <w:r>
              <w:rPr>
                <w:rFonts w:hint="eastAsia" w:cs="Times New Roman"/>
                <w:color w:val="000000"/>
                <w:kern w:val="0"/>
                <w:sz w:val="22"/>
              </w:rPr>
              <w:t>㎡。</w:t>
            </w:r>
          </w:p>
        </w:tc>
      </w:tr>
      <w:tr>
        <w:tblPrEx>
          <w:tblCellMar>
            <w:top w:w="0" w:type="dxa"/>
            <w:left w:w="108" w:type="dxa"/>
            <w:bottom w:w="0" w:type="dxa"/>
            <w:right w:w="108" w:type="dxa"/>
          </w:tblCellMar>
        </w:tblPrEx>
        <w:trPr>
          <w:trHeight w:val="1344"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24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color w:val="000000"/>
                <w:kern w:val="0"/>
                <w:sz w:val="22"/>
              </w:rPr>
            </w:pPr>
          </w:p>
        </w:tc>
      </w:tr>
      <w:tr>
        <w:tblPrEx>
          <w:tblCellMar>
            <w:top w:w="0" w:type="dxa"/>
            <w:left w:w="108" w:type="dxa"/>
            <w:bottom w:w="0" w:type="dxa"/>
            <w:right w:w="108" w:type="dxa"/>
          </w:tblCellMar>
        </w:tblPrEx>
        <w:trPr>
          <w:trHeight w:val="288"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57</w:t>
            </w:r>
          </w:p>
        </w:tc>
        <w:tc>
          <w:tcPr>
            <w:tcW w:w="24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金凤城市中心二期</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楼宇厂房</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10</w:t>
            </w:r>
          </w:p>
        </w:tc>
        <w:tc>
          <w:tcPr>
            <w:tcW w:w="141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w:t>
            </w:r>
          </w:p>
        </w:tc>
        <w:tc>
          <w:tcPr>
            <w:tcW w:w="63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color w:val="000000"/>
                <w:kern w:val="0"/>
                <w:sz w:val="22"/>
              </w:rPr>
            </w:pPr>
            <w:r>
              <w:rPr>
                <w:rFonts w:hint="eastAsia" w:cs="Times New Roman"/>
                <w:color w:val="000000"/>
                <w:kern w:val="0"/>
                <w:sz w:val="22"/>
              </w:rPr>
              <w:t>项目位于金凤城市中心，凤鸣湖西侧、新州大道以东四个地块，占地面积</w:t>
            </w:r>
            <w:r>
              <w:rPr>
                <w:rFonts w:eastAsia="宋体" w:cs="Times New Roman"/>
                <w:color w:val="000000"/>
                <w:kern w:val="0"/>
                <w:sz w:val="22"/>
              </w:rPr>
              <w:t>7.96</w:t>
            </w:r>
            <w:r>
              <w:rPr>
                <w:rFonts w:hint="eastAsia" w:cs="Times New Roman"/>
                <w:color w:val="000000"/>
                <w:kern w:val="0"/>
                <w:sz w:val="22"/>
              </w:rPr>
              <w:t>万平方米，总建筑面积约</w:t>
            </w:r>
            <w:r>
              <w:rPr>
                <w:rFonts w:eastAsia="宋体" w:cs="Times New Roman"/>
                <w:color w:val="000000"/>
                <w:kern w:val="0"/>
                <w:sz w:val="22"/>
              </w:rPr>
              <w:t>29.7</w:t>
            </w:r>
            <w:r>
              <w:rPr>
                <w:rFonts w:hint="eastAsia" w:cs="Times New Roman"/>
                <w:color w:val="000000"/>
                <w:kern w:val="0"/>
                <w:sz w:val="22"/>
              </w:rPr>
              <w:t>万平方米。</w:t>
            </w:r>
          </w:p>
        </w:tc>
      </w:tr>
      <w:tr>
        <w:tblPrEx>
          <w:tblCellMar>
            <w:top w:w="0" w:type="dxa"/>
            <w:left w:w="108" w:type="dxa"/>
            <w:bottom w:w="0" w:type="dxa"/>
            <w:right w:w="108" w:type="dxa"/>
          </w:tblCellMar>
        </w:tblPrEx>
        <w:trPr>
          <w:trHeight w:val="288"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24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color w:val="000000"/>
                <w:kern w:val="0"/>
                <w:sz w:val="22"/>
              </w:rPr>
            </w:pPr>
          </w:p>
        </w:tc>
      </w:tr>
      <w:tr>
        <w:tblPrEx>
          <w:tblCellMar>
            <w:top w:w="0" w:type="dxa"/>
            <w:left w:w="108" w:type="dxa"/>
            <w:bottom w:w="0" w:type="dxa"/>
            <w:right w:w="108" w:type="dxa"/>
          </w:tblCellMar>
        </w:tblPrEx>
        <w:trPr>
          <w:trHeight w:val="288"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58</w:t>
            </w:r>
          </w:p>
        </w:tc>
        <w:tc>
          <w:tcPr>
            <w:tcW w:w="24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color w:val="000000"/>
                <w:kern w:val="0"/>
                <w:sz w:val="22"/>
              </w:rPr>
            </w:pPr>
            <w:r>
              <w:rPr>
                <w:rFonts w:hint="eastAsia" w:cs="宋体"/>
                <w:color w:val="000000"/>
                <w:kern w:val="0"/>
                <w:sz w:val="22"/>
              </w:rPr>
              <w:t>新春路（高新大道</w:t>
            </w:r>
            <w:r>
              <w:rPr>
                <w:rFonts w:cs="Times New Roman"/>
                <w:color w:val="000000"/>
                <w:kern w:val="0"/>
                <w:sz w:val="22"/>
              </w:rPr>
              <w:t>-</w:t>
            </w:r>
            <w:r>
              <w:rPr>
                <w:rFonts w:hint="eastAsia" w:cs="宋体"/>
                <w:color w:val="000000"/>
                <w:kern w:val="0"/>
                <w:sz w:val="22"/>
              </w:rPr>
              <w:t>高腾大道段）</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道路工程</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3.7</w:t>
            </w:r>
          </w:p>
        </w:tc>
        <w:tc>
          <w:tcPr>
            <w:tcW w:w="141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0.8</w:t>
            </w:r>
          </w:p>
        </w:tc>
        <w:tc>
          <w:tcPr>
            <w:tcW w:w="63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cs="宋体"/>
                <w:kern w:val="0"/>
                <w:sz w:val="22"/>
              </w:rPr>
            </w:pPr>
            <w:r>
              <w:rPr>
                <w:rFonts w:hint="eastAsia" w:cs="宋体"/>
                <w:kern w:val="0"/>
                <w:sz w:val="22"/>
              </w:rPr>
              <w:t>城市主干道，设计速度</w:t>
            </w:r>
            <w:r>
              <w:rPr>
                <w:rFonts w:cs="Times New Roman"/>
                <w:kern w:val="0"/>
                <w:sz w:val="22"/>
              </w:rPr>
              <w:t>40km/h</w:t>
            </w:r>
            <w:r>
              <w:rPr>
                <w:rFonts w:hint="eastAsia" w:cs="宋体"/>
                <w:kern w:val="0"/>
                <w:sz w:val="22"/>
              </w:rPr>
              <w:t>，标准路幅宽度为</w:t>
            </w:r>
            <w:r>
              <w:rPr>
                <w:rFonts w:cs="Times New Roman"/>
                <w:kern w:val="0"/>
                <w:sz w:val="22"/>
              </w:rPr>
              <w:t>32m</w:t>
            </w:r>
            <w:r>
              <w:rPr>
                <w:rFonts w:hint="eastAsia" w:cs="宋体"/>
                <w:kern w:val="0"/>
                <w:sz w:val="22"/>
              </w:rPr>
              <w:t>，双向六车道全长</w:t>
            </w:r>
            <w:r>
              <w:rPr>
                <w:rFonts w:cs="Times New Roman"/>
                <w:kern w:val="0"/>
                <w:sz w:val="22"/>
              </w:rPr>
              <w:t>1.7km</w:t>
            </w:r>
            <w:r>
              <w:rPr>
                <w:rFonts w:hint="eastAsia" w:cs="宋体"/>
                <w:kern w:val="0"/>
                <w:sz w:val="22"/>
              </w:rPr>
              <w:t>。</w:t>
            </w:r>
          </w:p>
        </w:tc>
      </w:tr>
      <w:tr>
        <w:tblPrEx>
          <w:tblCellMar>
            <w:top w:w="0" w:type="dxa"/>
            <w:left w:w="108" w:type="dxa"/>
            <w:bottom w:w="0" w:type="dxa"/>
            <w:right w:w="108" w:type="dxa"/>
          </w:tblCellMar>
        </w:tblPrEx>
        <w:trPr>
          <w:trHeight w:val="288"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24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color w:val="000000"/>
                <w:kern w:val="0"/>
                <w:sz w:val="22"/>
              </w:rPr>
            </w:pP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r>
      <w:tr>
        <w:tblPrEx>
          <w:tblCellMar>
            <w:top w:w="0" w:type="dxa"/>
            <w:left w:w="108" w:type="dxa"/>
            <w:bottom w:w="0" w:type="dxa"/>
            <w:right w:w="108" w:type="dxa"/>
          </w:tblCellMar>
        </w:tblPrEx>
        <w:trPr>
          <w:trHeight w:val="288"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59</w:t>
            </w:r>
          </w:p>
        </w:tc>
        <w:tc>
          <w:tcPr>
            <w:tcW w:w="24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新森大道（成渝高速</w:t>
            </w:r>
            <w:r>
              <w:rPr>
                <w:rFonts w:cs="Times New Roman"/>
                <w:kern w:val="0"/>
                <w:sz w:val="22"/>
              </w:rPr>
              <w:t>-</w:t>
            </w:r>
            <w:r>
              <w:rPr>
                <w:rFonts w:hint="eastAsia" w:cs="宋体"/>
                <w:kern w:val="0"/>
                <w:sz w:val="22"/>
              </w:rPr>
              <w:t>国福路段）</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道路工程</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23.2</w:t>
            </w:r>
          </w:p>
        </w:tc>
        <w:tc>
          <w:tcPr>
            <w:tcW w:w="141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0.5</w:t>
            </w:r>
          </w:p>
        </w:tc>
        <w:tc>
          <w:tcPr>
            <w:tcW w:w="63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kern w:val="0"/>
                <w:sz w:val="22"/>
              </w:rPr>
            </w:pPr>
            <w:r>
              <w:rPr>
                <w:rFonts w:hint="eastAsia" w:cs="Times New Roman"/>
                <w:kern w:val="0"/>
                <w:sz w:val="22"/>
              </w:rPr>
              <w:t>道路全长约</w:t>
            </w:r>
            <w:r>
              <w:rPr>
                <w:rFonts w:eastAsia="宋体" w:cs="Times New Roman"/>
                <w:kern w:val="0"/>
                <w:sz w:val="22"/>
              </w:rPr>
              <w:t>7.3</w:t>
            </w:r>
            <w:r>
              <w:rPr>
                <w:rFonts w:hint="eastAsia" w:cs="Times New Roman"/>
                <w:kern w:val="0"/>
                <w:sz w:val="22"/>
              </w:rPr>
              <w:t>公里，宽</w:t>
            </w:r>
            <w:r>
              <w:rPr>
                <w:rFonts w:eastAsia="宋体" w:cs="Times New Roman"/>
                <w:kern w:val="0"/>
                <w:sz w:val="22"/>
              </w:rPr>
              <w:t>47m</w:t>
            </w:r>
            <w:r>
              <w:rPr>
                <w:rFonts w:hint="eastAsia" w:cs="Times New Roman"/>
                <w:kern w:val="0"/>
                <w:sz w:val="22"/>
              </w:rPr>
              <w:t>，规划为双向六车道，为主干路。</w:t>
            </w:r>
          </w:p>
        </w:tc>
      </w:tr>
      <w:tr>
        <w:tblPrEx>
          <w:tblCellMar>
            <w:top w:w="0" w:type="dxa"/>
            <w:left w:w="108" w:type="dxa"/>
            <w:bottom w:w="0" w:type="dxa"/>
            <w:right w:w="108" w:type="dxa"/>
          </w:tblCellMar>
        </w:tblPrEx>
        <w:trPr>
          <w:trHeight w:val="288"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24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r>
      <w:tr>
        <w:tblPrEx>
          <w:tblCellMar>
            <w:top w:w="0" w:type="dxa"/>
            <w:left w:w="108" w:type="dxa"/>
            <w:bottom w:w="0" w:type="dxa"/>
            <w:right w:w="108" w:type="dxa"/>
          </w:tblCellMar>
        </w:tblPrEx>
        <w:trPr>
          <w:trHeight w:val="288"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60</w:t>
            </w:r>
          </w:p>
        </w:tc>
        <w:tc>
          <w:tcPr>
            <w:tcW w:w="24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珊瑚大道（新森大道</w:t>
            </w:r>
            <w:r>
              <w:rPr>
                <w:rFonts w:cs="Times New Roman"/>
                <w:kern w:val="0"/>
                <w:sz w:val="22"/>
              </w:rPr>
              <w:t>-</w:t>
            </w:r>
            <w:r>
              <w:rPr>
                <w:rFonts w:hint="eastAsia" w:cs="宋体"/>
                <w:kern w:val="0"/>
                <w:sz w:val="22"/>
              </w:rPr>
              <w:t>石坝立交段）</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道路工程</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6.5</w:t>
            </w:r>
          </w:p>
        </w:tc>
        <w:tc>
          <w:tcPr>
            <w:tcW w:w="141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w:t>
            </w:r>
          </w:p>
        </w:tc>
        <w:tc>
          <w:tcPr>
            <w:tcW w:w="63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cs="宋体"/>
                <w:kern w:val="0"/>
                <w:sz w:val="22"/>
              </w:rPr>
            </w:pPr>
            <w:r>
              <w:rPr>
                <w:rFonts w:hint="eastAsia" w:cs="宋体"/>
                <w:kern w:val="0"/>
                <w:sz w:val="22"/>
              </w:rPr>
              <w:t>道路全长</w:t>
            </w:r>
            <w:r>
              <w:rPr>
                <w:rFonts w:cs="Times New Roman"/>
                <w:kern w:val="0"/>
                <w:sz w:val="22"/>
              </w:rPr>
              <w:t>1.5km</w:t>
            </w:r>
            <w:r>
              <w:rPr>
                <w:rFonts w:hint="eastAsia" w:cs="宋体"/>
                <w:kern w:val="0"/>
                <w:sz w:val="22"/>
              </w:rPr>
              <w:t>，城市主干路，设计速度</w:t>
            </w:r>
            <w:r>
              <w:rPr>
                <w:rFonts w:cs="Times New Roman"/>
                <w:kern w:val="0"/>
                <w:sz w:val="22"/>
              </w:rPr>
              <w:t>60km/h</w:t>
            </w:r>
            <w:r>
              <w:rPr>
                <w:rFonts w:hint="eastAsia" w:cs="宋体"/>
                <w:kern w:val="0"/>
                <w:sz w:val="22"/>
              </w:rPr>
              <w:t>，标准路幅宽度</w:t>
            </w:r>
            <w:r>
              <w:rPr>
                <w:rFonts w:cs="Times New Roman"/>
                <w:kern w:val="0"/>
                <w:sz w:val="22"/>
              </w:rPr>
              <w:t>44m</w:t>
            </w:r>
            <w:r>
              <w:rPr>
                <w:rFonts w:hint="eastAsia" w:cs="宋体"/>
                <w:kern w:val="0"/>
                <w:sz w:val="22"/>
              </w:rPr>
              <w:t>，双向</w:t>
            </w:r>
            <w:r>
              <w:rPr>
                <w:rFonts w:cs="Times New Roman"/>
                <w:kern w:val="0"/>
                <w:sz w:val="22"/>
              </w:rPr>
              <w:t>6</w:t>
            </w:r>
            <w:r>
              <w:rPr>
                <w:rFonts w:hint="eastAsia" w:cs="宋体"/>
                <w:kern w:val="0"/>
                <w:sz w:val="22"/>
              </w:rPr>
              <w:t>车道。</w:t>
            </w:r>
          </w:p>
        </w:tc>
      </w:tr>
      <w:tr>
        <w:tblPrEx>
          <w:tblCellMar>
            <w:top w:w="0" w:type="dxa"/>
            <w:left w:w="108" w:type="dxa"/>
            <w:bottom w:w="0" w:type="dxa"/>
            <w:right w:w="108" w:type="dxa"/>
          </w:tblCellMar>
        </w:tblPrEx>
        <w:trPr>
          <w:trHeight w:val="288"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24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r>
      <w:tr>
        <w:tblPrEx>
          <w:tblCellMar>
            <w:top w:w="0" w:type="dxa"/>
            <w:left w:w="108" w:type="dxa"/>
            <w:bottom w:w="0" w:type="dxa"/>
            <w:right w:w="108" w:type="dxa"/>
          </w:tblCellMar>
        </w:tblPrEx>
        <w:trPr>
          <w:trHeight w:val="288"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61</w:t>
            </w:r>
          </w:p>
        </w:tc>
        <w:tc>
          <w:tcPr>
            <w:tcW w:w="24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虎曾路（科技大道）改造工程</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道路工程</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12.8</w:t>
            </w:r>
          </w:p>
        </w:tc>
        <w:tc>
          <w:tcPr>
            <w:tcW w:w="141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2</w:t>
            </w:r>
          </w:p>
        </w:tc>
        <w:tc>
          <w:tcPr>
            <w:tcW w:w="63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kern w:val="0"/>
                <w:sz w:val="22"/>
              </w:rPr>
            </w:pPr>
            <w:r>
              <w:rPr>
                <w:rFonts w:hint="eastAsia" w:cs="Times New Roman"/>
                <w:kern w:val="0"/>
                <w:sz w:val="22"/>
              </w:rPr>
              <w:t>对虎曾路（科技大道）大学城北一路至樱桃路段进行改建，改建总长度约</w:t>
            </w:r>
            <w:r>
              <w:rPr>
                <w:rFonts w:eastAsia="宋体" w:cs="Times New Roman"/>
                <w:kern w:val="0"/>
                <w:sz w:val="22"/>
              </w:rPr>
              <w:t>13.6</w:t>
            </w:r>
            <w:r>
              <w:rPr>
                <w:rFonts w:hint="eastAsia" w:cs="Times New Roman"/>
                <w:kern w:val="0"/>
                <w:sz w:val="22"/>
              </w:rPr>
              <w:t>公里，该段包含国道</w:t>
            </w:r>
            <w:r>
              <w:rPr>
                <w:rFonts w:eastAsia="宋体" w:cs="Times New Roman"/>
                <w:kern w:val="0"/>
                <w:sz w:val="22"/>
              </w:rPr>
              <w:t>212</w:t>
            </w:r>
            <w:r>
              <w:rPr>
                <w:rFonts w:hint="eastAsia" w:cs="Times New Roman"/>
                <w:kern w:val="0"/>
                <w:sz w:val="22"/>
              </w:rPr>
              <w:t>凤笙路至高龙大道段约</w:t>
            </w:r>
            <w:r>
              <w:rPr>
                <w:rFonts w:eastAsia="宋体" w:cs="Times New Roman"/>
                <w:kern w:val="0"/>
                <w:sz w:val="22"/>
              </w:rPr>
              <w:t>2.1</w:t>
            </w:r>
            <w:r>
              <w:rPr>
                <w:rFonts w:hint="eastAsia" w:cs="Times New Roman"/>
                <w:kern w:val="0"/>
                <w:sz w:val="22"/>
              </w:rPr>
              <w:t>公里。</w:t>
            </w:r>
          </w:p>
        </w:tc>
      </w:tr>
      <w:tr>
        <w:tblPrEx>
          <w:tblCellMar>
            <w:top w:w="0" w:type="dxa"/>
            <w:left w:w="108" w:type="dxa"/>
            <w:bottom w:w="0" w:type="dxa"/>
            <w:right w:w="108" w:type="dxa"/>
          </w:tblCellMar>
        </w:tblPrEx>
        <w:trPr>
          <w:trHeight w:val="288"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24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318"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r>
      <w:tr>
        <w:tblPrEx>
          <w:tblCellMar>
            <w:top w:w="0" w:type="dxa"/>
            <w:left w:w="108" w:type="dxa"/>
            <w:bottom w:w="0" w:type="dxa"/>
            <w:right w:w="108" w:type="dxa"/>
          </w:tblCellMar>
        </w:tblPrEx>
        <w:trPr>
          <w:trHeight w:val="288"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62</w:t>
            </w:r>
          </w:p>
        </w:tc>
        <w:tc>
          <w:tcPr>
            <w:tcW w:w="24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金凤湖水库工程</w:t>
            </w: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前期</w:t>
            </w:r>
          </w:p>
        </w:tc>
        <w:tc>
          <w:tcPr>
            <w:tcW w:w="106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生态水利</w:t>
            </w:r>
          </w:p>
        </w:tc>
        <w:tc>
          <w:tcPr>
            <w:tcW w:w="126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10</w:t>
            </w:r>
          </w:p>
        </w:tc>
        <w:tc>
          <w:tcPr>
            <w:tcW w:w="141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cs="Times New Roman"/>
                <w:kern w:val="0"/>
                <w:sz w:val="22"/>
              </w:rPr>
            </w:pPr>
            <w:r>
              <w:rPr>
                <w:rFonts w:eastAsia="宋体" w:cs="Times New Roman"/>
                <w:kern w:val="0"/>
                <w:sz w:val="22"/>
              </w:rPr>
              <w:t>1</w:t>
            </w:r>
          </w:p>
        </w:tc>
        <w:tc>
          <w:tcPr>
            <w:tcW w:w="63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rPr>
                <w:rFonts w:eastAsia="宋体" w:cs="Times New Roman"/>
                <w:kern w:val="0"/>
                <w:sz w:val="22"/>
              </w:rPr>
            </w:pPr>
            <w:r>
              <w:rPr>
                <w:rFonts w:hint="eastAsia" w:cs="Times New Roman"/>
                <w:kern w:val="0"/>
                <w:sz w:val="22"/>
              </w:rPr>
              <w:t>金凤湖（水库）工程位于重庆市高新区金凤镇白鹤村牛老滩，拟建坝址位于莲花滩河干流龙潭沟汇口以上约</w:t>
            </w:r>
            <w:r>
              <w:rPr>
                <w:rFonts w:eastAsia="宋体" w:cs="Times New Roman"/>
                <w:kern w:val="0"/>
                <w:sz w:val="22"/>
              </w:rPr>
              <w:t>1.4km</w:t>
            </w:r>
            <w:r>
              <w:rPr>
                <w:rFonts w:hint="eastAsia" w:cs="Times New Roman"/>
                <w:kern w:val="0"/>
                <w:sz w:val="22"/>
              </w:rPr>
              <w:t>处，为梁滩河干流一级支流。水库建成后水域面积约</w:t>
            </w:r>
            <w:r>
              <w:rPr>
                <w:rFonts w:eastAsia="宋体" w:cs="Times New Roman"/>
                <w:kern w:val="0"/>
                <w:sz w:val="22"/>
              </w:rPr>
              <w:t>3000</w:t>
            </w:r>
            <w:r>
              <w:rPr>
                <w:rFonts w:hint="eastAsia" w:cs="Times New Roman"/>
                <w:kern w:val="0"/>
                <w:sz w:val="22"/>
              </w:rPr>
              <w:t>亩（暂定），总库容约</w:t>
            </w:r>
            <w:r>
              <w:rPr>
                <w:rFonts w:eastAsia="宋体" w:cs="Times New Roman"/>
                <w:kern w:val="0"/>
                <w:sz w:val="22"/>
              </w:rPr>
              <w:t>600</w:t>
            </w:r>
            <w:r>
              <w:rPr>
                <w:rFonts w:hint="eastAsia" w:cs="Times New Roman"/>
                <w:kern w:val="0"/>
                <w:sz w:val="22"/>
              </w:rPr>
              <w:t>万</w:t>
            </w:r>
            <w:r>
              <w:rPr>
                <w:rFonts w:eastAsia="宋体" w:cs="Times New Roman"/>
                <w:kern w:val="0"/>
                <w:sz w:val="22"/>
              </w:rPr>
              <w:t>m3</w:t>
            </w:r>
            <w:r>
              <w:rPr>
                <w:rFonts w:hint="eastAsia" w:cs="Times New Roman"/>
                <w:kern w:val="0"/>
                <w:sz w:val="22"/>
              </w:rPr>
              <w:t>。工程任务为以防洪排涝、生态补水为主，兼具改善城市生态环境的综合性小（</w:t>
            </w:r>
            <w:r>
              <w:rPr>
                <w:rFonts w:eastAsia="宋体" w:cs="Times New Roman"/>
                <w:kern w:val="0"/>
                <w:sz w:val="22"/>
              </w:rPr>
              <w:t>1</w:t>
            </w:r>
            <w:r>
              <w:rPr>
                <w:rFonts w:hint="eastAsia" w:cs="Times New Roman"/>
                <w:kern w:val="0"/>
                <w:sz w:val="22"/>
              </w:rPr>
              <w:t>）型水利工程。</w:t>
            </w:r>
          </w:p>
        </w:tc>
      </w:tr>
      <w:tr>
        <w:tblPrEx>
          <w:tblCellMar>
            <w:top w:w="0" w:type="dxa"/>
            <w:left w:w="108" w:type="dxa"/>
            <w:bottom w:w="0" w:type="dxa"/>
            <w:right w:w="108" w:type="dxa"/>
          </w:tblCellMar>
        </w:tblPrEx>
        <w:trPr>
          <w:trHeight w:val="288"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24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31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宋体"/>
                <w:kern w:val="0"/>
                <w:sz w:val="22"/>
              </w:rPr>
            </w:pPr>
            <w:r>
              <w:rPr>
                <w:rFonts w:hint="eastAsia" w:cs="宋体"/>
                <w:kern w:val="0"/>
                <w:sz w:val="22"/>
              </w:rPr>
              <w:t>实施</w:t>
            </w:r>
          </w:p>
        </w:tc>
        <w:tc>
          <w:tcPr>
            <w:tcW w:w="106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cs="宋体"/>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c>
          <w:tcPr>
            <w:tcW w:w="63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auto"/>
              <w:ind w:firstLine="0" w:firstLineChars="0"/>
              <w:jc w:val="left"/>
              <w:rPr>
                <w:rFonts w:eastAsia="宋体" w:cs="Times New Roman"/>
                <w:kern w:val="0"/>
                <w:sz w:val="22"/>
              </w:rPr>
            </w:pPr>
          </w:p>
        </w:tc>
      </w:tr>
    </w:tbl>
    <w:p>
      <w:pPr>
        <w:widowControl/>
        <w:spacing w:line="940" w:lineRule="exact"/>
        <w:ind w:firstLine="0" w:firstLineChars="0"/>
        <w:jc w:val="center"/>
        <w:rPr>
          <w:rFonts w:eastAsia="方正小标宋_GBK"/>
          <w:bCs/>
          <w:color w:val="0D0D0D" w:themeColor="text1" w:themeTint="F2"/>
          <w:kern w:val="44"/>
          <w:szCs w:val="44"/>
          <w14:textFill>
            <w14:solidFill>
              <w14:schemeClr w14:val="tx1">
                <w14:lumMod w14:val="95000"/>
                <w14:lumOff w14:val="5000"/>
              </w14:schemeClr>
            </w14:solidFill>
          </w14:textFill>
        </w:rPr>
      </w:pPr>
    </w:p>
    <w:p>
      <w:pPr>
        <w:widowControl/>
        <w:spacing w:line="940" w:lineRule="exact"/>
        <w:ind w:firstLine="0" w:firstLineChars="0"/>
        <w:jc w:val="center"/>
        <w:rPr>
          <w:rFonts w:eastAsia="方正小标宋_GBK"/>
          <w:bCs/>
          <w:color w:val="0D0D0D" w:themeColor="text1" w:themeTint="F2"/>
          <w:kern w:val="44"/>
          <w:szCs w:val="44"/>
          <w14:textFill>
            <w14:solidFill>
              <w14:schemeClr w14:val="tx1">
                <w14:lumMod w14:val="95000"/>
                <w14:lumOff w14:val="5000"/>
              </w14:schemeClr>
            </w14:solidFill>
          </w14:textFill>
        </w:rPr>
        <w:sectPr>
          <w:pgSz w:w="16838" w:h="11906" w:orient="landscape"/>
          <w:pgMar w:top="1531" w:right="2098" w:bottom="1531" w:left="1985" w:header="851" w:footer="1417" w:gutter="0"/>
          <w:cols w:space="425" w:num="1"/>
          <w:docGrid w:type="lines" w:linePitch="435" w:charSpace="0"/>
        </w:sectPr>
      </w:pPr>
    </w:p>
    <w:p>
      <w:pPr>
        <w:widowControl/>
        <w:spacing w:line="940" w:lineRule="exact"/>
        <w:ind w:firstLine="0" w:firstLineChars="0"/>
        <w:jc w:val="center"/>
        <w:rPr>
          <w:rFonts w:eastAsia="方正小标宋_GBK"/>
          <w:bCs/>
          <w:color w:val="0D0D0D" w:themeColor="text1" w:themeTint="F2"/>
          <w:kern w:val="44"/>
          <w:szCs w:val="44"/>
          <w14:textFill>
            <w14:solidFill>
              <w14:schemeClr w14:val="tx1">
                <w14:lumMod w14:val="95000"/>
                <w14:lumOff w14:val="5000"/>
              </w14:schemeClr>
            </w14:solidFill>
          </w14:textFill>
        </w:rPr>
      </w:pPr>
    </w:p>
    <w:p>
      <w:pPr>
        <w:widowControl/>
        <w:spacing w:line="940" w:lineRule="exact"/>
        <w:ind w:firstLine="0" w:firstLineChars="0"/>
        <w:jc w:val="center"/>
        <w:rPr>
          <w:rFonts w:eastAsia="方正小标宋_GBK"/>
          <w:bCs/>
          <w:color w:val="0D0D0D" w:themeColor="text1" w:themeTint="F2"/>
          <w:kern w:val="44"/>
          <w:szCs w:val="44"/>
          <w14:textFill>
            <w14:solidFill>
              <w14:schemeClr w14:val="tx1">
                <w14:lumMod w14:val="95000"/>
                <w14:lumOff w14:val="5000"/>
              </w14:schemeClr>
            </w14:solidFill>
          </w14:textFill>
        </w:rPr>
      </w:pPr>
    </w:p>
    <w:p>
      <w:pPr>
        <w:widowControl/>
        <w:spacing w:line="940" w:lineRule="exact"/>
        <w:ind w:firstLine="0" w:firstLineChars="0"/>
        <w:jc w:val="center"/>
        <w:rPr>
          <w:rFonts w:eastAsia="方正小标宋_GBK"/>
          <w:bCs/>
          <w:color w:val="0D0D0D" w:themeColor="text1" w:themeTint="F2"/>
          <w:kern w:val="44"/>
          <w:szCs w:val="44"/>
          <w14:textFill>
            <w14:solidFill>
              <w14:schemeClr w14:val="tx1">
                <w14:lumMod w14:val="95000"/>
                <w14:lumOff w14:val="5000"/>
              </w14:schemeClr>
            </w14:solidFill>
          </w14:textFill>
        </w:rPr>
      </w:pPr>
    </w:p>
    <w:p>
      <w:pPr>
        <w:widowControl/>
        <w:spacing w:line="940" w:lineRule="exact"/>
        <w:ind w:firstLine="0" w:firstLineChars="0"/>
        <w:jc w:val="center"/>
        <w:rPr>
          <w:rFonts w:eastAsia="方正小标宋_GBK"/>
          <w:bCs/>
          <w:color w:val="0D0D0D" w:themeColor="text1" w:themeTint="F2"/>
          <w:kern w:val="44"/>
          <w:szCs w:val="44"/>
          <w14:textFill>
            <w14:solidFill>
              <w14:schemeClr w14:val="tx1">
                <w14:lumMod w14:val="95000"/>
                <w14:lumOff w14:val="5000"/>
              </w14:schemeClr>
            </w14:solidFill>
          </w14:textFill>
        </w:rPr>
      </w:pPr>
    </w:p>
    <w:p>
      <w:pPr>
        <w:widowControl/>
        <w:spacing w:line="940" w:lineRule="exact"/>
        <w:ind w:firstLine="0" w:firstLineChars="0"/>
        <w:jc w:val="center"/>
        <w:rPr>
          <w:rFonts w:eastAsia="方正小标宋_GBK"/>
          <w:bCs/>
          <w:color w:val="0D0D0D" w:themeColor="text1" w:themeTint="F2"/>
          <w:kern w:val="44"/>
          <w:szCs w:val="44"/>
          <w14:textFill>
            <w14:solidFill>
              <w14:schemeClr w14:val="tx1">
                <w14:lumMod w14:val="95000"/>
                <w14:lumOff w14:val="5000"/>
              </w14:schemeClr>
            </w14:solidFill>
          </w14:textFill>
        </w:rPr>
      </w:pPr>
    </w:p>
    <w:p>
      <w:pPr>
        <w:widowControl/>
        <w:spacing w:line="940" w:lineRule="exact"/>
        <w:ind w:firstLine="0" w:firstLineChars="0"/>
        <w:jc w:val="center"/>
        <w:rPr>
          <w:rFonts w:eastAsia="方正小标宋_GBK"/>
          <w:bCs/>
          <w:color w:val="0D0D0D" w:themeColor="text1" w:themeTint="F2"/>
          <w:kern w:val="44"/>
          <w:szCs w:val="44"/>
          <w14:textFill>
            <w14:solidFill>
              <w14:schemeClr w14:val="tx1">
                <w14:lumMod w14:val="95000"/>
                <w14:lumOff w14:val="5000"/>
              </w14:schemeClr>
            </w14:solidFill>
          </w14:textFill>
        </w:rPr>
      </w:pPr>
    </w:p>
    <w:p>
      <w:pPr>
        <w:widowControl/>
        <w:spacing w:line="940" w:lineRule="exact"/>
        <w:ind w:firstLine="0" w:firstLineChars="0"/>
        <w:jc w:val="center"/>
        <w:rPr>
          <w:rFonts w:eastAsia="方正小标宋_GBK"/>
          <w:bCs/>
          <w:color w:val="0D0D0D" w:themeColor="text1" w:themeTint="F2"/>
          <w:kern w:val="44"/>
          <w:szCs w:val="44"/>
          <w14:textFill>
            <w14:solidFill>
              <w14:schemeClr w14:val="tx1">
                <w14:lumMod w14:val="95000"/>
                <w14:lumOff w14:val="5000"/>
              </w14:schemeClr>
            </w14:solidFill>
          </w14:textFill>
        </w:rPr>
      </w:pPr>
    </w:p>
    <w:p>
      <w:pPr>
        <w:widowControl/>
        <w:spacing w:line="940" w:lineRule="exact"/>
        <w:ind w:firstLine="0" w:firstLineChars="0"/>
        <w:jc w:val="center"/>
        <w:rPr>
          <w:rFonts w:eastAsia="方正小标宋_GBK"/>
          <w:bCs/>
          <w:color w:val="0D0D0D" w:themeColor="text1" w:themeTint="F2"/>
          <w:kern w:val="44"/>
          <w:szCs w:val="44"/>
          <w14:textFill>
            <w14:solidFill>
              <w14:schemeClr w14:val="tx1">
                <w14:lumMod w14:val="95000"/>
                <w14:lumOff w14:val="5000"/>
              </w14:schemeClr>
            </w14:solidFill>
          </w14:textFill>
        </w:rPr>
      </w:pPr>
    </w:p>
    <w:p>
      <w:pPr>
        <w:widowControl/>
        <w:spacing w:line="940" w:lineRule="exact"/>
        <w:ind w:firstLine="0" w:firstLineChars="0"/>
        <w:jc w:val="center"/>
        <w:rPr>
          <w:rFonts w:eastAsia="方正小标宋_GBK"/>
          <w:bCs/>
          <w:color w:val="0D0D0D" w:themeColor="text1" w:themeTint="F2"/>
          <w:kern w:val="44"/>
          <w:szCs w:val="44"/>
          <w14:textFill>
            <w14:solidFill>
              <w14:schemeClr w14:val="tx1">
                <w14:lumMod w14:val="95000"/>
                <w14:lumOff w14:val="5000"/>
              </w14:schemeClr>
            </w14:solidFill>
          </w14:textFill>
        </w:rPr>
      </w:pPr>
    </w:p>
    <w:p>
      <w:pPr>
        <w:widowControl/>
        <w:spacing w:line="940" w:lineRule="exact"/>
        <w:ind w:firstLine="0" w:firstLineChars="0"/>
        <w:jc w:val="center"/>
        <w:rPr>
          <w:rFonts w:eastAsia="方正小标宋_GBK"/>
          <w:bCs/>
          <w:color w:val="0D0D0D" w:themeColor="text1" w:themeTint="F2"/>
          <w:kern w:val="44"/>
          <w:szCs w:val="44"/>
          <w14:textFill>
            <w14:solidFill>
              <w14:schemeClr w14:val="tx1">
                <w14:lumMod w14:val="95000"/>
                <w14:lumOff w14:val="5000"/>
              </w14:schemeClr>
            </w14:solidFill>
          </w14:textFill>
        </w:rPr>
      </w:pPr>
    </w:p>
    <w:p>
      <w:pPr>
        <w:widowControl/>
        <w:spacing w:line="940" w:lineRule="exact"/>
        <w:ind w:firstLine="0" w:firstLineChars="0"/>
        <w:jc w:val="center"/>
        <w:rPr>
          <w:rFonts w:eastAsia="方正小标宋_GBK"/>
          <w:bCs/>
          <w:color w:val="0D0D0D" w:themeColor="text1" w:themeTint="F2"/>
          <w:kern w:val="44"/>
          <w:szCs w:val="44"/>
          <w14:textFill>
            <w14:solidFill>
              <w14:schemeClr w14:val="tx1">
                <w14:lumMod w14:val="95000"/>
                <w14:lumOff w14:val="5000"/>
              </w14:schemeClr>
            </w14:solidFill>
          </w14:textFill>
        </w:rPr>
      </w:pPr>
    </w:p>
    <w:p>
      <w:pPr>
        <w:widowControl/>
        <w:spacing w:line="940" w:lineRule="exact"/>
        <w:ind w:firstLine="0" w:firstLineChars="0"/>
        <w:jc w:val="center"/>
        <w:rPr>
          <w:rFonts w:eastAsia="方正小标宋_GBK"/>
          <w:bCs/>
          <w:color w:val="0D0D0D" w:themeColor="text1" w:themeTint="F2"/>
          <w:kern w:val="44"/>
          <w:szCs w:val="44"/>
          <w14:textFill>
            <w14:solidFill>
              <w14:schemeClr w14:val="tx1">
                <w14:lumMod w14:val="95000"/>
                <w14:lumOff w14:val="5000"/>
              </w14:schemeClr>
            </w14:solidFill>
          </w14:textFill>
        </w:rPr>
      </w:pPr>
    </w:p>
    <w:p>
      <w:pPr>
        <w:widowControl/>
        <w:spacing w:line="940" w:lineRule="exact"/>
        <w:ind w:firstLine="0" w:firstLineChars="0"/>
        <w:jc w:val="center"/>
        <w:rPr>
          <w:rFonts w:eastAsia="方正小标宋_GBK"/>
          <w:bCs/>
          <w:color w:val="0D0D0D" w:themeColor="text1" w:themeTint="F2"/>
          <w:kern w:val="44"/>
          <w:szCs w:val="44"/>
          <w14:textFill>
            <w14:solidFill>
              <w14:schemeClr w14:val="tx1">
                <w14:lumMod w14:val="95000"/>
                <w14:lumOff w14:val="5000"/>
              </w14:schemeClr>
            </w14:solidFill>
          </w14:textFill>
        </w:rPr>
      </w:pPr>
    </w:p>
    <w:p>
      <w:pPr>
        <w:pBdr>
          <w:top w:val="single" w:color="auto" w:sz="4" w:space="0"/>
          <w:bottom w:val="single" w:color="auto" w:sz="4" w:space="1"/>
        </w:pBdr>
        <w:spacing w:line="400" w:lineRule="exact"/>
        <w:ind w:firstLine="280" w:firstLineChars="100"/>
        <w:jc w:val="left"/>
        <w:rPr>
          <w:sz w:val="24"/>
        </w:rPr>
      </w:pPr>
      <w:r>
        <w:rPr>
          <w:rFonts w:hint="eastAsia"/>
          <w:sz w:val="28"/>
          <w:szCs w:val="28"/>
        </w:rPr>
        <w:t>西部科学城</w:t>
      </w:r>
      <w:r>
        <w:rPr>
          <w:sz w:val="28"/>
          <w:szCs w:val="28"/>
        </w:rPr>
        <w:t>重庆高新区管委会办公室</w:t>
      </w:r>
      <w:r>
        <w:rPr>
          <w:rFonts w:hint="eastAsia"/>
          <w:sz w:val="28"/>
          <w:szCs w:val="28"/>
        </w:rPr>
        <w:t xml:space="preserve">        </w:t>
      </w:r>
      <w:r>
        <w:rPr>
          <w:sz w:val="28"/>
          <w:szCs w:val="28"/>
        </w:rPr>
        <w:t>202</w:t>
      </w:r>
      <w:r>
        <w:rPr>
          <w:rFonts w:hint="eastAsia"/>
          <w:sz w:val="28"/>
          <w:szCs w:val="28"/>
        </w:rPr>
        <w:t>3</w:t>
      </w:r>
      <w:r>
        <w:rPr>
          <w:sz w:val="28"/>
          <w:szCs w:val="28"/>
        </w:rPr>
        <w:t>年</w:t>
      </w:r>
      <w:r>
        <w:rPr>
          <w:rFonts w:hint="eastAsia"/>
          <w:sz w:val="28"/>
          <w:szCs w:val="28"/>
        </w:rPr>
        <w:t>3</w:t>
      </w:r>
      <w:r>
        <w:rPr>
          <w:sz w:val="28"/>
          <w:szCs w:val="28"/>
        </w:rPr>
        <w:t>月</w:t>
      </w:r>
      <w:r>
        <w:rPr>
          <w:rFonts w:hint="eastAsia"/>
          <w:sz w:val="28"/>
          <w:szCs w:val="28"/>
        </w:rPr>
        <w:t>1</w:t>
      </w:r>
      <w:r>
        <w:rPr>
          <w:sz w:val="28"/>
          <w:szCs w:val="28"/>
        </w:rPr>
        <w:t>日印发</w:t>
      </w:r>
    </w:p>
    <w:sectPr>
      <w:pgSz w:w="11906" w:h="16838"/>
      <w:pgMar w:top="2098" w:right="1531" w:bottom="1985" w:left="1531" w:header="851" w:footer="1417"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0E3FAAC-44C9-4AEC-ADE0-1767CFC6C76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F1C37635-C6AC-46F3-BE1B-D8855B7FB08A}"/>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embedRegular r:id="rId3" w:fontKey="{062EF3E5-D700-4C43-AB0F-138623859EB2}"/>
  </w:font>
  <w:font w:name="方正楷体_GBK">
    <w:panose1 w:val="02000000000000000000"/>
    <w:charset w:val="86"/>
    <w:family w:val="script"/>
    <w:pitch w:val="default"/>
    <w:sig w:usb0="800002BF" w:usb1="38CF7CFA" w:usb2="00000016" w:usb3="00000000" w:csb0="00040000" w:csb1="00000000"/>
    <w:embedRegular r:id="rId4" w:fontKey="{1CA91427-2969-4EDF-900A-5E72A131B619}"/>
  </w:font>
  <w:font w:name="方正小标宋_GBK">
    <w:panose1 w:val="02000000000000000000"/>
    <w:charset w:val="86"/>
    <w:family w:val="script"/>
    <w:pitch w:val="default"/>
    <w:sig w:usb0="A00002BF" w:usb1="38CF7CFA" w:usb2="00082016" w:usb3="00000000" w:csb0="00040001" w:csb1="00000000"/>
    <w:embedRegular r:id="rId5" w:fontKey="{016DC4A8-C4B9-4EA1-B970-F31E00D3B6D8}"/>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embedRegular r:id="rId6" w:fontKey="{07040888-4CA2-47C5-A93D-35D07582EA45}"/>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firstLine="560" w:firstLineChars="0"/>
      <w:jc w:val="right"/>
      <w:rPr>
        <w:rFonts w:ascii="宋体" w:hAnsi="宋体" w:eastAsia="宋体" w:cs="Times New Roman"/>
        <w:sz w:val="28"/>
        <w:szCs w:val="28"/>
      </w:rPr>
    </w:pPr>
    <w:bookmarkStart w:id="7" w:name="_Hlk55507234"/>
    <w:bookmarkStart w:id="8" w:name="_Hlk55507233"/>
    <w:r>
      <w:rPr>
        <w:rFonts w:ascii="宋体" w:hAnsi="宋体" w:eastAsia="宋体" w:cs="Times New Roman"/>
        <w:sz w:val="28"/>
        <w:szCs w:val="28"/>
      </w:rPr>
      <w:t xml:space="preserve">— </w:t>
    </w:r>
    <w:r>
      <w:rPr>
        <w:rFonts w:ascii="宋体" w:hAnsi="宋体" w:eastAsia="宋体" w:cs="Times New Roman"/>
        <w:sz w:val="28"/>
        <w:szCs w:val="28"/>
      </w:rPr>
      <w:fldChar w:fldCharType="begin"/>
    </w:r>
    <w:r>
      <w:rPr>
        <w:rFonts w:ascii="宋体" w:hAnsi="宋体" w:eastAsia="宋体" w:cs="Times New Roman"/>
        <w:sz w:val="28"/>
        <w:szCs w:val="28"/>
      </w:rPr>
      <w:instrText xml:space="preserve">PAGE   \* MERGEFORMAT</w:instrText>
    </w:r>
    <w:r>
      <w:rPr>
        <w:rFonts w:ascii="宋体" w:hAnsi="宋体" w:eastAsia="宋体" w:cs="Times New Roman"/>
        <w:sz w:val="28"/>
        <w:szCs w:val="28"/>
      </w:rPr>
      <w:fldChar w:fldCharType="separate"/>
    </w:r>
    <w:r>
      <w:rPr>
        <w:rFonts w:ascii="宋体" w:hAnsi="宋体" w:eastAsia="宋体" w:cs="Times New Roman"/>
        <w:sz w:val="28"/>
        <w:szCs w:val="28"/>
        <w:lang w:val="zh-CN"/>
      </w:rPr>
      <w:t>23</w:t>
    </w:r>
    <w:r>
      <w:rPr>
        <w:rFonts w:ascii="宋体" w:hAnsi="宋体" w:eastAsia="宋体" w:cs="Times New Roman"/>
        <w:sz w:val="28"/>
        <w:szCs w:val="28"/>
      </w:rPr>
      <w:fldChar w:fldCharType="end"/>
    </w:r>
    <w:r>
      <w:rPr>
        <w:rFonts w:ascii="宋体" w:hAnsi="宋体" w:eastAsia="宋体" w:cs="Times New Roman"/>
        <w:sz w:val="28"/>
        <w:szCs w:val="28"/>
      </w:rPr>
      <w:t xml:space="preserve"> —</w:t>
    </w:r>
    <w:bookmarkEnd w:id="7"/>
    <w:bookmarkEnd w:id="8"/>
    <w:r>
      <w:rPr>
        <w:rFonts w:hint="eastAsia" w:ascii="宋体" w:hAnsi="宋体" w:eastAsia="宋体" w:cs="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宋体" w:hAnsi="宋体" w:eastAsia="宋体" w:cs="Times New Roman"/>
        <w:sz w:val="28"/>
        <w:szCs w:val="28"/>
      </w:rPr>
    </w:pPr>
    <w:r>
      <w:rPr>
        <w:rFonts w:ascii="宋体" w:hAnsi="宋体" w:eastAsia="宋体" w:cs="Times New Roman"/>
        <w:sz w:val="28"/>
        <w:szCs w:val="28"/>
      </w:rPr>
      <w:t xml:space="preserve">— </w:t>
    </w:r>
    <w:r>
      <w:rPr>
        <w:rFonts w:ascii="宋体" w:hAnsi="宋体" w:eastAsia="宋体" w:cs="Times New Roman"/>
        <w:sz w:val="28"/>
        <w:szCs w:val="28"/>
      </w:rPr>
      <w:fldChar w:fldCharType="begin"/>
    </w:r>
    <w:r>
      <w:rPr>
        <w:rFonts w:ascii="宋体" w:hAnsi="宋体" w:eastAsia="宋体" w:cs="Times New Roman"/>
        <w:sz w:val="28"/>
        <w:szCs w:val="28"/>
      </w:rPr>
      <w:instrText xml:space="preserve">PAGE   \* MERGEFORMAT</w:instrText>
    </w:r>
    <w:r>
      <w:rPr>
        <w:rFonts w:ascii="宋体" w:hAnsi="宋体" w:eastAsia="宋体" w:cs="Times New Roman"/>
        <w:sz w:val="28"/>
        <w:szCs w:val="28"/>
      </w:rPr>
      <w:fldChar w:fldCharType="separate"/>
    </w:r>
    <w:r>
      <w:rPr>
        <w:rFonts w:ascii="宋体" w:hAnsi="宋体" w:eastAsia="宋体" w:cs="Times New Roman"/>
        <w:sz w:val="28"/>
        <w:szCs w:val="28"/>
      </w:rPr>
      <w:t>24</w:t>
    </w:r>
    <w:r>
      <w:rPr>
        <w:rFonts w:ascii="宋体" w:hAnsi="宋体" w:eastAsia="宋体" w:cs="Times New Roman"/>
        <w:sz w:val="28"/>
        <w:szCs w:val="28"/>
      </w:rPr>
      <w:fldChar w:fldCharType="end"/>
    </w:r>
    <w:r>
      <w:rPr>
        <w:rFonts w:ascii="宋体" w:hAnsi="宋体" w:eastAsia="宋体" w:cs="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evenAndOddHeaders w:val="1"/>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mYWUxOWJhMWE5OGFmZGQyNzA0NjBkZTNhOGRjMDEifQ=="/>
  </w:docVars>
  <w:rsids>
    <w:rsidRoot w:val="003B5B83"/>
    <w:rsid w:val="00010666"/>
    <w:rsid w:val="00016A0C"/>
    <w:rsid w:val="00017E0F"/>
    <w:rsid w:val="00020283"/>
    <w:rsid w:val="00023988"/>
    <w:rsid w:val="00030FF9"/>
    <w:rsid w:val="00031466"/>
    <w:rsid w:val="0003318D"/>
    <w:rsid w:val="00034F84"/>
    <w:rsid w:val="00037DC7"/>
    <w:rsid w:val="000411CC"/>
    <w:rsid w:val="000425EA"/>
    <w:rsid w:val="00044AAB"/>
    <w:rsid w:val="00053E24"/>
    <w:rsid w:val="000557C5"/>
    <w:rsid w:val="0006239D"/>
    <w:rsid w:val="00065238"/>
    <w:rsid w:val="000672A8"/>
    <w:rsid w:val="0007605B"/>
    <w:rsid w:val="000778FB"/>
    <w:rsid w:val="000835A8"/>
    <w:rsid w:val="00085801"/>
    <w:rsid w:val="00093F09"/>
    <w:rsid w:val="00094477"/>
    <w:rsid w:val="000950FC"/>
    <w:rsid w:val="000A2A29"/>
    <w:rsid w:val="000A37BC"/>
    <w:rsid w:val="000A40B7"/>
    <w:rsid w:val="000A47BD"/>
    <w:rsid w:val="000B78DD"/>
    <w:rsid w:val="000C0DD7"/>
    <w:rsid w:val="000C1968"/>
    <w:rsid w:val="000C302D"/>
    <w:rsid w:val="000C47F5"/>
    <w:rsid w:val="000C50F9"/>
    <w:rsid w:val="000D731F"/>
    <w:rsid w:val="000D77D3"/>
    <w:rsid w:val="000E07B5"/>
    <w:rsid w:val="000E4FCB"/>
    <w:rsid w:val="000E51DC"/>
    <w:rsid w:val="000F2409"/>
    <w:rsid w:val="000F3E54"/>
    <w:rsid w:val="0011239A"/>
    <w:rsid w:val="00112812"/>
    <w:rsid w:val="0011445B"/>
    <w:rsid w:val="001170F6"/>
    <w:rsid w:val="00121F51"/>
    <w:rsid w:val="00125514"/>
    <w:rsid w:val="00125750"/>
    <w:rsid w:val="001267F5"/>
    <w:rsid w:val="00134033"/>
    <w:rsid w:val="00141E1A"/>
    <w:rsid w:val="0015289F"/>
    <w:rsid w:val="00156092"/>
    <w:rsid w:val="00162EE4"/>
    <w:rsid w:val="0016412C"/>
    <w:rsid w:val="00172390"/>
    <w:rsid w:val="00183F9F"/>
    <w:rsid w:val="001846A2"/>
    <w:rsid w:val="00187E9A"/>
    <w:rsid w:val="00193970"/>
    <w:rsid w:val="001A500B"/>
    <w:rsid w:val="001B1D70"/>
    <w:rsid w:val="001B31BB"/>
    <w:rsid w:val="001B4303"/>
    <w:rsid w:val="001C0D07"/>
    <w:rsid w:val="001C224C"/>
    <w:rsid w:val="001C7A74"/>
    <w:rsid w:val="001D4516"/>
    <w:rsid w:val="001E3053"/>
    <w:rsid w:val="001E577A"/>
    <w:rsid w:val="001F4ED6"/>
    <w:rsid w:val="002005CC"/>
    <w:rsid w:val="0020156B"/>
    <w:rsid w:val="002055AD"/>
    <w:rsid w:val="0022312E"/>
    <w:rsid w:val="00224BBE"/>
    <w:rsid w:val="00225526"/>
    <w:rsid w:val="00245FF3"/>
    <w:rsid w:val="0025343C"/>
    <w:rsid w:val="0025405E"/>
    <w:rsid w:val="00256881"/>
    <w:rsid w:val="00260DED"/>
    <w:rsid w:val="00264217"/>
    <w:rsid w:val="00267845"/>
    <w:rsid w:val="00274316"/>
    <w:rsid w:val="002773E4"/>
    <w:rsid w:val="00286A0A"/>
    <w:rsid w:val="002920FC"/>
    <w:rsid w:val="00293F85"/>
    <w:rsid w:val="002972F4"/>
    <w:rsid w:val="00297E2A"/>
    <w:rsid w:val="002B281C"/>
    <w:rsid w:val="002B307B"/>
    <w:rsid w:val="002B41F5"/>
    <w:rsid w:val="002D29AF"/>
    <w:rsid w:val="002E3495"/>
    <w:rsid w:val="002E44B3"/>
    <w:rsid w:val="002F67E1"/>
    <w:rsid w:val="00303731"/>
    <w:rsid w:val="003118E4"/>
    <w:rsid w:val="00313D6A"/>
    <w:rsid w:val="00314B87"/>
    <w:rsid w:val="00320562"/>
    <w:rsid w:val="00322DD8"/>
    <w:rsid w:val="00324DBA"/>
    <w:rsid w:val="0034065E"/>
    <w:rsid w:val="003560AA"/>
    <w:rsid w:val="003606B0"/>
    <w:rsid w:val="003641B2"/>
    <w:rsid w:val="00380926"/>
    <w:rsid w:val="00387262"/>
    <w:rsid w:val="00390459"/>
    <w:rsid w:val="00390E22"/>
    <w:rsid w:val="00392E44"/>
    <w:rsid w:val="003A2327"/>
    <w:rsid w:val="003A3207"/>
    <w:rsid w:val="003A6975"/>
    <w:rsid w:val="003B3DB4"/>
    <w:rsid w:val="003B5B83"/>
    <w:rsid w:val="003B645D"/>
    <w:rsid w:val="003C0472"/>
    <w:rsid w:val="003C05CE"/>
    <w:rsid w:val="003E094C"/>
    <w:rsid w:val="003E24B5"/>
    <w:rsid w:val="003E2A78"/>
    <w:rsid w:val="003E2D93"/>
    <w:rsid w:val="003E387B"/>
    <w:rsid w:val="003F021C"/>
    <w:rsid w:val="003F1482"/>
    <w:rsid w:val="003F34B5"/>
    <w:rsid w:val="004002CA"/>
    <w:rsid w:val="00411CF5"/>
    <w:rsid w:val="00416802"/>
    <w:rsid w:val="00432D8A"/>
    <w:rsid w:val="004401FE"/>
    <w:rsid w:val="0044081F"/>
    <w:rsid w:val="00450A2F"/>
    <w:rsid w:val="00452AAA"/>
    <w:rsid w:val="00456EC2"/>
    <w:rsid w:val="0046787B"/>
    <w:rsid w:val="00480B52"/>
    <w:rsid w:val="00483710"/>
    <w:rsid w:val="00487AB3"/>
    <w:rsid w:val="00490DC1"/>
    <w:rsid w:val="00493B5D"/>
    <w:rsid w:val="004B550B"/>
    <w:rsid w:val="004C7AE1"/>
    <w:rsid w:val="004D2236"/>
    <w:rsid w:val="004F1326"/>
    <w:rsid w:val="00514993"/>
    <w:rsid w:val="00522DD2"/>
    <w:rsid w:val="00526CF5"/>
    <w:rsid w:val="00530D22"/>
    <w:rsid w:val="00531D60"/>
    <w:rsid w:val="00541555"/>
    <w:rsid w:val="00546C55"/>
    <w:rsid w:val="00547079"/>
    <w:rsid w:val="00550F01"/>
    <w:rsid w:val="00552F39"/>
    <w:rsid w:val="00553765"/>
    <w:rsid w:val="00554735"/>
    <w:rsid w:val="00555C82"/>
    <w:rsid w:val="00564AE4"/>
    <w:rsid w:val="005652E8"/>
    <w:rsid w:val="005654DC"/>
    <w:rsid w:val="00571DE1"/>
    <w:rsid w:val="0058024F"/>
    <w:rsid w:val="00581489"/>
    <w:rsid w:val="00593ED0"/>
    <w:rsid w:val="00594DE8"/>
    <w:rsid w:val="005A11F8"/>
    <w:rsid w:val="005A2969"/>
    <w:rsid w:val="005D26FE"/>
    <w:rsid w:val="005D3B54"/>
    <w:rsid w:val="005D3D26"/>
    <w:rsid w:val="005D6360"/>
    <w:rsid w:val="005D72E0"/>
    <w:rsid w:val="005E3BAF"/>
    <w:rsid w:val="005F431F"/>
    <w:rsid w:val="006041E2"/>
    <w:rsid w:val="00606085"/>
    <w:rsid w:val="00612FF4"/>
    <w:rsid w:val="00613E33"/>
    <w:rsid w:val="00622CAB"/>
    <w:rsid w:val="00625C39"/>
    <w:rsid w:val="00635C9E"/>
    <w:rsid w:val="00642BC8"/>
    <w:rsid w:val="006434C6"/>
    <w:rsid w:val="006444EC"/>
    <w:rsid w:val="00645D56"/>
    <w:rsid w:val="00652B62"/>
    <w:rsid w:val="006622C2"/>
    <w:rsid w:val="00664381"/>
    <w:rsid w:val="00667433"/>
    <w:rsid w:val="00675422"/>
    <w:rsid w:val="0068296C"/>
    <w:rsid w:val="0069740E"/>
    <w:rsid w:val="006A05A9"/>
    <w:rsid w:val="006A0CDC"/>
    <w:rsid w:val="006A178B"/>
    <w:rsid w:val="006B1C06"/>
    <w:rsid w:val="006B484B"/>
    <w:rsid w:val="006B5E65"/>
    <w:rsid w:val="006C2411"/>
    <w:rsid w:val="006C7502"/>
    <w:rsid w:val="006D0F10"/>
    <w:rsid w:val="006D2230"/>
    <w:rsid w:val="006E0C3A"/>
    <w:rsid w:val="006E22DD"/>
    <w:rsid w:val="006E2863"/>
    <w:rsid w:val="006E7B3D"/>
    <w:rsid w:val="006F651A"/>
    <w:rsid w:val="006F7553"/>
    <w:rsid w:val="0072541D"/>
    <w:rsid w:val="00733E59"/>
    <w:rsid w:val="00734C68"/>
    <w:rsid w:val="00737F72"/>
    <w:rsid w:val="00753DD8"/>
    <w:rsid w:val="00754A3D"/>
    <w:rsid w:val="00767020"/>
    <w:rsid w:val="007A0166"/>
    <w:rsid w:val="007B0D13"/>
    <w:rsid w:val="007B5AD2"/>
    <w:rsid w:val="007B61DB"/>
    <w:rsid w:val="007B7F06"/>
    <w:rsid w:val="007C2335"/>
    <w:rsid w:val="007C28D9"/>
    <w:rsid w:val="007C2C96"/>
    <w:rsid w:val="007C4BF9"/>
    <w:rsid w:val="007D0AF1"/>
    <w:rsid w:val="007D1A37"/>
    <w:rsid w:val="007D63B9"/>
    <w:rsid w:val="007D7EF9"/>
    <w:rsid w:val="007E0A69"/>
    <w:rsid w:val="007E1F48"/>
    <w:rsid w:val="007E69CA"/>
    <w:rsid w:val="007F0DAE"/>
    <w:rsid w:val="007F22B5"/>
    <w:rsid w:val="007F2F06"/>
    <w:rsid w:val="007F310F"/>
    <w:rsid w:val="00815764"/>
    <w:rsid w:val="00820CE7"/>
    <w:rsid w:val="00821585"/>
    <w:rsid w:val="00823D2C"/>
    <w:rsid w:val="00826E6F"/>
    <w:rsid w:val="00827EF0"/>
    <w:rsid w:val="00832392"/>
    <w:rsid w:val="00834512"/>
    <w:rsid w:val="00841AC4"/>
    <w:rsid w:val="00842430"/>
    <w:rsid w:val="0084283B"/>
    <w:rsid w:val="00865239"/>
    <w:rsid w:val="008670D5"/>
    <w:rsid w:val="008770C6"/>
    <w:rsid w:val="0088018E"/>
    <w:rsid w:val="00883DB1"/>
    <w:rsid w:val="00887435"/>
    <w:rsid w:val="00890768"/>
    <w:rsid w:val="008A2FED"/>
    <w:rsid w:val="008A71CD"/>
    <w:rsid w:val="008C15B7"/>
    <w:rsid w:val="008F1A66"/>
    <w:rsid w:val="00901422"/>
    <w:rsid w:val="00907529"/>
    <w:rsid w:val="00910502"/>
    <w:rsid w:val="0091179A"/>
    <w:rsid w:val="00912BBF"/>
    <w:rsid w:val="00914C69"/>
    <w:rsid w:val="00916BF9"/>
    <w:rsid w:val="009171A2"/>
    <w:rsid w:val="00921334"/>
    <w:rsid w:val="00926AB2"/>
    <w:rsid w:val="00934B60"/>
    <w:rsid w:val="00934D1E"/>
    <w:rsid w:val="009350E7"/>
    <w:rsid w:val="009402A0"/>
    <w:rsid w:val="0094635A"/>
    <w:rsid w:val="0094678B"/>
    <w:rsid w:val="00950FBD"/>
    <w:rsid w:val="00955669"/>
    <w:rsid w:val="0096581F"/>
    <w:rsid w:val="00965EB6"/>
    <w:rsid w:val="00971004"/>
    <w:rsid w:val="009715BF"/>
    <w:rsid w:val="0097251C"/>
    <w:rsid w:val="00974C82"/>
    <w:rsid w:val="0097687F"/>
    <w:rsid w:val="00977D5E"/>
    <w:rsid w:val="00980593"/>
    <w:rsid w:val="00990191"/>
    <w:rsid w:val="00993391"/>
    <w:rsid w:val="00995181"/>
    <w:rsid w:val="00996BEE"/>
    <w:rsid w:val="00996F05"/>
    <w:rsid w:val="0099707D"/>
    <w:rsid w:val="009A6803"/>
    <w:rsid w:val="009B12A2"/>
    <w:rsid w:val="009B47B5"/>
    <w:rsid w:val="009B7F87"/>
    <w:rsid w:val="009D0BBF"/>
    <w:rsid w:val="009D1F08"/>
    <w:rsid w:val="009D2215"/>
    <w:rsid w:val="009D4365"/>
    <w:rsid w:val="009E04FD"/>
    <w:rsid w:val="009E38B4"/>
    <w:rsid w:val="009E63BB"/>
    <w:rsid w:val="009F4287"/>
    <w:rsid w:val="009F5F7F"/>
    <w:rsid w:val="00A00C1C"/>
    <w:rsid w:val="00A0769A"/>
    <w:rsid w:val="00A10827"/>
    <w:rsid w:val="00A10F98"/>
    <w:rsid w:val="00A118C8"/>
    <w:rsid w:val="00A14F25"/>
    <w:rsid w:val="00A35E20"/>
    <w:rsid w:val="00A361EB"/>
    <w:rsid w:val="00A44C15"/>
    <w:rsid w:val="00A51E91"/>
    <w:rsid w:val="00A63F0E"/>
    <w:rsid w:val="00A655D6"/>
    <w:rsid w:val="00A675B4"/>
    <w:rsid w:val="00A75E11"/>
    <w:rsid w:val="00A81B4F"/>
    <w:rsid w:val="00A81EC5"/>
    <w:rsid w:val="00A8284B"/>
    <w:rsid w:val="00A837E9"/>
    <w:rsid w:val="00A87EA1"/>
    <w:rsid w:val="00A96794"/>
    <w:rsid w:val="00AA2536"/>
    <w:rsid w:val="00AA2DBF"/>
    <w:rsid w:val="00AA69BF"/>
    <w:rsid w:val="00AB7DC2"/>
    <w:rsid w:val="00AC105E"/>
    <w:rsid w:val="00AC615D"/>
    <w:rsid w:val="00AD16D3"/>
    <w:rsid w:val="00AD2CCF"/>
    <w:rsid w:val="00AE023D"/>
    <w:rsid w:val="00AE1D22"/>
    <w:rsid w:val="00AE5CC9"/>
    <w:rsid w:val="00AE5FE2"/>
    <w:rsid w:val="00AF07BE"/>
    <w:rsid w:val="00AF4F1B"/>
    <w:rsid w:val="00AF692C"/>
    <w:rsid w:val="00AF73BF"/>
    <w:rsid w:val="00B1254E"/>
    <w:rsid w:val="00B175A4"/>
    <w:rsid w:val="00B24399"/>
    <w:rsid w:val="00B2439B"/>
    <w:rsid w:val="00B24BB7"/>
    <w:rsid w:val="00B25CBE"/>
    <w:rsid w:val="00B30114"/>
    <w:rsid w:val="00B34F5E"/>
    <w:rsid w:val="00B45331"/>
    <w:rsid w:val="00B52C37"/>
    <w:rsid w:val="00B54EA5"/>
    <w:rsid w:val="00B56700"/>
    <w:rsid w:val="00B61722"/>
    <w:rsid w:val="00B76658"/>
    <w:rsid w:val="00B81BD9"/>
    <w:rsid w:val="00B82BA0"/>
    <w:rsid w:val="00B87156"/>
    <w:rsid w:val="00B92225"/>
    <w:rsid w:val="00B9446E"/>
    <w:rsid w:val="00BA11DB"/>
    <w:rsid w:val="00BA452A"/>
    <w:rsid w:val="00BB36E6"/>
    <w:rsid w:val="00BB5394"/>
    <w:rsid w:val="00BE00B2"/>
    <w:rsid w:val="00BE1B3E"/>
    <w:rsid w:val="00BF2BC6"/>
    <w:rsid w:val="00C056AD"/>
    <w:rsid w:val="00C20658"/>
    <w:rsid w:val="00C22515"/>
    <w:rsid w:val="00C25B06"/>
    <w:rsid w:val="00C27481"/>
    <w:rsid w:val="00C27DDF"/>
    <w:rsid w:val="00C32D50"/>
    <w:rsid w:val="00C567E0"/>
    <w:rsid w:val="00C57353"/>
    <w:rsid w:val="00C60B9A"/>
    <w:rsid w:val="00C66BFE"/>
    <w:rsid w:val="00C83483"/>
    <w:rsid w:val="00C873C0"/>
    <w:rsid w:val="00CA4CC5"/>
    <w:rsid w:val="00CA7F2B"/>
    <w:rsid w:val="00CB1A5E"/>
    <w:rsid w:val="00CC0A13"/>
    <w:rsid w:val="00CC5F2A"/>
    <w:rsid w:val="00CD2F8C"/>
    <w:rsid w:val="00CD5014"/>
    <w:rsid w:val="00CE73C4"/>
    <w:rsid w:val="00D005DF"/>
    <w:rsid w:val="00D00CDE"/>
    <w:rsid w:val="00D04558"/>
    <w:rsid w:val="00D10484"/>
    <w:rsid w:val="00D10F33"/>
    <w:rsid w:val="00D11537"/>
    <w:rsid w:val="00D1371B"/>
    <w:rsid w:val="00D138F1"/>
    <w:rsid w:val="00D206EF"/>
    <w:rsid w:val="00D22BD1"/>
    <w:rsid w:val="00D34AD4"/>
    <w:rsid w:val="00D36B2F"/>
    <w:rsid w:val="00D5316D"/>
    <w:rsid w:val="00D61639"/>
    <w:rsid w:val="00D71291"/>
    <w:rsid w:val="00D72877"/>
    <w:rsid w:val="00D85260"/>
    <w:rsid w:val="00D85682"/>
    <w:rsid w:val="00D92374"/>
    <w:rsid w:val="00D97092"/>
    <w:rsid w:val="00DA111A"/>
    <w:rsid w:val="00DA2866"/>
    <w:rsid w:val="00DA55DE"/>
    <w:rsid w:val="00DB481B"/>
    <w:rsid w:val="00DC3436"/>
    <w:rsid w:val="00DC62E5"/>
    <w:rsid w:val="00DC6820"/>
    <w:rsid w:val="00DD168F"/>
    <w:rsid w:val="00DD3443"/>
    <w:rsid w:val="00DD53AB"/>
    <w:rsid w:val="00DF2DDE"/>
    <w:rsid w:val="00DF3D27"/>
    <w:rsid w:val="00DF3D8E"/>
    <w:rsid w:val="00DF5C3D"/>
    <w:rsid w:val="00E13C21"/>
    <w:rsid w:val="00E25354"/>
    <w:rsid w:val="00E33BF6"/>
    <w:rsid w:val="00E50E6F"/>
    <w:rsid w:val="00E657DF"/>
    <w:rsid w:val="00E73CED"/>
    <w:rsid w:val="00E74FF7"/>
    <w:rsid w:val="00E77F3D"/>
    <w:rsid w:val="00E83704"/>
    <w:rsid w:val="00E85336"/>
    <w:rsid w:val="00E90107"/>
    <w:rsid w:val="00E910EC"/>
    <w:rsid w:val="00E921B6"/>
    <w:rsid w:val="00EA2918"/>
    <w:rsid w:val="00EB3F8F"/>
    <w:rsid w:val="00EB5648"/>
    <w:rsid w:val="00ED1E80"/>
    <w:rsid w:val="00ED4EAC"/>
    <w:rsid w:val="00ED5077"/>
    <w:rsid w:val="00EE3ABB"/>
    <w:rsid w:val="00EF627A"/>
    <w:rsid w:val="00EF743A"/>
    <w:rsid w:val="00F06FC5"/>
    <w:rsid w:val="00F10C28"/>
    <w:rsid w:val="00F12220"/>
    <w:rsid w:val="00F2682B"/>
    <w:rsid w:val="00F31D0F"/>
    <w:rsid w:val="00F4067A"/>
    <w:rsid w:val="00F47E0F"/>
    <w:rsid w:val="00F5005E"/>
    <w:rsid w:val="00F6339D"/>
    <w:rsid w:val="00F7701D"/>
    <w:rsid w:val="00F77750"/>
    <w:rsid w:val="00F85F24"/>
    <w:rsid w:val="00F90EB5"/>
    <w:rsid w:val="00FB696A"/>
    <w:rsid w:val="00FC129C"/>
    <w:rsid w:val="00FD512E"/>
    <w:rsid w:val="00FD683C"/>
    <w:rsid w:val="00FE043F"/>
    <w:rsid w:val="00FE73E6"/>
    <w:rsid w:val="00FF26DB"/>
    <w:rsid w:val="00FF2CA8"/>
    <w:rsid w:val="00FF30E6"/>
    <w:rsid w:val="00FF3CDB"/>
    <w:rsid w:val="07702A2D"/>
    <w:rsid w:val="1CE3558C"/>
    <w:rsid w:val="2F8A6913"/>
    <w:rsid w:val="459C7C86"/>
    <w:rsid w:val="471001E8"/>
    <w:rsid w:val="4AD6006C"/>
    <w:rsid w:val="59D32BCC"/>
    <w:rsid w:val="7E1174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方正仿宋_GBK" w:cstheme="minorBidi"/>
      <w:kern w:val="2"/>
      <w:sz w:val="32"/>
      <w:szCs w:val="22"/>
      <w:lang w:val="en-US" w:eastAsia="zh-CN" w:bidi="ar-SA"/>
    </w:rPr>
  </w:style>
  <w:style w:type="paragraph" w:styleId="2">
    <w:name w:val="heading 1"/>
    <w:basedOn w:val="1"/>
    <w:next w:val="1"/>
    <w:link w:val="11"/>
    <w:qFormat/>
    <w:uiPriority w:val="9"/>
    <w:pPr>
      <w:keepNext/>
      <w:keepLines/>
      <w:jc w:val="left"/>
      <w:outlineLvl w:val="0"/>
    </w:pPr>
    <w:rPr>
      <w:rFonts w:eastAsia="方正黑体_GBK"/>
      <w:bCs/>
      <w:kern w:val="44"/>
      <w:szCs w:val="44"/>
    </w:rPr>
  </w:style>
  <w:style w:type="paragraph" w:styleId="3">
    <w:name w:val="heading 2"/>
    <w:basedOn w:val="1"/>
    <w:next w:val="1"/>
    <w:link w:val="12"/>
    <w:unhideWhenUsed/>
    <w:qFormat/>
    <w:uiPriority w:val="9"/>
    <w:pPr>
      <w:keepNext/>
      <w:keepLines/>
      <w:jc w:val="left"/>
      <w:outlineLvl w:val="1"/>
    </w:pPr>
    <w:rPr>
      <w:rFonts w:eastAsia="方正楷体_GBK" w:cstheme="majorBidi"/>
      <w:bCs/>
      <w:szCs w:val="32"/>
    </w:rPr>
  </w:style>
  <w:style w:type="paragraph" w:styleId="4">
    <w:name w:val="heading 3"/>
    <w:basedOn w:val="1"/>
    <w:next w:val="1"/>
    <w:link w:val="36"/>
    <w:semiHidden/>
    <w:unhideWhenUsed/>
    <w:qFormat/>
    <w:uiPriority w:val="9"/>
    <w:pPr>
      <w:keepNext/>
      <w:keepLines/>
      <w:spacing w:before="260" w:after="260" w:line="416" w:lineRule="atLeast"/>
      <w:outlineLvl w:val="2"/>
    </w:pPr>
    <w:rPr>
      <w:b/>
      <w:bCs/>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4"/>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9">
    <w:name w:val="FollowedHyperlink"/>
    <w:basedOn w:val="8"/>
    <w:semiHidden/>
    <w:unhideWhenUsed/>
    <w:qFormat/>
    <w:uiPriority w:val="99"/>
    <w:rPr>
      <w:color w:val="800080"/>
      <w:u w:val="single"/>
    </w:rPr>
  </w:style>
  <w:style w:type="character" w:styleId="10">
    <w:name w:val="Hyperlink"/>
    <w:basedOn w:val="8"/>
    <w:semiHidden/>
    <w:unhideWhenUsed/>
    <w:qFormat/>
    <w:uiPriority w:val="99"/>
    <w:rPr>
      <w:color w:val="0000FF"/>
      <w:u w:val="single"/>
    </w:rPr>
  </w:style>
  <w:style w:type="character" w:customStyle="1" w:styleId="11">
    <w:name w:val="标题 1 Char"/>
    <w:basedOn w:val="8"/>
    <w:link w:val="2"/>
    <w:qFormat/>
    <w:uiPriority w:val="9"/>
    <w:rPr>
      <w:rFonts w:ascii="Times New Roman" w:hAnsi="Times New Roman" w:eastAsia="方正黑体_GBK"/>
      <w:bCs/>
      <w:kern w:val="44"/>
      <w:sz w:val="32"/>
      <w:szCs w:val="44"/>
    </w:rPr>
  </w:style>
  <w:style w:type="character" w:customStyle="1" w:styleId="12">
    <w:name w:val="标题 2 Char"/>
    <w:basedOn w:val="8"/>
    <w:link w:val="3"/>
    <w:qFormat/>
    <w:uiPriority w:val="9"/>
    <w:rPr>
      <w:rFonts w:ascii="Times New Roman" w:hAnsi="Times New Roman" w:eastAsia="方正楷体_GBK" w:cstheme="majorBidi"/>
      <w:bCs/>
      <w:sz w:val="32"/>
      <w:szCs w:val="32"/>
    </w:rPr>
  </w:style>
  <w:style w:type="character" w:customStyle="1" w:styleId="13">
    <w:name w:val="页眉 Char"/>
    <w:basedOn w:val="8"/>
    <w:link w:val="6"/>
    <w:qFormat/>
    <w:uiPriority w:val="99"/>
    <w:rPr>
      <w:rFonts w:ascii="Times New Roman" w:hAnsi="Times New Roman" w:eastAsia="方正仿宋_GBK"/>
      <w:sz w:val="18"/>
      <w:szCs w:val="18"/>
    </w:rPr>
  </w:style>
  <w:style w:type="character" w:customStyle="1" w:styleId="14">
    <w:name w:val="页脚 Char"/>
    <w:basedOn w:val="8"/>
    <w:link w:val="5"/>
    <w:qFormat/>
    <w:uiPriority w:val="99"/>
    <w:rPr>
      <w:rFonts w:ascii="Times New Roman" w:hAnsi="Times New Roman" w:eastAsia="方正仿宋_GBK"/>
      <w:sz w:val="18"/>
      <w:szCs w:val="18"/>
    </w:rPr>
  </w:style>
  <w:style w:type="paragraph" w:customStyle="1" w:styleId="15">
    <w:name w:val="msonormal"/>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16">
    <w:name w:val="font5"/>
    <w:basedOn w:val="1"/>
    <w:qFormat/>
    <w:uiPriority w:val="0"/>
    <w:pPr>
      <w:widowControl/>
      <w:spacing w:before="100" w:beforeAutospacing="1" w:after="100" w:afterAutospacing="1" w:line="240" w:lineRule="auto"/>
      <w:ind w:firstLine="0" w:firstLineChars="0"/>
      <w:jc w:val="left"/>
    </w:pPr>
    <w:rPr>
      <w:rFonts w:ascii="方正小标宋_GBK" w:hAnsi="宋体" w:eastAsia="方正小标宋_GBK" w:cs="宋体"/>
      <w:color w:val="000000"/>
      <w:kern w:val="0"/>
      <w:sz w:val="36"/>
      <w:szCs w:val="36"/>
    </w:rPr>
  </w:style>
  <w:style w:type="paragraph" w:customStyle="1" w:styleId="17">
    <w:name w:val="font6"/>
    <w:basedOn w:val="1"/>
    <w:qFormat/>
    <w:uiPriority w:val="0"/>
    <w:pPr>
      <w:widowControl/>
      <w:spacing w:before="100" w:beforeAutospacing="1" w:after="100" w:afterAutospacing="1" w:line="240" w:lineRule="auto"/>
      <w:ind w:firstLine="0" w:firstLineChars="0"/>
      <w:jc w:val="left"/>
    </w:pPr>
    <w:rPr>
      <w:rFonts w:ascii="宋体" w:hAnsi="宋体" w:eastAsia="宋体" w:cs="宋体"/>
      <w:color w:val="000000"/>
      <w:kern w:val="0"/>
      <w:sz w:val="22"/>
    </w:rPr>
  </w:style>
  <w:style w:type="paragraph" w:customStyle="1" w:styleId="18">
    <w:name w:val="font7"/>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19">
    <w:name w:val="xl311"/>
    <w:basedOn w:val="1"/>
    <w:qFormat/>
    <w:uiPriority w:val="0"/>
    <w:pPr>
      <w:widowControl/>
      <w:spacing w:before="100" w:beforeAutospacing="1" w:after="100" w:afterAutospacing="1" w:line="240" w:lineRule="auto"/>
      <w:ind w:firstLine="0" w:firstLineChars="0"/>
      <w:jc w:val="left"/>
    </w:pPr>
    <w:rPr>
      <w:rFonts w:ascii="黑体" w:hAnsi="黑体" w:eastAsia="黑体" w:cs="宋体"/>
      <w:kern w:val="0"/>
      <w:sz w:val="24"/>
      <w:szCs w:val="24"/>
    </w:rPr>
  </w:style>
  <w:style w:type="paragraph" w:customStyle="1" w:styleId="20">
    <w:name w:val="xl312"/>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21">
    <w:name w:val="xl313"/>
    <w:basedOn w:val="1"/>
    <w:qFormat/>
    <w:uiPriority w:val="0"/>
    <w:pPr>
      <w:widowControl/>
      <w:spacing w:before="100" w:beforeAutospacing="1" w:after="100" w:afterAutospacing="1" w:line="240" w:lineRule="auto"/>
      <w:ind w:firstLine="0" w:firstLineChars="0"/>
      <w:jc w:val="left"/>
    </w:pPr>
    <w:rPr>
      <w:rFonts w:eastAsia="宋体" w:cs="Times New Roman"/>
      <w:kern w:val="0"/>
      <w:sz w:val="20"/>
      <w:szCs w:val="20"/>
    </w:rPr>
  </w:style>
  <w:style w:type="paragraph" w:customStyle="1" w:styleId="22">
    <w:name w:val="xl3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cs="宋体"/>
      <w:b/>
      <w:bCs/>
      <w:kern w:val="0"/>
      <w:sz w:val="20"/>
      <w:szCs w:val="20"/>
    </w:rPr>
  </w:style>
  <w:style w:type="paragraph" w:customStyle="1" w:styleId="23">
    <w:name w:val="xl3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right"/>
    </w:pPr>
    <w:rPr>
      <w:rFonts w:ascii="宋体" w:hAnsi="宋体" w:eastAsia="宋体" w:cs="宋体"/>
      <w:kern w:val="0"/>
      <w:sz w:val="20"/>
      <w:szCs w:val="20"/>
    </w:rPr>
  </w:style>
  <w:style w:type="paragraph" w:customStyle="1" w:styleId="24">
    <w:name w:val="xl3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cs="宋体"/>
      <w:kern w:val="0"/>
      <w:sz w:val="20"/>
      <w:szCs w:val="20"/>
    </w:rPr>
  </w:style>
  <w:style w:type="paragraph" w:customStyle="1" w:styleId="25">
    <w:name w:val="xl3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b/>
      <w:bCs/>
      <w:kern w:val="0"/>
      <w:sz w:val="20"/>
      <w:szCs w:val="20"/>
    </w:rPr>
  </w:style>
  <w:style w:type="paragraph" w:customStyle="1" w:styleId="26">
    <w:name w:val="xl3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cs="宋体"/>
      <w:kern w:val="0"/>
      <w:sz w:val="20"/>
      <w:szCs w:val="20"/>
    </w:rPr>
  </w:style>
  <w:style w:type="paragraph" w:customStyle="1" w:styleId="27">
    <w:name w:val="xl3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cs="宋体"/>
      <w:b/>
      <w:bCs/>
      <w:kern w:val="0"/>
      <w:sz w:val="20"/>
      <w:szCs w:val="20"/>
    </w:rPr>
  </w:style>
  <w:style w:type="paragraph" w:customStyle="1" w:styleId="28">
    <w:name w:val="xl320"/>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right"/>
    </w:pPr>
    <w:rPr>
      <w:rFonts w:ascii="宋体" w:hAnsi="宋体" w:eastAsia="宋体" w:cs="宋体"/>
      <w:kern w:val="0"/>
      <w:sz w:val="20"/>
      <w:szCs w:val="20"/>
    </w:rPr>
  </w:style>
  <w:style w:type="paragraph" w:customStyle="1" w:styleId="29">
    <w:name w:val="xl321"/>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eastAsia="宋体" w:cs="宋体"/>
      <w:kern w:val="0"/>
      <w:sz w:val="20"/>
      <w:szCs w:val="20"/>
    </w:rPr>
  </w:style>
  <w:style w:type="paragraph" w:customStyle="1" w:styleId="30">
    <w:name w:val="xl322"/>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right"/>
    </w:pPr>
    <w:rPr>
      <w:rFonts w:ascii="宋体" w:hAnsi="宋体" w:eastAsia="宋体" w:cs="宋体"/>
      <w:kern w:val="0"/>
      <w:sz w:val="20"/>
      <w:szCs w:val="20"/>
    </w:rPr>
  </w:style>
  <w:style w:type="paragraph" w:customStyle="1" w:styleId="31">
    <w:name w:val="xl323"/>
    <w:basedOn w:val="1"/>
    <w:qFormat/>
    <w:uiPriority w:val="0"/>
    <w:pPr>
      <w:widowControl/>
      <w:spacing w:before="100" w:beforeAutospacing="1" w:after="100" w:afterAutospacing="1" w:line="240" w:lineRule="auto"/>
      <w:ind w:firstLine="0" w:firstLineChars="0"/>
      <w:jc w:val="center"/>
    </w:pPr>
    <w:rPr>
      <w:rFonts w:eastAsia="宋体" w:cs="Times New Roman"/>
      <w:kern w:val="0"/>
      <w:sz w:val="36"/>
      <w:szCs w:val="36"/>
    </w:rPr>
  </w:style>
  <w:style w:type="paragraph" w:customStyle="1" w:styleId="32">
    <w:name w:val="xl324"/>
    <w:basedOn w:val="1"/>
    <w:qFormat/>
    <w:uiPriority w:val="0"/>
    <w:pPr>
      <w:widowControl/>
      <w:spacing w:before="100" w:beforeAutospacing="1" w:after="100" w:afterAutospacing="1" w:line="240" w:lineRule="auto"/>
      <w:ind w:firstLine="0" w:firstLineChars="0"/>
      <w:jc w:val="center"/>
    </w:pPr>
    <w:rPr>
      <w:rFonts w:eastAsia="宋体" w:cs="Times New Roman"/>
      <w:kern w:val="0"/>
      <w:sz w:val="36"/>
      <w:szCs w:val="36"/>
    </w:rPr>
  </w:style>
  <w:style w:type="paragraph" w:customStyle="1" w:styleId="33">
    <w:name w:val="xl325"/>
    <w:basedOn w:val="1"/>
    <w:qFormat/>
    <w:uiPriority w:val="0"/>
    <w:pPr>
      <w:widowControl/>
      <w:pBdr>
        <w:bottom w:val="single" w:color="auto" w:sz="4" w:space="0"/>
      </w:pBdr>
      <w:spacing w:before="100" w:beforeAutospacing="1" w:after="100" w:afterAutospacing="1" w:line="240" w:lineRule="auto"/>
      <w:ind w:firstLine="0" w:firstLineChars="0"/>
      <w:jc w:val="right"/>
      <w:textAlignment w:val="bottom"/>
    </w:pPr>
    <w:rPr>
      <w:rFonts w:eastAsia="宋体" w:cs="Times New Roman"/>
      <w:kern w:val="0"/>
      <w:sz w:val="24"/>
      <w:szCs w:val="24"/>
    </w:rPr>
  </w:style>
  <w:style w:type="paragraph" w:customStyle="1" w:styleId="34">
    <w:name w:val="xl326"/>
    <w:basedOn w:val="1"/>
    <w:qFormat/>
    <w:uiPriority w:val="0"/>
    <w:pPr>
      <w:widowControl/>
      <w:pBdr>
        <w:bottom w:val="single" w:color="auto" w:sz="4" w:space="0"/>
      </w:pBdr>
      <w:spacing w:before="100" w:beforeAutospacing="1" w:after="100" w:afterAutospacing="1" w:line="240" w:lineRule="auto"/>
      <w:ind w:firstLine="0" w:firstLineChars="0"/>
      <w:jc w:val="right"/>
      <w:textAlignment w:val="bottom"/>
    </w:pPr>
    <w:rPr>
      <w:rFonts w:eastAsia="宋体" w:cs="Times New Roman"/>
      <w:kern w:val="0"/>
      <w:sz w:val="24"/>
      <w:szCs w:val="24"/>
    </w:rPr>
  </w:style>
  <w:style w:type="paragraph" w:customStyle="1" w:styleId="35">
    <w:name w:val="xl327"/>
    <w:basedOn w:val="1"/>
    <w:qFormat/>
    <w:uiPriority w:val="0"/>
    <w:pPr>
      <w:widowControl/>
      <w:spacing w:before="100" w:beforeAutospacing="1" w:after="100" w:afterAutospacing="1" w:line="240" w:lineRule="auto"/>
      <w:ind w:firstLine="0" w:firstLineChars="0"/>
      <w:jc w:val="center"/>
    </w:pPr>
    <w:rPr>
      <w:rFonts w:ascii="楷体_GB2312" w:hAnsi="宋体" w:eastAsia="楷体_GB2312" w:cs="宋体"/>
      <w:kern w:val="0"/>
      <w:sz w:val="28"/>
      <w:szCs w:val="28"/>
    </w:rPr>
  </w:style>
  <w:style w:type="character" w:customStyle="1" w:styleId="36">
    <w:name w:val="标题 3 Char"/>
    <w:basedOn w:val="8"/>
    <w:link w:val="4"/>
    <w:semiHidden/>
    <w:qFormat/>
    <w:uiPriority w:val="9"/>
    <w:rPr>
      <w:rFonts w:ascii="Times New Roman" w:hAnsi="Times New Roman" w:eastAsia="方正仿宋_GBK"/>
      <w:b/>
      <w:bCs/>
      <w:kern w:val="2"/>
      <w:sz w:val="32"/>
      <w:szCs w:val="32"/>
    </w:rPr>
  </w:style>
  <w:style w:type="paragraph" w:customStyle="1" w:styleId="37">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b/>
      <w:bCs/>
      <w:kern w:val="0"/>
      <w:sz w:val="24"/>
      <w:szCs w:val="24"/>
    </w:rPr>
  </w:style>
  <w:style w:type="paragraph" w:customStyle="1" w:styleId="38">
    <w:name w:val="xl165"/>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b/>
      <w:bCs/>
      <w:kern w:val="0"/>
      <w:sz w:val="24"/>
      <w:szCs w:val="24"/>
    </w:rPr>
  </w:style>
  <w:style w:type="paragraph" w:customStyle="1" w:styleId="39">
    <w:name w:val="xl166"/>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textAlignment w:val="center"/>
    </w:pPr>
    <w:rPr>
      <w:rFonts w:ascii="宋体" w:hAnsi="宋体" w:eastAsia="宋体" w:cs="宋体"/>
      <w:b/>
      <w:bCs/>
      <w:kern w:val="0"/>
      <w:sz w:val="24"/>
      <w:szCs w:val="24"/>
    </w:rPr>
  </w:style>
  <w:style w:type="paragraph" w:customStyle="1" w:styleId="40">
    <w:name w:val="xl167"/>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right"/>
      <w:textAlignment w:val="center"/>
    </w:pPr>
    <w:rPr>
      <w:rFonts w:ascii="宋体" w:hAnsi="宋体" w:eastAsia="宋体" w:cs="宋体"/>
      <w:kern w:val="0"/>
      <w:sz w:val="24"/>
      <w:szCs w:val="24"/>
    </w:rPr>
  </w:style>
  <w:style w:type="paragraph" w:customStyle="1" w:styleId="41">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right"/>
      <w:textAlignment w:val="center"/>
    </w:pPr>
    <w:rPr>
      <w:rFonts w:ascii="宋体" w:hAnsi="宋体" w:eastAsia="宋体" w:cs="宋体"/>
      <w:kern w:val="0"/>
      <w:sz w:val="24"/>
      <w:szCs w:val="24"/>
    </w:rPr>
  </w:style>
  <w:style w:type="paragraph" w:customStyle="1" w:styleId="42">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right"/>
      <w:textAlignment w:val="center"/>
    </w:pPr>
    <w:rPr>
      <w:rFonts w:ascii="宋体" w:hAnsi="宋体" w:eastAsia="宋体" w:cs="宋体"/>
      <w:kern w:val="0"/>
      <w:sz w:val="24"/>
      <w:szCs w:val="24"/>
    </w:rPr>
  </w:style>
  <w:style w:type="paragraph" w:customStyle="1" w:styleId="43">
    <w:name w:val="xl170"/>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textAlignment w:val="center"/>
    </w:pPr>
    <w:rPr>
      <w:rFonts w:ascii="宋体" w:hAnsi="宋体" w:eastAsia="宋体" w:cs="宋体"/>
      <w:kern w:val="0"/>
      <w:sz w:val="24"/>
      <w:szCs w:val="24"/>
    </w:rPr>
  </w:style>
  <w:style w:type="paragraph" w:customStyle="1" w:styleId="44">
    <w:name w:val="xl171"/>
    <w:basedOn w:val="1"/>
    <w:qFormat/>
    <w:uiPriority w:val="0"/>
    <w:pPr>
      <w:widowControl/>
      <w:spacing w:before="100" w:beforeAutospacing="1" w:after="100" w:afterAutospacing="1" w:line="240" w:lineRule="auto"/>
      <w:ind w:firstLine="0" w:firstLineChars="0"/>
      <w:jc w:val="center"/>
      <w:textAlignment w:val="center"/>
    </w:pPr>
    <w:rPr>
      <w:rFonts w:ascii="方正小标宋_GBK" w:hAnsi="宋体" w:eastAsia="方正小标宋_GBK" w:cs="宋体"/>
      <w:kern w:val="0"/>
      <w:sz w:val="38"/>
      <w:szCs w:val="38"/>
    </w:rPr>
  </w:style>
  <w:style w:type="paragraph" w:customStyle="1" w:styleId="45">
    <w:name w:val="xl172"/>
    <w:basedOn w:val="1"/>
    <w:qFormat/>
    <w:uiPriority w:val="0"/>
    <w:pPr>
      <w:widowControl/>
      <w:spacing w:before="100" w:beforeAutospacing="1" w:after="100" w:afterAutospacing="1" w:line="240" w:lineRule="auto"/>
      <w:ind w:firstLine="0" w:firstLineChars="0"/>
      <w:jc w:val="center"/>
      <w:textAlignment w:val="center"/>
    </w:pPr>
    <w:rPr>
      <w:rFonts w:ascii="方正楷体_GBK" w:hAnsi="宋体" w:eastAsia="方正楷体_GBK" w:cs="宋体"/>
      <w:kern w:val="0"/>
      <w:sz w:val="28"/>
      <w:szCs w:val="28"/>
    </w:rPr>
  </w:style>
  <w:style w:type="paragraph" w:customStyle="1" w:styleId="46">
    <w:name w:val="xl173"/>
    <w:basedOn w:val="1"/>
    <w:qFormat/>
    <w:uiPriority w:val="0"/>
    <w:pPr>
      <w:widowControl/>
      <w:spacing w:before="100" w:beforeAutospacing="1" w:after="100" w:afterAutospacing="1" w:line="240" w:lineRule="auto"/>
      <w:ind w:firstLine="0" w:firstLineChars="0"/>
      <w:jc w:val="center"/>
      <w:textAlignment w:val="center"/>
    </w:pPr>
    <w:rPr>
      <w:rFonts w:ascii="方正楷体_GBK" w:hAnsi="宋体" w:eastAsia="方正楷体_GBK" w:cs="宋体"/>
      <w:kern w:val="0"/>
      <w:sz w:val="36"/>
      <w:szCs w:val="36"/>
    </w:rPr>
  </w:style>
  <w:style w:type="paragraph" w:customStyle="1" w:styleId="47">
    <w:name w:val="xl174"/>
    <w:basedOn w:val="1"/>
    <w:qFormat/>
    <w:uiPriority w:val="0"/>
    <w:pPr>
      <w:widowControl/>
      <w:pBdr>
        <w:bottom w:val="single" w:color="auto" w:sz="4" w:space="0"/>
      </w:pBdr>
      <w:spacing w:before="100" w:beforeAutospacing="1" w:after="100" w:afterAutospacing="1" w:line="240" w:lineRule="auto"/>
      <w:ind w:firstLine="0" w:firstLineChars="0"/>
      <w:jc w:val="right"/>
      <w:textAlignment w:val="center"/>
    </w:pPr>
    <w:rPr>
      <w:rFonts w:ascii="方正楷体_GBK" w:hAnsi="宋体" w:eastAsia="方正楷体_GBK" w:cs="宋体"/>
      <w:kern w:val="0"/>
      <w:sz w:val="24"/>
      <w:szCs w:val="24"/>
    </w:rPr>
  </w:style>
  <w:style w:type="paragraph" w:customStyle="1" w:styleId="48">
    <w:name w:val="font8"/>
    <w:basedOn w:val="1"/>
    <w:qFormat/>
    <w:uiPriority w:val="0"/>
    <w:pPr>
      <w:widowControl/>
      <w:spacing w:before="100" w:beforeAutospacing="1" w:after="100" w:afterAutospacing="1" w:line="240" w:lineRule="auto"/>
      <w:ind w:firstLine="0" w:firstLineChars="0"/>
      <w:jc w:val="left"/>
    </w:pPr>
    <w:rPr>
      <w:rFonts w:ascii="方正仿宋_GBK" w:hAnsi="宋体" w:cs="宋体"/>
      <w:color w:val="000000"/>
      <w:kern w:val="0"/>
      <w:sz w:val="22"/>
    </w:rPr>
  </w:style>
  <w:style w:type="paragraph" w:customStyle="1" w:styleId="49">
    <w:name w:val="font9"/>
    <w:basedOn w:val="1"/>
    <w:qFormat/>
    <w:uiPriority w:val="0"/>
    <w:pPr>
      <w:widowControl/>
      <w:spacing w:before="100" w:beforeAutospacing="1" w:after="100" w:afterAutospacing="1" w:line="240" w:lineRule="auto"/>
      <w:ind w:firstLine="0" w:firstLineChars="0"/>
      <w:jc w:val="left"/>
    </w:pPr>
    <w:rPr>
      <w:rFonts w:eastAsia="宋体" w:cs="Times New Roman"/>
      <w:color w:val="000000"/>
      <w:kern w:val="0"/>
      <w:sz w:val="22"/>
    </w:rPr>
  </w:style>
  <w:style w:type="paragraph" w:customStyle="1" w:styleId="50">
    <w:name w:val="xl63"/>
    <w:basedOn w:val="1"/>
    <w:qFormat/>
    <w:uiPriority w:val="0"/>
    <w:pPr>
      <w:widowControl/>
      <w:shd w:val="clear" w:color="000000" w:fill="FFFFFF"/>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1">
    <w:name w:val="xl64"/>
    <w:basedOn w:val="1"/>
    <w:qFormat/>
    <w:uiPriority w:val="0"/>
    <w:pPr>
      <w:widowControl/>
      <w:spacing w:before="100" w:beforeAutospacing="1" w:after="100" w:afterAutospacing="1" w:line="240" w:lineRule="auto"/>
      <w:ind w:firstLine="0" w:firstLineChars="0"/>
    </w:pPr>
    <w:rPr>
      <w:rFonts w:eastAsia="宋体" w:cs="Times New Roman"/>
      <w:kern w:val="0"/>
      <w:sz w:val="24"/>
      <w:szCs w:val="24"/>
    </w:rPr>
  </w:style>
  <w:style w:type="paragraph" w:customStyle="1" w:styleId="52">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方正黑体_GBK" w:hAnsi="宋体" w:eastAsia="方正黑体_GBK" w:cs="宋体"/>
      <w:kern w:val="0"/>
      <w:sz w:val="24"/>
      <w:szCs w:val="24"/>
    </w:rPr>
  </w:style>
  <w:style w:type="paragraph" w:customStyle="1" w:styleId="5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宋体" w:cs="Times New Roman"/>
      <w:kern w:val="0"/>
      <w:sz w:val="24"/>
      <w:szCs w:val="24"/>
    </w:rPr>
  </w:style>
  <w:style w:type="paragraph" w:customStyle="1" w:styleId="5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方正仿宋_GBK" w:hAnsi="宋体" w:cs="宋体"/>
      <w:kern w:val="0"/>
      <w:sz w:val="24"/>
      <w:szCs w:val="24"/>
    </w:rPr>
  </w:style>
  <w:style w:type="paragraph" w:customStyle="1" w:styleId="5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方正仿宋_GBK" w:hAnsi="宋体" w:cs="宋体"/>
      <w:kern w:val="0"/>
      <w:sz w:val="24"/>
      <w:szCs w:val="24"/>
    </w:rPr>
  </w:style>
  <w:style w:type="paragraph" w:customStyle="1" w:styleId="5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方正仿宋_GBK" w:hAnsi="宋体" w:cs="宋体"/>
      <w:kern w:val="0"/>
      <w:sz w:val="24"/>
      <w:szCs w:val="24"/>
    </w:rPr>
  </w:style>
  <w:style w:type="paragraph" w:customStyle="1" w:styleId="5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方正黑体_GBK" w:hAnsi="宋体" w:eastAsia="方正黑体_GBK" w:cs="宋体"/>
      <w:kern w:val="0"/>
      <w:sz w:val="24"/>
      <w:szCs w:val="24"/>
    </w:rPr>
  </w:style>
  <w:style w:type="paragraph" w:customStyle="1" w:styleId="58">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ascii="方正黑体_GBK" w:hAnsi="宋体" w:eastAsia="方正黑体_GBK" w:cs="宋体"/>
      <w:kern w:val="0"/>
      <w:sz w:val="24"/>
      <w:szCs w:val="24"/>
    </w:rPr>
  </w:style>
  <w:style w:type="paragraph" w:customStyle="1" w:styleId="5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宋体" w:cs="Times New Roman"/>
      <w:kern w:val="0"/>
      <w:sz w:val="24"/>
      <w:szCs w:val="24"/>
    </w:rPr>
  </w:style>
  <w:style w:type="paragraph" w:customStyle="1" w:styleId="6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宋体" w:cs="Times New Roman"/>
      <w:kern w:val="0"/>
      <w:sz w:val="24"/>
      <w:szCs w:val="24"/>
    </w:rPr>
  </w:style>
  <w:style w:type="paragraph" w:customStyle="1" w:styleId="61">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eastAsia="宋体" w:cs="Times New Roman"/>
      <w:kern w:val="0"/>
      <w:sz w:val="24"/>
      <w:szCs w:val="24"/>
    </w:rPr>
  </w:style>
  <w:style w:type="paragraph" w:customStyle="1" w:styleId="6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eastAsia="宋体" w:cs="Times New Roman"/>
      <w:kern w:val="0"/>
      <w:sz w:val="24"/>
      <w:szCs w:val="24"/>
    </w:rPr>
  </w:style>
  <w:style w:type="paragraph" w:customStyle="1" w:styleId="6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方正仿宋_GBK" w:hAnsi="宋体" w:cs="宋体"/>
      <w:kern w:val="0"/>
      <w:sz w:val="24"/>
      <w:szCs w:val="24"/>
    </w:rPr>
  </w:style>
  <w:style w:type="paragraph" w:customStyle="1" w:styleId="6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宋体" w:cs="Times New Roman"/>
      <w:kern w:val="0"/>
      <w:sz w:val="24"/>
      <w:szCs w:val="24"/>
    </w:rPr>
  </w:style>
  <w:style w:type="paragraph" w:customStyle="1" w:styleId="65">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eastAsia="宋体" w:cs="Times New Roman"/>
      <w:kern w:val="0"/>
      <w:sz w:val="24"/>
      <w:szCs w:val="24"/>
    </w:rPr>
  </w:style>
  <w:style w:type="paragraph" w:customStyle="1" w:styleId="6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宋体" w:cs="Times New Roman"/>
      <w:kern w:val="0"/>
      <w:sz w:val="24"/>
      <w:szCs w:val="24"/>
    </w:rPr>
  </w:style>
  <w:style w:type="paragraph" w:customStyle="1" w:styleId="6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方正仿宋_GBK" w:hAnsi="宋体" w:cs="宋体"/>
      <w:color w:val="000000"/>
      <w:kern w:val="0"/>
      <w:sz w:val="24"/>
      <w:szCs w:val="24"/>
    </w:rPr>
  </w:style>
  <w:style w:type="paragraph" w:customStyle="1" w:styleId="68">
    <w:name w:val="xl81"/>
    <w:basedOn w:val="1"/>
    <w:qFormat/>
    <w:uiPriority w:val="0"/>
    <w:pPr>
      <w:widowControl/>
      <w:pBdr>
        <w:top w:val="single" w:color="auto" w:sz="4" w:space="0"/>
        <w:left w:val="single" w:color="auto" w:sz="4" w:space="0"/>
      </w:pBdr>
      <w:spacing w:before="100" w:beforeAutospacing="1" w:after="100" w:afterAutospacing="1" w:line="240" w:lineRule="auto"/>
      <w:ind w:firstLine="0" w:firstLineChars="0"/>
      <w:jc w:val="center"/>
    </w:pPr>
    <w:rPr>
      <w:rFonts w:ascii="方正仿宋_GBK" w:hAnsi="宋体" w:cs="宋体"/>
      <w:kern w:val="0"/>
      <w:sz w:val="24"/>
      <w:szCs w:val="24"/>
    </w:rPr>
  </w:style>
  <w:style w:type="paragraph" w:customStyle="1" w:styleId="69">
    <w:name w:val="xl82"/>
    <w:basedOn w:val="1"/>
    <w:qFormat/>
    <w:uiPriority w:val="0"/>
    <w:pPr>
      <w:widowControl/>
      <w:pBdr>
        <w:top w:val="single" w:color="auto" w:sz="4" w:space="0"/>
        <w:right w:val="single" w:color="auto" w:sz="4" w:space="0"/>
      </w:pBdr>
      <w:spacing w:before="100" w:beforeAutospacing="1" w:after="100" w:afterAutospacing="1" w:line="240" w:lineRule="auto"/>
      <w:ind w:firstLine="0" w:firstLineChars="0"/>
      <w:jc w:val="center"/>
    </w:pPr>
    <w:rPr>
      <w:rFonts w:ascii="方正仿宋_GBK" w:hAnsi="宋体" w:cs="宋体"/>
      <w:kern w:val="0"/>
      <w:sz w:val="24"/>
      <w:szCs w:val="24"/>
    </w:rPr>
  </w:style>
  <w:style w:type="paragraph" w:customStyle="1" w:styleId="70">
    <w:name w:val="xl83"/>
    <w:basedOn w:val="1"/>
    <w:qFormat/>
    <w:uiPriority w:val="0"/>
    <w:pPr>
      <w:widowControl/>
      <w:pBdr>
        <w:left w:val="single" w:color="auto" w:sz="4" w:space="0"/>
        <w:bottom w:val="single" w:color="auto" w:sz="4" w:space="0"/>
      </w:pBdr>
      <w:spacing w:before="100" w:beforeAutospacing="1" w:after="100" w:afterAutospacing="1" w:line="240" w:lineRule="auto"/>
      <w:ind w:firstLine="0" w:firstLineChars="0"/>
      <w:jc w:val="center"/>
    </w:pPr>
    <w:rPr>
      <w:rFonts w:ascii="方正仿宋_GBK" w:hAnsi="宋体" w:cs="宋体"/>
      <w:kern w:val="0"/>
      <w:sz w:val="24"/>
      <w:szCs w:val="24"/>
    </w:rPr>
  </w:style>
  <w:style w:type="paragraph" w:customStyle="1" w:styleId="71">
    <w:name w:val="xl84"/>
    <w:basedOn w:val="1"/>
    <w:qFormat/>
    <w:uiPriority w:val="0"/>
    <w:pPr>
      <w:widowControl/>
      <w:pBdr>
        <w:bottom w:val="single" w:color="auto" w:sz="4" w:space="0"/>
        <w:right w:val="single" w:color="auto" w:sz="4" w:space="0"/>
      </w:pBdr>
      <w:spacing w:before="100" w:beforeAutospacing="1" w:after="100" w:afterAutospacing="1" w:line="240" w:lineRule="auto"/>
      <w:ind w:firstLine="0" w:firstLineChars="0"/>
      <w:jc w:val="center"/>
    </w:pPr>
    <w:rPr>
      <w:rFonts w:ascii="方正仿宋_GBK" w:hAnsi="宋体" w:cs="宋体"/>
      <w:kern w:val="0"/>
      <w:sz w:val="24"/>
      <w:szCs w:val="24"/>
    </w:rPr>
  </w:style>
  <w:style w:type="paragraph" w:customStyle="1" w:styleId="72">
    <w:name w:val="xl85"/>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eastAsia="宋体" w:cs="Times New Roman"/>
      <w:kern w:val="0"/>
      <w:sz w:val="24"/>
      <w:szCs w:val="24"/>
    </w:rPr>
  </w:style>
  <w:style w:type="paragraph" w:customStyle="1" w:styleId="73">
    <w:name w:val="xl86"/>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宋体" w:cs="Times New Roman"/>
      <w:kern w:val="0"/>
      <w:sz w:val="24"/>
      <w:szCs w:val="24"/>
    </w:rPr>
  </w:style>
  <w:style w:type="paragraph" w:customStyle="1" w:styleId="74">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宋体" w:cs="Times New Roman"/>
      <w:kern w:val="0"/>
      <w:sz w:val="24"/>
      <w:szCs w:val="24"/>
    </w:rPr>
  </w:style>
  <w:style w:type="paragraph" w:customStyle="1" w:styleId="75">
    <w:name w:val="xl88"/>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left"/>
    </w:pPr>
    <w:rPr>
      <w:rFonts w:ascii="方正仿宋_GBK" w:hAnsi="宋体" w:cs="宋体"/>
      <w:kern w:val="0"/>
      <w:sz w:val="24"/>
      <w:szCs w:val="24"/>
    </w:rPr>
  </w:style>
  <w:style w:type="paragraph" w:customStyle="1" w:styleId="76">
    <w:name w:val="xl89"/>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方正仿宋_GBK" w:hAnsi="宋体" w:cs="宋体"/>
      <w:kern w:val="0"/>
      <w:sz w:val="24"/>
      <w:szCs w:val="24"/>
    </w:rPr>
  </w:style>
  <w:style w:type="paragraph" w:customStyle="1" w:styleId="7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eastAsia="宋体" w:cs="Times New Roman"/>
      <w:color w:val="000000"/>
      <w:kern w:val="0"/>
      <w:sz w:val="24"/>
      <w:szCs w:val="24"/>
    </w:rPr>
  </w:style>
  <w:style w:type="paragraph" w:customStyle="1" w:styleId="78">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pPr>
    <w:rPr>
      <w:rFonts w:eastAsia="宋体" w:cs="Times New Roman"/>
      <w:kern w:val="0"/>
      <w:sz w:val="24"/>
      <w:szCs w:val="24"/>
    </w:rPr>
  </w:style>
  <w:style w:type="paragraph" w:customStyle="1" w:styleId="79">
    <w:name w:val="xl92"/>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pPr>
    <w:rPr>
      <w:rFonts w:eastAsia="宋体" w:cs="Times New Roman"/>
      <w:kern w:val="0"/>
      <w:sz w:val="24"/>
      <w:szCs w:val="24"/>
    </w:rPr>
  </w:style>
  <w:style w:type="paragraph" w:customStyle="1" w:styleId="80">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eastAsia="宋体" w:cs="Times New Roman"/>
      <w:kern w:val="0"/>
      <w:sz w:val="20"/>
      <w:szCs w:val="20"/>
    </w:rPr>
  </w:style>
  <w:style w:type="paragraph" w:customStyle="1" w:styleId="81">
    <w:name w:val="xl9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eastAsia="宋体" w:cs="Times New Roman"/>
      <w:kern w:val="0"/>
      <w:sz w:val="24"/>
      <w:szCs w:val="24"/>
    </w:rPr>
  </w:style>
  <w:style w:type="paragraph" w:customStyle="1" w:styleId="82">
    <w:name w:val="xl9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eastAsia="宋体" w:cs="Times New Roman"/>
      <w:kern w:val="0"/>
      <w:sz w:val="24"/>
      <w:szCs w:val="24"/>
    </w:rPr>
  </w:style>
  <w:style w:type="paragraph" w:customStyle="1" w:styleId="83">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eastAsia="宋体" w:cs="Times New Roman"/>
      <w:kern w:val="0"/>
      <w:sz w:val="24"/>
      <w:szCs w:val="24"/>
    </w:rPr>
  </w:style>
  <w:style w:type="paragraph" w:customStyle="1" w:styleId="84">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宋体" w:cs="Times New Roman"/>
      <w:kern w:val="0"/>
      <w:sz w:val="24"/>
      <w:szCs w:val="24"/>
    </w:rPr>
  </w:style>
  <w:style w:type="paragraph" w:customStyle="1" w:styleId="85">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eastAsia="宋体" w:cs="Times New Roman"/>
      <w:kern w:val="0"/>
      <w:sz w:val="24"/>
      <w:szCs w:val="24"/>
    </w:rPr>
  </w:style>
  <w:style w:type="paragraph" w:customStyle="1" w:styleId="86">
    <w:name w:val="xl99"/>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方正仿宋_GBK" w:hAnsi="宋体" w:cs="宋体"/>
      <w:kern w:val="0"/>
      <w:sz w:val="24"/>
      <w:szCs w:val="24"/>
    </w:rPr>
  </w:style>
  <w:style w:type="paragraph" w:customStyle="1" w:styleId="87">
    <w:name w:val="xl100"/>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方正仿宋_GBK"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22B29-7492-4093-A790-BE939DCF893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107</Pages>
  <Words>31935</Words>
  <Characters>40450</Characters>
  <Lines>381</Lines>
  <Paragraphs>107</Paragraphs>
  <TotalTime>301</TotalTime>
  <ScaleCrop>false</ScaleCrop>
  <LinksUpToDate>false</LinksUpToDate>
  <CharactersWithSpaces>46491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2023-03-02T01:08:00Z</dcterms:created>
  <dc:creator>caiwuju</dc:creator>
  <cp:lastModifiedBy>silence</cp:lastModifiedBy>
  <cp:lastPrinted>2023-04-12T02:19:00Z</cp:lastPrinted>
  <dcterms:modified xsi:type="dcterms:W3CDTF">2023-09-08T07:32:56Z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CD149F0C53E24663AE83D4B00BF5D7D5</vt:lpwstr>
  </property>
</Properties>
</file>