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372" w:leftChars="-177" w:firstLine="0" w:firstLineChars="0"/>
        <w:rPr>
          <w:rFonts w:ascii="方正黑体_GBK" w:hAnsi="Times New Roman" w:eastAsia="方正黑体_GBK" w:cs="Times New Roman"/>
          <w:color w:val="0C0C0C"/>
          <w:sz w:val="32"/>
          <w:szCs w:val="22"/>
        </w:rPr>
      </w:pPr>
      <w:r>
        <w:rPr>
          <w:rFonts w:hint="eastAsia" w:ascii="方正黑体_GBK" w:hAnsi="Times New Roman" w:eastAsia="方正黑体_GBK" w:cs="Times New Roman"/>
          <w:color w:val="0C0C0C"/>
          <w:sz w:val="32"/>
          <w:szCs w:val="22"/>
        </w:rPr>
        <w:t>附表9</w:t>
      </w:r>
    </w:p>
    <w:tbl>
      <w:tblPr>
        <w:tblStyle w:val="2"/>
        <w:tblW w:w="13985" w:type="dxa"/>
        <w:tblInd w:w="-426" w:type="dxa"/>
        <w:tblLayout w:type="autofit"/>
        <w:tblCellMar>
          <w:top w:w="0" w:type="dxa"/>
          <w:left w:w="108" w:type="dxa"/>
          <w:bottom w:w="0" w:type="dxa"/>
          <w:right w:w="108" w:type="dxa"/>
        </w:tblCellMar>
      </w:tblPr>
      <w:tblGrid>
        <w:gridCol w:w="700"/>
        <w:gridCol w:w="1143"/>
        <w:gridCol w:w="1418"/>
        <w:gridCol w:w="1276"/>
        <w:gridCol w:w="1417"/>
        <w:gridCol w:w="6521"/>
        <w:gridCol w:w="1416"/>
        <w:gridCol w:w="94"/>
      </w:tblGrid>
      <w:tr>
        <w:tblPrEx>
          <w:tblCellMar>
            <w:top w:w="0" w:type="dxa"/>
            <w:left w:w="108" w:type="dxa"/>
            <w:bottom w:w="0" w:type="dxa"/>
            <w:right w:w="108" w:type="dxa"/>
          </w:tblCellMar>
        </w:tblPrEx>
        <w:trPr>
          <w:trHeight w:val="574" w:hRule="atLeast"/>
          <w:tblHeader/>
        </w:trPr>
        <w:tc>
          <w:tcPr>
            <w:tcW w:w="13985" w:type="dxa"/>
            <w:gridSpan w:val="8"/>
            <w:tcBorders>
              <w:top w:val="nil"/>
              <w:left w:val="nil"/>
              <w:bottom w:val="nil"/>
              <w:right w:val="nil"/>
            </w:tcBorders>
            <w:shd w:val="clear" w:color="auto" w:fill="auto"/>
            <w:vAlign w:val="center"/>
          </w:tcPr>
          <w:p>
            <w:pPr>
              <w:widowControl/>
              <w:spacing w:line="240" w:lineRule="auto"/>
              <w:ind w:firstLine="0" w:firstLineChars="0"/>
              <w:jc w:val="center"/>
              <w:rPr>
                <w:rFonts w:ascii="方正小标宋_GBK" w:hAnsi="Times New Roman" w:eastAsia="方正小标宋_GBK" w:cs="Times New Roman"/>
                <w:bCs/>
                <w:kern w:val="0"/>
                <w:sz w:val="36"/>
                <w:szCs w:val="36"/>
              </w:rPr>
            </w:pPr>
            <w:r>
              <w:rPr>
                <w:rFonts w:hint="eastAsia" w:ascii="方正小标宋_GBK" w:hAnsi="Times New Roman" w:eastAsia="方正小标宋_GBK" w:cs="Times New Roman"/>
                <w:bCs/>
                <w:kern w:val="0"/>
                <w:sz w:val="36"/>
                <w:szCs w:val="36"/>
              </w:rPr>
              <w:t>重庆高新区2022年新增专项债券项目安排情况表</w:t>
            </w:r>
          </w:p>
        </w:tc>
      </w:tr>
      <w:tr>
        <w:tblPrEx>
          <w:tblCellMar>
            <w:top w:w="0" w:type="dxa"/>
            <w:left w:w="108" w:type="dxa"/>
            <w:bottom w:w="0" w:type="dxa"/>
            <w:right w:w="108" w:type="dxa"/>
          </w:tblCellMar>
        </w:tblPrEx>
        <w:trPr>
          <w:gridAfter w:val="1"/>
          <w:wAfter w:w="94" w:type="dxa"/>
          <w:trHeight w:val="285" w:hRule="atLeast"/>
          <w:tblHeader/>
        </w:trPr>
        <w:tc>
          <w:tcPr>
            <w:tcW w:w="700" w:type="dxa"/>
            <w:tcBorders>
              <w:top w:val="nil"/>
              <w:left w:val="nil"/>
              <w:bottom w:val="nil"/>
              <w:right w:val="nil"/>
            </w:tcBorders>
            <w:shd w:val="clear" w:color="auto" w:fill="auto"/>
            <w:vAlign w:val="center"/>
          </w:tcPr>
          <w:p>
            <w:pPr>
              <w:widowControl/>
              <w:spacing w:line="240" w:lineRule="auto"/>
              <w:ind w:firstLine="0" w:firstLineChars="0"/>
              <w:jc w:val="center"/>
              <w:rPr>
                <w:rFonts w:ascii="宋体" w:hAnsi="宋体" w:eastAsia="宋体" w:cs="宋体"/>
                <w:b/>
                <w:bCs/>
                <w:kern w:val="0"/>
                <w:sz w:val="30"/>
                <w:szCs w:val="30"/>
              </w:rPr>
            </w:pPr>
          </w:p>
        </w:tc>
        <w:tc>
          <w:tcPr>
            <w:tcW w:w="1143" w:type="dxa"/>
            <w:tcBorders>
              <w:top w:val="nil"/>
              <w:left w:val="nil"/>
              <w:bottom w:val="nil"/>
              <w:right w:val="nil"/>
            </w:tcBorders>
            <w:shd w:val="clear" w:color="auto" w:fill="auto"/>
            <w:vAlign w:val="center"/>
          </w:tcPr>
          <w:p>
            <w:pPr>
              <w:widowControl/>
              <w:spacing w:line="240" w:lineRule="auto"/>
              <w:ind w:firstLine="0" w:firstLineChars="0"/>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vAlign w:val="center"/>
          </w:tcPr>
          <w:p>
            <w:pPr>
              <w:widowControl/>
              <w:spacing w:line="240" w:lineRule="auto"/>
              <w:ind w:firstLine="0" w:firstLineChars="0"/>
              <w:jc w:val="left"/>
              <w:rPr>
                <w:rFonts w:ascii="Times New Roman" w:hAnsi="Times New Roman" w:eastAsia="Times New Roman" w:cs="Times New Roman"/>
                <w:kern w:val="0"/>
                <w:sz w:val="20"/>
                <w:szCs w:val="20"/>
              </w:rPr>
            </w:pPr>
          </w:p>
        </w:tc>
        <w:tc>
          <w:tcPr>
            <w:tcW w:w="1276" w:type="dxa"/>
            <w:tcBorders>
              <w:top w:val="nil"/>
              <w:left w:val="nil"/>
              <w:bottom w:val="nil"/>
              <w:right w:val="nil"/>
            </w:tcBorders>
            <w:shd w:val="clear" w:color="auto" w:fill="auto"/>
            <w:vAlign w:val="center"/>
          </w:tcPr>
          <w:p>
            <w:pPr>
              <w:widowControl/>
              <w:spacing w:line="240" w:lineRule="auto"/>
              <w:ind w:firstLine="0" w:firstLineChars="0"/>
              <w:jc w:val="left"/>
              <w:rPr>
                <w:rFonts w:ascii="Times New Roman" w:hAnsi="Times New Roman" w:eastAsia="Times New Roman" w:cs="Times New Roman"/>
                <w:kern w:val="0"/>
                <w:sz w:val="20"/>
                <w:szCs w:val="20"/>
              </w:rPr>
            </w:pPr>
          </w:p>
        </w:tc>
        <w:tc>
          <w:tcPr>
            <w:tcW w:w="1417" w:type="dxa"/>
            <w:tcBorders>
              <w:top w:val="nil"/>
              <w:left w:val="nil"/>
              <w:bottom w:val="nil"/>
              <w:right w:val="nil"/>
            </w:tcBorders>
            <w:shd w:val="clear" w:color="auto" w:fill="auto"/>
            <w:vAlign w:val="center"/>
          </w:tcPr>
          <w:p>
            <w:pPr>
              <w:widowControl/>
              <w:spacing w:line="240" w:lineRule="auto"/>
              <w:ind w:firstLine="0" w:firstLineChars="0"/>
              <w:jc w:val="left"/>
              <w:rPr>
                <w:rFonts w:ascii="Times New Roman" w:hAnsi="Times New Roman" w:eastAsia="Times New Roman" w:cs="Times New Roman"/>
                <w:kern w:val="0"/>
                <w:sz w:val="20"/>
                <w:szCs w:val="20"/>
              </w:rPr>
            </w:pPr>
          </w:p>
        </w:tc>
        <w:tc>
          <w:tcPr>
            <w:tcW w:w="6521" w:type="dxa"/>
            <w:tcBorders>
              <w:top w:val="nil"/>
              <w:left w:val="nil"/>
              <w:bottom w:val="nil"/>
              <w:right w:val="nil"/>
            </w:tcBorders>
            <w:shd w:val="clear" w:color="auto" w:fill="auto"/>
            <w:vAlign w:val="center"/>
          </w:tcPr>
          <w:p>
            <w:pPr>
              <w:widowControl/>
              <w:spacing w:line="240" w:lineRule="auto"/>
              <w:ind w:firstLine="0" w:firstLineChars="0"/>
              <w:jc w:val="left"/>
              <w:rPr>
                <w:rFonts w:ascii="Times New Roman" w:hAnsi="Times New Roman" w:eastAsia="Times New Roman" w:cs="Times New Roman"/>
                <w:kern w:val="0"/>
                <w:sz w:val="20"/>
                <w:szCs w:val="20"/>
              </w:rPr>
            </w:pPr>
          </w:p>
        </w:tc>
        <w:tc>
          <w:tcPr>
            <w:tcW w:w="1416" w:type="dxa"/>
            <w:tcBorders>
              <w:top w:val="nil"/>
              <w:left w:val="nil"/>
              <w:bottom w:val="nil"/>
              <w:right w:val="nil"/>
            </w:tcBorders>
            <w:shd w:val="clear" w:color="auto" w:fill="auto"/>
            <w:vAlign w:val="center"/>
          </w:tcPr>
          <w:p>
            <w:pPr>
              <w:widowControl/>
              <w:spacing w:line="240" w:lineRule="auto"/>
              <w:ind w:firstLine="0" w:firstLineChars="0"/>
              <w:jc w:val="right"/>
              <w:rPr>
                <w:rFonts w:ascii="宋体" w:hAnsi="宋体" w:eastAsia="宋体" w:cs="宋体"/>
                <w:kern w:val="0"/>
                <w:sz w:val="22"/>
                <w:szCs w:val="22"/>
              </w:rPr>
            </w:pPr>
            <w:r>
              <w:rPr>
                <w:rFonts w:hint="eastAsia" w:ascii="宋体" w:hAnsi="宋体" w:eastAsia="宋体" w:cs="宋体"/>
                <w:kern w:val="0"/>
                <w:sz w:val="22"/>
                <w:szCs w:val="22"/>
              </w:rPr>
              <w:t>单位：亿元</w:t>
            </w:r>
          </w:p>
        </w:tc>
      </w:tr>
      <w:tr>
        <w:tblPrEx>
          <w:tblCellMar>
            <w:top w:w="0" w:type="dxa"/>
            <w:left w:w="108" w:type="dxa"/>
            <w:bottom w:w="0" w:type="dxa"/>
            <w:right w:w="108" w:type="dxa"/>
          </w:tblCellMar>
        </w:tblPrEx>
        <w:trPr>
          <w:gridAfter w:val="1"/>
          <w:wAfter w:w="94" w:type="dxa"/>
          <w:trHeight w:val="484" w:hRule="atLeast"/>
          <w:tblHead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rPr>
                <w:rFonts w:ascii="方正黑体_GBK" w:hAnsi="Times New Roman" w:eastAsia="方正黑体_GBK" w:cs="Times New Roman"/>
                <w:bCs/>
                <w:kern w:val="0"/>
                <w:sz w:val="22"/>
                <w:szCs w:val="22"/>
              </w:rPr>
            </w:pPr>
            <w:r>
              <w:rPr>
                <w:rFonts w:hint="eastAsia" w:ascii="方正黑体_GBK" w:hAnsi="Times New Roman" w:eastAsia="方正黑体_GBK" w:cs="Times New Roman"/>
                <w:bCs/>
                <w:kern w:val="0"/>
                <w:sz w:val="22"/>
                <w:szCs w:val="22"/>
              </w:rPr>
              <w:t>序号</w:t>
            </w:r>
          </w:p>
        </w:tc>
        <w:tc>
          <w:tcPr>
            <w:tcW w:w="114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firstLine="0" w:firstLineChars="0"/>
              <w:jc w:val="center"/>
              <w:rPr>
                <w:rFonts w:ascii="方正黑体_GBK" w:hAnsi="Times New Roman" w:eastAsia="方正黑体_GBK" w:cs="Times New Roman"/>
                <w:bCs/>
                <w:kern w:val="0"/>
                <w:sz w:val="22"/>
                <w:szCs w:val="22"/>
              </w:rPr>
            </w:pPr>
            <w:r>
              <w:rPr>
                <w:rFonts w:hint="eastAsia" w:ascii="方正黑体_GBK" w:hAnsi="Times New Roman" w:eastAsia="方正黑体_GBK" w:cs="Times New Roman"/>
                <w:bCs/>
                <w:kern w:val="0"/>
                <w:sz w:val="22"/>
                <w:szCs w:val="22"/>
              </w:rPr>
              <w:t>项目名称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firstLine="0" w:firstLineChars="0"/>
              <w:jc w:val="center"/>
              <w:rPr>
                <w:rFonts w:ascii="方正黑体_GBK" w:hAnsi="Times New Roman" w:eastAsia="方正黑体_GBK" w:cs="Times New Roman"/>
                <w:bCs/>
                <w:kern w:val="0"/>
                <w:sz w:val="22"/>
                <w:szCs w:val="22"/>
              </w:rPr>
            </w:pPr>
            <w:r>
              <w:rPr>
                <w:rFonts w:hint="eastAsia" w:ascii="方正黑体_GBK" w:hAnsi="Times New Roman" w:eastAsia="方正黑体_GBK" w:cs="Times New Roman"/>
                <w:bCs/>
                <w:kern w:val="0"/>
                <w:sz w:val="22"/>
                <w:szCs w:val="22"/>
              </w:rPr>
              <w:t>项目实施</w:t>
            </w:r>
          </w:p>
          <w:p>
            <w:pPr>
              <w:widowControl/>
              <w:spacing w:line="400" w:lineRule="exact"/>
              <w:ind w:firstLine="0" w:firstLineChars="0"/>
              <w:jc w:val="center"/>
              <w:rPr>
                <w:rFonts w:ascii="方正黑体_GBK" w:hAnsi="Times New Roman" w:eastAsia="方正黑体_GBK" w:cs="Times New Roman"/>
                <w:bCs/>
                <w:kern w:val="0"/>
                <w:sz w:val="22"/>
                <w:szCs w:val="22"/>
              </w:rPr>
            </w:pPr>
            <w:r>
              <w:rPr>
                <w:rFonts w:hint="eastAsia" w:ascii="方正黑体_GBK" w:hAnsi="Times New Roman" w:eastAsia="方正黑体_GBK" w:cs="Times New Roman"/>
                <w:bCs/>
                <w:kern w:val="0"/>
                <w:sz w:val="22"/>
                <w:szCs w:val="22"/>
              </w:rPr>
              <w:t>单位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firstLine="0" w:firstLineChars="0"/>
              <w:jc w:val="center"/>
              <w:rPr>
                <w:rFonts w:ascii="方正黑体_GBK" w:hAnsi="Times New Roman" w:eastAsia="方正黑体_GBK" w:cs="Times New Roman"/>
                <w:bCs/>
                <w:kern w:val="0"/>
                <w:sz w:val="22"/>
                <w:szCs w:val="22"/>
              </w:rPr>
            </w:pPr>
            <w:r>
              <w:rPr>
                <w:rFonts w:hint="eastAsia" w:ascii="方正黑体_GBK" w:hAnsi="Times New Roman" w:eastAsia="方正黑体_GBK" w:cs="Times New Roman"/>
                <w:bCs/>
                <w:kern w:val="0"/>
                <w:sz w:val="22"/>
                <w:szCs w:val="22"/>
              </w:rPr>
              <w:t>项目类型</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firstLine="0" w:firstLineChars="0"/>
              <w:jc w:val="center"/>
              <w:rPr>
                <w:rFonts w:ascii="方正黑体_GBK" w:hAnsi="Times New Roman" w:eastAsia="方正黑体_GBK" w:cs="Times New Roman"/>
                <w:bCs/>
                <w:kern w:val="0"/>
                <w:sz w:val="22"/>
                <w:szCs w:val="22"/>
              </w:rPr>
            </w:pPr>
            <w:r>
              <w:rPr>
                <w:rFonts w:hint="eastAsia" w:ascii="方正黑体_GBK" w:hAnsi="Times New Roman" w:eastAsia="方正黑体_GBK" w:cs="Times New Roman"/>
                <w:bCs/>
                <w:kern w:val="0"/>
                <w:sz w:val="22"/>
                <w:szCs w:val="22"/>
              </w:rPr>
              <w:t>债券性质</w:t>
            </w:r>
          </w:p>
        </w:tc>
        <w:tc>
          <w:tcPr>
            <w:tcW w:w="652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firstLine="0" w:firstLineChars="0"/>
              <w:jc w:val="center"/>
              <w:rPr>
                <w:rFonts w:ascii="方正黑体_GBK" w:hAnsi="Times New Roman" w:eastAsia="方正黑体_GBK" w:cs="Times New Roman"/>
                <w:bCs/>
                <w:kern w:val="0"/>
                <w:sz w:val="22"/>
                <w:szCs w:val="22"/>
              </w:rPr>
            </w:pPr>
            <w:r>
              <w:rPr>
                <w:rFonts w:hint="eastAsia" w:ascii="方正黑体_GBK" w:hAnsi="Times New Roman" w:eastAsia="方正黑体_GBK" w:cs="Times New Roman"/>
                <w:bCs/>
                <w:kern w:val="0"/>
                <w:sz w:val="22"/>
                <w:szCs w:val="22"/>
              </w:rPr>
              <w:t>项目整体绩效目标</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ind w:firstLine="0" w:firstLineChars="0"/>
              <w:jc w:val="center"/>
              <w:rPr>
                <w:rFonts w:ascii="方正黑体_GBK" w:hAnsi="Times New Roman" w:eastAsia="方正黑体_GBK" w:cs="Times New Roman"/>
                <w:bCs/>
                <w:kern w:val="0"/>
                <w:sz w:val="22"/>
                <w:szCs w:val="22"/>
              </w:rPr>
            </w:pPr>
            <w:r>
              <w:rPr>
                <w:rFonts w:hint="eastAsia" w:ascii="方正黑体_GBK" w:hAnsi="Times New Roman" w:eastAsia="方正黑体_GBK" w:cs="Times New Roman"/>
                <w:bCs/>
                <w:kern w:val="0"/>
                <w:sz w:val="22"/>
                <w:szCs w:val="22"/>
              </w:rPr>
              <w:t>债券规模</w:t>
            </w:r>
          </w:p>
        </w:tc>
      </w:tr>
      <w:tr>
        <w:tblPrEx>
          <w:tblCellMar>
            <w:top w:w="0" w:type="dxa"/>
            <w:left w:w="108" w:type="dxa"/>
            <w:bottom w:w="0" w:type="dxa"/>
            <w:right w:w="108" w:type="dxa"/>
          </w:tblCellMar>
        </w:tblPrEx>
        <w:trPr>
          <w:gridAfter w:val="1"/>
          <w:wAfter w:w="94" w:type="dxa"/>
          <w:trHeight w:val="484" w:hRule="atLeast"/>
        </w:trPr>
        <w:tc>
          <w:tcPr>
            <w:tcW w:w="1247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0" w:firstLineChars="0"/>
              <w:jc w:val="center"/>
              <w:rPr>
                <w:rFonts w:ascii="Times New Roman" w:hAnsi="Times New Roman" w:eastAsia="宋体" w:cs="Times New Roman"/>
                <w:b/>
                <w:bCs/>
                <w:kern w:val="0"/>
                <w:sz w:val="22"/>
                <w:szCs w:val="22"/>
              </w:rPr>
            </w:pPr>
            <w:r>
              <w:rPr>
                <w:rFonts w:ascii="Times New Roman" w:hAnsi="Times New Roman" w:eastAsia="宋体" w:cs="Times New Roman"/>
                <w:b/>
                <w:bCs/>
                <w:kern w:val="0"/>
                <w:sz w:val="22"/>
                <w:szCs w:val="22"/>
              </w:rPr>
              <w:t>合计</w:t>
            </w:r>
          </w:p>
        </w:tc>
        <w:tc>
          <w:tcPr>
            <w:tcW w:w="1416" w:type="dxa"/>
            <w:tcBorders>
              <w:top w:val="nil"/>
              <w:left w:val="nil"/>
              <w:bottom w:val="single" w:color="auto" w:sz="4" w:space="0"/>
              <w:right w:val="single" w:color="auto" w:sz="4" w:space="0"/>
            </w:tcBorders>
            <w:shd w:val="clear" w:color="auto" w:fill="auto"/>
            <w:vAlign w:val="center"/>
          </w:tcPr>
          <w:p>
            <w:pPr>
              <w:widowControl/>
              <w:spacing w:line="400" w:lineRule="exact"/>
              <w:ind w:firstLine="0" w:firstLineChars="0"/>
              <w:jc w:val="center"/>
              <w:rPr>
                <w:rFonts w:ascii="Times New Roman" w:hAnsi="Times New Roman" w:eastAsia="宋体" w:cs="Times New Roman"/>
                <w:b/>
                <w:bCs/>
                <w:kern w:val="0"/>
                <w:sz w:val="22"/>
                <w:szCs w:val="22"/>
              </w:rPr>
            </w:pPr>
            <w:r>
              <w:rPr>
                <w:rFonts w:ascii="Times New Roman" w:hAnsi="Times New Roman" w:eastAsia="宋体" w:cs="Times New Roman"/>
                <w:b/>
                <w:bCs/>
                <w:kern w:val="0"/>
                <w:sz w:val="22"/>
                <w:szCs w:val="22"/>
              </w:rPr>
              <w:t>138.700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含谷智能制造产业园区项目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本项目将进一步完善园区标准厂房及交通、电力、环保等基础设施建设促进高新区路网的建设，提升交通通行条件，改善人居环境，优化区域空间布局，促进招商引资，吸引企业入驻，创造更多的就业机会，促进地方经济发展。</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7.870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莲花湖产业园</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完善莲花湖产业园区基础设施配套，优化产业园区开放环境，促进招商引资，吸引企业入驻，创造更多的就业机会，促进地区产业结构调整，带动区域经济持续稳定发展。</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0.350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科学城南部产业园区提升项目一期</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主要包括新征地4000亩，商业楼宇装修改造2万平方米，新建及改造公厕31个，新建公共停车场和停车楼1.6万平方米，河道改道2.5公里，绿化景观品质提升200亩，新建标准厂房3万平方米，新建改造城市公园2万平方米，新建小型污水处理站2座，新建社区卫生服务中心800平方米，改造敬老院4800平方米，改造1条公交线路配套设施，新建中学6万平方米，新建医院13万平方米，新建幼儿园0.5万平方米。并配套建设园区道路26公里、污水管网10公里，10kV电力排管10公里，泄洪通道1.2公里。预计2023年完工。</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3.280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重庆科学城产业园区建设项目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本项目拟通过建设科创示范园区、科学公园、道路、平场、边坡支护、绿化景观以及线路迁改等基础配套设施工程，为科学城产业园区的发展拓展空间，搭建平台。该项目的实施有利于招商引资和吸引人才，并创造更多的就业机会。</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22.430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5</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西部（重庆）科学城大健康产业园一期建设项目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本项目立足于西部（重庆）科学城核心区大健康产业规划和产业基础，聚焦“生命芯谷”建设。建成后将对产业聚集、创新研发、产业化和产品推广、创新服务平台、培育健康服务业态等方面有较大积极影响。该项目有助于引导大健康产业集聚发展、打造特色鲜明的产业集聚区、聚焦重点细分领域构建产业生态圈，深入实施健康中国行动，为人民提供全方位全生命期健康服务。</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3.190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6</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西部（重庆）科学城科技创新产业园一期建设项目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西部（重庆）科学城科技创新产业园一期建设项目能够极大的完善区域基础设施配套，促进创新要素流动、创新链条融通，为提升区域整体发展能力和协同创新能力提供综合性、引领性支撑。</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3.960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7</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西部（重庆）科学城城市更新一期建设项目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实施城市更新行动，是解决高新区城市发展中问题的有效途径，将大大提升城市品质，全方位提升高新区居民生活质量、人居环境质量和城市竞争力。具有积极的社会效益和经济效益。</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0.120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8</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西部（重庆）科学城智慧城市一期建设项目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西部（重庆）科学城智慧城市一期建设项目能够极大的完善区域基础设施配套，优化产业园区开放环境，促进招商引资，吸引企业入驻，创造更多的就业机会，对促进地区产业结构调整，带动区域经济持续稳定发展具有重要意义。</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5.630</w:t>
            </w:r>
          </w:p>
        </w:tc>
      </w:tr>
      <w:tr>
        <w:tblPrEx>
          <w:tblCellMar>
            <w:top w:w="0" w:type="dxa"/>
            <w:left w:w="108" w:type="dxa"/>
            <w:bottom w:w="0" w:type="dxa"/>
            <w:right w:w="108" w:type="dxa"/>
          </w:tblCellMar>
        </w:tblPrEx>
        <w:trPr>
          <w:gridAfter w:val="1"/>
          <w:wAfter w:w="94" w:type="dxa"/>
          <w:trHeight w:val="2063"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9</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环寨山坪产业带项目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本项目将进一步完善高新区直管园及重庆市主城区的道路网络，加快高新区及重庆市主城区基础设施建设的进程，有效连接区域现有道路，有效的促进高新区路网的建设，提升交通通行条件，改善人居环境，优化区域空间布局，促进招商引资，吸引企业入驻，创造更多的就业机会，促进地方经济发展。</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35.900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10</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西部涉农园区品质提升项目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推动“产业园区带动、自主创新引领、战略性新兴产业促进、高端服务聚集、内陆开放提速、城市功能再造、基础设施攻坚、绿色低碳推广”八大战役性工程，改善发展环境、提高发展质量、优化空间布局，实现资源的合理配置和有效利用，提升区域内城市绿化环境，改善城市面貌，有利于树立高新区生态旅游城市的品牌形象，减轻环境污染、保持生态环境、调整生态结构，努力建设一个集“生产乐园、生活家园、生态花园”三位一体的高新技术产业开发区。</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0.580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11</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西部（重庆）科学城环寨山坪产业带二期建设项目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通过建设含湖安置房二期及片区路网，完善环寨山坪产业带、高铁枢纽片区的基础设施条件，满足片区开发征地拆迁安置的需要，提升片区的产业承载能力，围绕寨山坪科学公园城市绿心，布局高端研发平台和高水平科研机构，布局一批科技研发创新中心，规划一批科学小镇、科学村落，围绕校区、园区、社区布局创新创业空间，将片区打造成为各类人才向往之地、集聚之地，促使西部（重庆）科学城科学氛围将更浓厚</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2.580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12</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西部（重庆）科学城新一代信息技术产业园一期建设项目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立足“建平台、兴产业、聚人才、优环境、提品质”，打造具有全国影响力的科技创新中心；加快塑造科学城的现代化城市格局，进一步完善城市功能、提升城市品质，补齐科学城创新短板，推动科学城高质量发展；推动成渝地区双城经济圈建设，增强科学城的原始创新能力，推进成渝地区区域协同创新共同体建设；加快重庆建设科学高地、创新之城，提升高新区持续创新能力、资源整合能力、产业生成能力、经济产出能力，推动高新区升级发展。</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2.810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13</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西部（重庆）科学城生命芯谷一期建设项目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通过建设生命芯谷一期，作为大健康产业发展载体，完善大健康产业园石板至巴福一带基础设施，进一步提升园区承载能力，大力推动西部（重庆）科学城核心区大健康产业高质量发展，打造具有全国影响力和带动力的大健康产业集聚区，通过引导大健康产业集聚发展、打造特色鲜明的产业集聚区、聚焦重点细分领域构建产业生态圈，深入实施健康中国行动，为人民提供全方位全生命期健康服务；促进“健康+”产业新体系建设，培育新业态新模式，形成一批具有较强带动作用的大健康产业集群。</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3.420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14</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西部（重庆）科学城大健康产业园二期建设项目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通过基础设施的完善，提升园区承载能力，大力推动西部（重庆）科学城核心区大健康产业高质量发展，打造具有全国影响力和带动力的大健康产业集聚区，通过引导大健康产业集聚发展、打造特色鲜明的产业集聚区、聚焦重点细分领域构建产业生态圈，深入实施健康中国行动，为人民提供全方位全生命期健康服务；促进“健康+”产业新体系建设，培育新业态新模式，形成一批具有较强带动作用的大健康产业集群。</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6.080</w:t>
            </w:r>
          </w:p>
        </w:tc>
      </w:tr>
      <w:tr>
        <w:tblPrEx>
          <w:tblCellMar>
            <w:top w:w="0" w:type="dxa"/>
            <w:left w:w="108" w:type="dxa"/>
            <w:bottom w:w="0" w:type="dxa"/>
            <w:right w:w="108" w:type="dxa"/>
          </w:tblCellMar>
        </w:tblPrEx>
        <w:trPr>
          <w:gridAfter w:val="1"/>
          <w:wAfter w:w="94" w:type="dxa"/>
          <w:trHeight w:val="2834"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15</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西永微电园信息产业基地及周边基础设施建设项目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按时完成项目建设，促进西永微电园信息产业基地整体建设，改善群众的生活环境，提升环境品质，推动西部科学城经济社会发展。</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10.065</w:t>
            </w:r>
          </w:p>
        </w:tc>
      </w:tr>
      <w:tr>
        <w:tblPrEx>
          <w:tblCellMar>
            <w:top w:w="0" w:type="dxa"/>
            <w:left w:w="108" w:type="dxa"/>
            <w:bottom w:w="0" w:type="dxa"/>
            <w:right w:w="108" w:type="dxa"/>
          </w:tblCellMar>
        </w:tblPrEx>
        <w:trPr>
          <w:gridAfter w:val="1"/>
          <w:wAfter w:w="94" w:type="dxa"/>
          <w:trHeight w:val="2827"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16</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西永综合保税区进口整车展示存储中心及周边配套工程</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按时完成项目建设，促进西永微电园信息产业基地整体建设，改善群众的生活环境，提升环境品质，推动西部科学城经济社会发展。</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2.535</w:t>
            </w:r>
          </w:p>
        </w:tc>
      </w:tr>
      <w:tr>
        <w:tblPrEx>
          <w:tblCellMar>
            <w:top w:w="0" w:type="dxa"/>
            <w:left w:w="108" w:type="dxa"/>
            <w:bottom w:w="0" w:type="dxa"/>
            <w:right w:w="108" w:type="dxa"/>
          </w:tblCellMar>
        </w:tblPrEx>
        <w:trPr>
          <w:gridAfter w:val="1"/>
          <w:wAfter w:w="94" w:type="dxa"/>
          <w:trHeight w:val="212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17</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科学城南部产业园区提升项目二期</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本项目将进一步建设创新楼宇产业园品质提升工程二期、花都湖公园、冷链物流园项目土地平场工程等基础配套设施工程，为科学城南部产业园区的发展拓展空间，搭建平台，为进入园区的企业及项目创造良好办公生活条件。项目的实施有利于带动产业发展和吸引人才，并创造更多的就业机会，对促进地区产业结构调整，带动区域经济持续稳定发展。</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2.140</w:t>
            </w:r>
          </w:p>
        </w:tc>
      </w:tr>
      <w:tr>
        <w:tblPrEx>
          <w:tblCellMar>
            <w:top w:w="0" w:type="dxa"/>
            <w:left w:w="108" w:type="dxa"/>
            <w:bottom w:w="0" w:type="dxa"/>
            <w:right w:w="108" w:type="dxa"/>
          </w:tblCellMar>
        </w:tblPrEx>
        <w:trPr>
          <w:gridAfter w:val="1"/>
          <w:wAfter w:w="94" w:type="dxa"/>
          <w:trHeight w:val="1843"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18</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中欧冷链产业园建设项目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通过基础设施的完善，提升园区承载能力，进一步完善中欧冷链产业园区周边及重庆市主城区的道路网络，加快高新区及重庆市主城区基础设施建设的进程，有效连接区域现有道路，有效的促高新区路网的建设，提升交通通行条件，改善人居环境，优化区域空间布局。</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0.450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19</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西部（重庆）科学城城市更新一期建设项目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本项目的建设将完善科学城高技术服务产业园功能布局，改善研究基础条件，吸引和培育一批具有国际水平的战略科技人才、企业，实现资源共享，更好地发挥协调效应机制，从而产生高水平的科技创新成果。</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12.300</w:t>
            </w:r>
          </w:p>
        </w:tc>
      </w:tr>
      <w:tr>
        <w:tblPrEx>
          <w:tblCellMar>
            <w:top w:w="0" w:type="dxa"/>
            <w:left w:w="108" w:type="dxa"/>
            <w:bottom w:w="0" w:type="dxa"/>
            <w:right w:w="108" w:type="dxa"/>
          </w:tblCellMar>
        </w:tblPrEx>
        <w:trPr>
          <w:gridAfter w:val="1"/>
          <w:wAfter w:w="94" w:type="dxa"/>
          <w:trHeight w:val="64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20</w:t>
            </w:r>
          </w:p>
        </w:tc>
        <w:tc>
          <w:tcPr>
            <w:tcW w:w="114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西部（重庆）科学城高技术服务产业园一期建设项目</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重庆高新开发建设投资集团有限公司</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产城融合项目</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其他自平衡专项债券</w:t>
            </w:r>
          </w:p>
        </w:tc>
        <w:tc>
          <w:tcPr>
            <w:tcW w:w="6521"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本项目将进一步完善园区标准厂房及交通、电力、环保等基础设施建设促进高新区路网的建设，提升交通通行条件，改善人居环境，优化区域空间布局，促进招商引资，吸引企业入驻，创造更多的就业机会，促进地方经济发展。</w:t>
            </w:r>
          </w:p>
        </w:tc>
        <w:tc>
          <w:tcPr>
            <w:tcW w:w="141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13.010</w:t>
            </w:r>
          </w:p>
        </w:tc>
      </w:tr>
    </w:tbl>
    <w:p>
      <w:pPr>
        <w:spacing w:line="300" w:lineRule="exact"/>
        <w:ind w:firstLine="0" w:firstLineChars="0"/>
        <w:rPr>
          <w:rFonts w:ascii="方正仿宋_GBK" w:hAnsi="Times New Roman" w:eastAsia="方正仿宋_GBK" w:cs="Times New Roman"/>
          <w:color w:val="0C0C0C"/>
          <w:sz w:val="24"/>
          <w:szCs w:val="24"/>
        </w:rPr>
      </w:pPr>
    </w:p>
    <w:p>
      <w:bookmarkStart w:id="0" w:name="_GoBack"/>
      <w:bookmarkEnd w:id="0"/>
    </w:p>
    <w:sectPr>
      <w:pgSz w:w="16838" w:h="11906" w:orient="landscape"/>
      <w:pgMar w:top="1531" w:right="2098" w:bottom="1531" w:left="1985" w:header="851" w:footer="1531"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NmVmOWQxZjU2ZjA0Y2ZkZTA5ZTNmMjgyZmUyOWQifQ=="/>
  </w:docVars>
  <w:rsids>
    <w:rsidRoot w:val="4DC95447"/>
    <w:rsid w:val="0BED0F30"/>
    <w:rsid w:val="1BC670A8"/>
    <w:rsid w:val="34E72111"/>
    <w:rsid w:val="3F4A39C9"/>
    <w:rsid w:val="4DC95447"/>
    <w:rsid w:val="523F3135"/>
    <w:rsid w:val="524A3FB4"/>
    <w:rsid w:val="59E24AD2"/>
    <w:rsid w:val="6D7B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97</Words>
  <Characters>105</Characters>
  <Lines>0</Lines>
  <Paragraphs>0</Paragraphs>
  <TotalTime>0</TotalTime>
  <ScaleCrop>false</ScaleCrop>
  <LinksUpToDate>false</LinksUpToDate>
  <CharactersWithSpaces>105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2022-12-29T06:30:00Z</dcterms:created>
  <dc:creator>silence</dc:creator>
  <cp:lastModifiedBy>silence</cp:lastModifiedBy>
  <dcterms:modified xsi:type="dcterms:W3CDTF">2022-12-29T06:34:12Z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3C430DE827B64348B1B36CC4335BC862</vt:lpwstr>
  </property>
</Properties>
</file>