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7A0" w:rsidRDefault="00727D3A">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sz w:val="44"/>
          <w:szCs w:val="44"/>
        </w:rPr>
        <w:t>重庆高新技术产业开发区管理委员会财政局</w:t>
      </w:r>
    </w:p>
    <w:p w:rsidR="00F417A0" w:rsidRDefault="00727D3A">
      <w:pPr>
        <w:spacing w:line="600" w:lineRule="exact"/>
        <w:jc w:val="center"/>
        <w:rPr>
          <w:rFonts w:ascii="方正小标宋_GBK" w:eastAsia="方正小标宋_GBK" w:hAnsi="华文中宋" w:cs="华文中宋"/>
          <w:color w:val="0D0D0D"/>
          <w:sz w:val="44"/>
          <w:szCs w:val="44"/>
        </w:rPr>
      </w:pPr>
      <w:r>
        <w:rPr>
          <w:rFonts w:ascii="方正小标宋_GBK" w:eastAsia="方正小标宋_GBK" w:hAnsi="华文中宋" w:cs="华文中宋" w:hint="eastAsia"/>
          <w:sz w:val="44"/>
          <w:szCs w:val="44"/>
        </w:rPr>
        <w:t>（本级）</w:t>
      </w:r>
      <w:r>
        <w:rPr>
          <w:rFonts w:ascii="方正小标宋_GBK" w:eastAsia="方正小标宋_GBK" w:hAnsi="华文中宋" w:cs="华文中宋" w:hint="eastAsia"/>
          <w:color w:val="0D0D0D"/>
          <w:sz w:val="44"/>
          <w:szCs w:val="44"/>
        </w:rPr>
        <w:t>2026</w:t>
      </w:r>
      <w:r>
        <w:rPr>
          <w:rFonts w:ascii="方正小标宋_GBK" w:eastAsia="方正小标宋_GBK" w:hAnsi="华文中宋" w:cs="华文中宋" w:hint="eastAsia"/>
          <w:color w:val="0D0D0D"/>
          <w:sz w:val="44"/>
          <w:szCs w:val="44"/>
        </w:rPr>
        <w:t>年部门预算情况说明</w:t>
      </w:r>
    </w:p>
    <w:p w:rsidR="00F417A0" w:rsidRDefault="00F417A0">
      <w:pPr>
        <w:adjustRightInd w:val="0"/>
        <w:snapToGrid w:val="0"/>
        <w:spacing w:line="600" w:lineRule="exact"/>
        <w:jc w:val="left"/>
        <w:rPr>
          <w:rFonts w:ascii="方正楷体_GBK" w:eastAsia="方正楷体_GBK" w:hAnsi="华文中宋" w:cs="华文中宋"/>
          <w:color w:val="0D0D0D"/>
          <w:sz w:val="32"/>
          <w:szCs w:val="32"/>
        </w:rPr>
      </w:pPr>
    </w:p>
    <w:p w:rsidR="00F417A0" w:rsidRDefault="00727D3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一、</w:t>
      </w:r>
      <w:r>
        <w:rPr>
          <w:rFonts w:ascii="方正黑体_GBK" w:eastAsia="方正黑体_GBK" w:hAnsi="黑体" w:cs="仿宋_GB2312" w:hint="eastAsia"/>
          <w:color w:val="0D0D0D"/>
          <w:sz w:val="32"/>
          <w:szCs w:val="20"/>
        </w:rPr>
        <w:t>单位</w:t>
      </w:r>
      <w:r>
        <w:rPr>
          <w:rFonts w:ascii="方正黑体_GBK" w:eastAsia="方正黑体_GBK" w:hAnsi="黑体" w:cs="仿宋_GB2312" w:hint="eastAsia"/>
          <w:color w:val="0D0D0D"/>
          <w:sz w:val="32"/>
          <w:szCs w:val="20"/>
        </w:rPr>
        <w:t>基本情况</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（一）职能职责</w:t>
      </w:r>
    </w:p>
    <w:p w:rsidR="00F417A0" w:rsidRDefault="00727D3A">
      <w:pPr>
        <w:spacing w:line="600" w:lineRule="exact"/>
        <w:ind w:firstLineChars="200" w:firstLine="640"/>
        <w:rPr>
          <w:rFonts w:ascii="方正仿宋_GBK" w:eastAsia="方正仿宋_GB2312" w:hAnsi="仿宋_GB2312" w:cs="仿宋_GB2312"/>
          <w:color w:val="0D0D0D"/>
          <w:sz w:val="32"/>
          <w:szCs w:val="20"/>
        </w:rPr>
      </w:pPr>
      <w:r>
        <w:rPr>
          <w:rFonts w:ascii="方正仿宋_GBK" w:eastAsia="方正仿宋_GB2312" w:hAnsi="仿宋_GB2312" w:cs="仿宋_GB2312" w:hint="eastAsia"/>
          <w:color w:val="0D0D0D"/>
          <w:sz w:val="32"/>
          <w:szCs w:val="20"/>
        </w:rPr>
        <w:t>负责财税政策、财政收支预决算、财政监督、政府采购、资金管理调度、国有资产监督管理、金融、内部审计监督，查处违反财经法纪的行为等工作。负责科技金融工作中的科技金融体系建设和大型企业科技金融服务等工作。</w:t>
      </w:r>
    </w:p>
    <w:p w:rsidR="00F417A0" w:rsidRDefault="00727D3A">
      <w:pPr>
        <w:tabs>
          <w:tab w:val="center" w:pos="4153"/>
          <w:tab w:val="left" w:pos="7275"/>
        </w:tabs>
        <w:adjustRightInd w:val="0"/>
        <w:snapToGrid w:val="0"/>
        <w:spacing w:line="600" w:lineRule="exact"/>
        <w:ind w:left="640"/>
        <w:jc w:val="left"/>
        <w:rPr>
          <w:rFonts w:ascii="方正楷体_GBK" w:eastAsia="方正楷体_GBK" w:hAnsi="仿宋_GB2312" w:cs="仿宋_GB2312"/>
          <w:color w:val="0D0D0D"/>
          <w:sz w:val="32"/>
          <w:szCs w:val="22"/>
        </w:rPr>
      </w:pPr>
      <w:r>
        <w:rPr>
          <w:rFonts w:ascii="方正楷体_GBK" w:eastAsia="方正楷体_GBK" w:hAnsi="仿宋_GB2312" w:cs="仿宋_GB2312" w:hint="eastAsia"/>
          <w:color w:val="0D0D0D"/>
          <w:sz w:val="32"/>
          <w:szCs w:val="22"/>
        </w:rPr>
        <w:t>（二）单位构成</w:t>
      </w:r>
    </w:p>
    <w:p w:rsidR="00F417A0" w:rsidRDefault="00727D3A">
      <w:pPr>
        <w:tabs>
          <w:tab w:val="center" w:pos="4153"/>
          <w:tab w:val="left" w:pos="7275"/>
        </w:tabs>
        <w:adjustRightInd w:val="0"/>
        <w:snapToGrid w:val="0"/>
        <w:spacing w:line="600" w:lineRule="exact"/>
        <w:ind w:firstLineChars="200" w:firstLine="640"/>
        <w:jc w:val="left"/>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下设九个科室，分别为：综合科、预算科（采购办）、经济建设管理科、公共事务财务管理科、产业发展科（税政科、绩效管理中心）、金融服务中心、国有资产管理科（区罚没财物管理办公室）、审计中心、国库集中收付核算中心。</w:t>
      </w:r>
    </w:p>
    <w:p w:rsidR="00F417A0" w:rsidRDefault="00727D3A">
      <w:pPr>
        <w:adjustRightInd w:val="0"/>
        <w:snapToGrid w:val="0"/>
        <w:spacing w:line="600" w:lineRule="exact"/>
        <w:ind w:left="640"/>
        <w:rPr>
          <w:rFonts w:ascii="方正仿宋_GBK" w:eastAsia="方正仿宋_GBK" w:hAnsi="黑体" w:cs="仿宋_GB2312"/>
          <w:color w:val="0D0D0D"/>
          <w:sz w:val="32"/>
          <w:szCs w:val="20"/>
        </w:rPr>
      </w:pPr>
      <w:r>
        <w:rPr>
          <w:rFonts w:ascii="方正黑体_GBK" w:eastAsia="方正黑体_GBK" w:hAnsi="黑体" w:cs="仿宋_GB2312" w:hint="eastAsia"/>
          <w:color w:val="0D0D0D"/>
          <w:sz w:val="32"/>
          <w:szCs w:val="20"/>
        </w:rPr>
        <w:t>二、</w:t>
      </w:r>
      <w:r>
        <w:rPr>
          <w:rFonts w:ascii="方正黑体_GBK" w:eastAsia="方正黑体_GBK" w:hAnsi="黑体" w:cs="仿宋_GB2312" w:hint="eastAsia"/>
          <w:color w:val="0D0D0D"/>
          <w:sz w:val="32"/>
          <w:szCs w:val="20"/>
        </w:rPr>
        <w:t>单位</w:t>
      </w:r>
      <w:r>
        <w:rPr>
          <w:rFonts w:ascii="方正黑体_GBK" w:eastAsia="方正黑体_GBK" w:hAnsi="黑体" w:cs="仿宋_GB2312" w:hint="eastAsia"/>
          <w:color w:val="0D0D0D"/>
          <w:sz w:val="32"/>
          <w:szCs w:val="20"/>
        </w:rPr>
        <w:t>收支总体情况</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（一）收入预算：</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年年初预算数</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万元，其中：一般公共预算拨款</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，政府性基金预算拨款</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万元，国有资本经营预算收入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万元，事业收入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万元，事业单位经营收入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万元，其他收入</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收入较</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283.7</w:t>
      </w:r>
      <w:r>
        <w:rPr>
          <w:rFonts w:ascii="方正仿宋_GBK" w:eastAsia="方正仿宋_GBK" w:hAnsi="仿宋_GB2312" w:cs="仿宋_GB2312" w:hint="eastAsia"/>
          <w:color w:val="0D0D0D"/>
          <w:sz w:val="32"/>
          <w:szCs w:val="20"/>
        </w:rPr>
        <w:t>万元，主要是</w:t>
      </w:r>
      <w:r>
        <w:rPr>
          <w:rFonts w:ascii="方正仿宋_GBK" w:eastAsia="方正仿宋_GBK" w:hAnsi="仿宋_GB2312" w:cs="仿宋_GB2312" w:hint="eastAsia"/>
          <w:color w:val="0D0D0D"/>
          <w:sz w:val="32"/>
          <w:szCs w:val="20"/>
        </w:rPr>
        <w:t>委</w:t>
      </w:r>
      <w:r>
        <w:rPr>
          <w:rFonts w:ascii="方正仿宋_GBK" w:eastAsia="方正仿宋_GBK" w:hAnsi="仿宋_GB2312" w:cs="仿宋_GB2312" w:hint="eastAsia"/>
          <w:color w:val="0D0D0D"/>
          <w:sz w:val="32"/>
          <w:szCs w:val="20"/>
        </w:rPr>
        <w:t>托业务</w:t>
      </w:r>
      <w:proofErr w:type="gramStart"/>
      <w:r>
        <w:rPr>
          <w:rFonts w:ascii="方正仿宋_GBK" w:eastAsia="方正仿宋_GBK" w:hAnsi="仿宋_GB2312" w:cs="仿宋_GB2312" w:hint="eastAsia"/>
          <w:color w:val="0D0D0D"/>
          <w:sz w:val="32"/>
          <w:szCs w:val="20"/>
        </w:rPr>
        <w:t>专项等</w:t>
      </w:r>
      <w:proofErr w:type="gramEnd"/>
      <w:r>
        <w:rPr>
          <w:rFonts w:ascii="方正仿宋_GBK" w:eastAsia="方正仿宋_GBK" w:hAnsi="仿宋_GB2312" w:cs="仿宋_GB2312" w:hint="eastAsia"/>
          <w:color w:val="0D0D0D"/>
          <w:sz w:val="32"/>
          <w:szCs w:val="20"/>
        </w:rPr>
        <w:t>经费拨款</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二）支出预算：</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年年初预算数</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万元，其中：一般公共服务支出预算</w:t>
      </w:r>
      <w:r>
        <w:rPr>
          <w:rFonts w:ascii="方正仿宋_GBK" w:eastAsia="方正仿宋_GBK" w:hAnsi="仿宋_GB2312" w:cs="仿宋_GB2312" w:hint="eastAsia"/>
          <w:color w:val="0D0D0D"/>
          <w:sz w:val="32"/>
          <w:szCs w:val="20"/>
        </w:rPr>
        <w:t>2117.06</w:t>
      </w:r>
      <w:r>
        <w:rPr>
          <w:rFonts w:ascii="方正仿宋_GBK" w:eastAsia="方正仿宋_GBK" w:hAnsi="仿宋_GB2312" w:cs="仿宋_GB2312" w:hint="eastAsia"/>
          <w:color w:val="0D0D0D"/>
          <w:sz w:val="32"/>
          <w:szCs w:val="20"/>
        </w:rPr>
        <w:t>万元，教育支出预算</w:t>
      </w:r>
      <w:r>
        <w:rPr>
          <w:rFonts w:ascii="方正仿宋_GBK" w:eastAsia="方正仿宋_GBK" w:hAnsi="仿宋_GB2312" w:cs="仿宋_GB2312" w:hint="eastAsia"/>
          <w:color w:val="0D0D0D"/>
          <w:sz w:val="32"/>
          <w:szCs w:val="20"/>
        </w:rPr>
        <w:t>0</w:t>
      </w:r>
      <w:r>
        <w:rPr>
          <w:rFonts w:ascii="方正仿宋_GBK" w:eastAsia="方正仿宋_GBK" w:hAnsi="仿宋_GB2312" w:cs="仿宋_GB2312" w:hint="eastAsia"/>
          <w:color w:val="0D0D0D"/>
          <w:sz w:val="32"/>
          <w:szCs w:val="20"/>
        </w:rPr>
        <w:t>万元，社</w:t>
      </w:r>
      <w:r>
        <w:rPr>
          <w:rFonts w:ascii="方正仿宋_GBK" w:eastAsia="方正仿宋_GBK" w:hAnsi="仿宋_GB2312" w:cs="仿宋_GB2312" w:hint="eastAsia"/>
          <w:color w:val="0D0D0D"/>
          <w:sz w:val="32"/>
          <w:szCs w:val="20"/>
        </w:rPr>
        <w:lastRenderedPageBreak/>
        <w:t>会保障和就业支出预算</w:t>
      </w:r>
      <w:r>
        <w:rPr>
          <w:rFonts w:ascii="方正仿宋_GBK" w:eastAsia="方正仿宋_GBK" w:hAnsi="仿宋_GB2312" w:cs="仿宋_GB2312" w:hint="eastAsia"/>
          <w:color w:val="0D0D0D"/>
          <w:sz w:val="32"/>
          <w:szCs w:val="20"/>
        </w:rPr>
        <w:t>16.13</w:t>
      </w:r>
      <w:r>
        <w:rPr>
          <w:rFonts w:ascii="方正仿宋_GBK" w:eastAsia="方正仿宋_GBK" w:hAnsi="仿宋_GB2312" w:cs="仿宋_GB2312" w:hint="eastAsia"/>
          <w:color w:val="0D0D0D"/>
          <w:sz w:val="32"/>
          <w:szCs w:val="20"/>
        </w:rPr>
        <w:t>万元，卫生健康支出预算</w:t>
      </w:r>
      <w:r>
        <w:rPr>
          <w:rFonts w:ascii="方正仿宋_GBK" w:eastAsia="方正仿宋_GBK" w:hAnsi="仿宋_GB2312" w:cs="仿宋_GB2312" w:hint="eastAsia"/>
          <w:color w:val="0D0D0D"/>
          <w:sz w:val="32"/>
          <w:szCs w:val="20"/>
        </w:rPr>
        <w:t>7.96</w:t>
      </w:r>
      <w:r>
        <w:rPr>
          <w:rFonts w:ascii="方正仿宋_GBK" w:eastAsia="方正仿宋_GBK" w:hAnsi="仿宋_GB2312" w:cs="仿宋_GB2312" w:hint="eastAsia"/>
          <w:color w:val="0D0D0D"/>
          <w:sz w:val="32"/>
          <w:szCs w:val="20"/>
        </w:rPr>
        <w:t>万元，住房保障支出预算</w:t>
      </w:r>
      <w:r>
        <w:rPr>
          <w:rFonts w:ascii="方正仿宋_GBK" w:eastAsia="方正仿宋_GBK" w:hAnsi="仿宋_GB2312" w:cs="仿宋_GB2312" w:hint="eastAsia"/>
          <w:color w:val="0D0D0D"/>
          <w:sz w:val="32"/>
          <w:szCs w:val="20"/>
        </w:rPr>
        <w:t>13.83</w:t>
      </w:r>
      <w:r>
        <w:rPr>
          <w:rFonts w:ascii="方正仿宋_GBK" w:eastAsia="方正仿宋_GBK" w:hAnsi="仿宋_GB2312" w:cs="仿宋_GB2312" w:hint="eastAsia"/>
          <w:color w:val="0D0D0D"/>
          <w:sz w:val="32"/>
          <w:szCs w:val="20"/>
        </w:rPr>
        <w:t>万元。支出预算较</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283.7</w:t>
      </w:r>
      <w:r>
        <w:rPr>
          <w:rFonts w:ascii="方正仿宋_GBK" w:eastAsia="方正仿宋_GBK" w:hAnsi="仿宋_GB2312" w:cs="仿宋_GB2312" w:hint="eastAsia"/>
          <w:color w:val="0D0D0D"/>
          <w:sz w:val="32"/>
          <w:szCs w:val="20"/>
        </w:rPr>
        <w:t>万元，主要是基本支出预算增加</w:t>
      </w:r>
      <w:r>
        <w:rPr>
          <w:rFonts w:ascii="方正仿宋_GBK" w:eastAsia="方正仿宋_GBK" w:hAnsi="仿宋_GB2312" w:cs="仿宋_GB2312" w:hint="eastAsia"/>
          <w:color w:val="0D0D0D"/>
          <w:sz w:val="32"/>
          <w:szCs w:val="20"/>
        </w:rPr>
        <w:t>30.33</w:t>
      </w:r>
      <w:r>
        <w:rPr>
          <w:rFonts w:ascii="方正仿宋_GBK" w:eastAsia="方正仿宋_GBK" w:hAnsi="仿宋_GB2312" w:cs="仿宋_GB2312" w:hint="eastAsia"/>
          <w:color w:val="0D0D0D"/>
          <w:sz w:val="32"/>
          <w:szCs w:val="20"/>
        </w:rPr>
        <w:t>万元，项目支出预算</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314.03</w:t>
      </w:r>
      <w:r>
        <w:rPr>
          <w:rFonts w:ascii="方正仿宋_GBK" w:eastAsia="方正仿宋_GBK" w:hAnsi="仿宋_GB2312" w:cs="仿宋_GB2312" w:hint="eastAsia"/>
          <w:color w:val="0D0D0D"/>
          <w:sz w:val="32"/>
          <w:szCs w:val="20"/>
        </w:rPr>
        <w:t>万元。</w:t>
      </w:r>
    </w:p>
    <w:p w:rsidR="00F417A0" w:rsidRDefault="00727D3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三、</w:t>
      </w:r>
      <w:r>
        <w:rPr>
          <w:rFonts w:ascii="方正黑体_GBK" w:eastAsia="方正黑体_GBK" w:hAnsi="黑体" w:cs="仿宋_GB2312" w:hint="eastAsia"/>
          <w:color w:val="0D0D0D"/>
          <w:sz w:val="32"/>
          <w:szCs w:val="20"/>
        </w:rPr>
        <w:t>单位</w:t>
      </w:r>
      <w:r>
        <w:rPr>
          <w:rFonts w:ascii="方正黑体_GBK" w:eastAsia="方正黑体_GBK" w:hAnsi="黑体" w:cs="仿宋_GB2312" w:hint="eastAsia"/>
          <w:color w:val="0D0D0D"/>
          <w:sz w:val="32"/>
          <w:szCs w:val="20"/>
        </w:rPr>
        <w:t>预算情况说明</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年一般公共预算财政拨款收入</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万元，一般公共预算财政拨款支出</w:t>
      </w:r>
      <w:r>
        <w:rPr>
          <w:rFonts w:ascii="方正仿宋_GBK" w:eastAsia="方正仿宋_GBK" w:hAnsi="仿宋_GB2312" w:cs="仿宋_GB2312" w:hint="eastAsia"/>
          <w:color w:val="0D0D0D"/>
          <w:sz w:val="32"/>
          <w:szCs w:val="20"/>
        </w:rPr>
        <w:t>2154.98</w:t>
      </w:r>
      <w:r>
        <w:rPr>
          <w:rFonts w:ascii="方正仿宋_GBK" w:eastAsia="方正仿宋_GBK" w:hAnsi="仿宋_GB2312" w:cs="仿宋_GB2312" w:hint="eastAsia"/>
          <w:color w:val="0D0D0D"/>
          <w:sz w:val="32"/>
          <w:szCs w:val="20"/>
        </w:rPr>
        <w:t>万元，比</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年减少</w:t>
      </w:r>
      <w:r>
        <w:rPr>
          <w:rFonts w:ascii="方正仿宋_GBK" w:eastAsia="方正仿宋_GBK" w:hAnsi="仿宋_GB2312" w:cs="仿宋_GB2312" w:hint="eastAsia"/>
          <w:color w:val="0D0D0D"/>
          <w:sz w:val="32"/>
          <w:szCs w:val="20"/>
        </w:rPr>
        <w:t>283.7</w:t>
      </w:r>
      <w:r>
        <w:rPr>
          <w:rFonts w:ascii="方正仿宋_GBK" w:eastAsia="方正仿宋_GBK" w:hAnsi="仿宋_GB2312" w:cs="仿宋_GB2312" w:hint="eastAsia"/>
          <w:color w:val="0D0D0D"/>
          <w:sz w:val="32"/>
          <w:szCs w:val="20"/>
        </w:rPr>
        <w:t>万元。其中：基本支出</w:t>
      </w:r>
      <w:r>
        <w:rPr>
          <w:rFonts w:ascii="方正仿宋_GBK" w:eastAsia="方正仿宋_GBK" w:hAnsi="仿宋_GB2312" w:cs="仿宋_GB2312" w:hint="eastAsia"/>
          <w:color w:val="0D0D0D"/>
          <w:sz w:val="32"/>
          <w:szCs w:val="20"/>
        </w:rPr>
        <w:t>976.21</w:t>
      </w:r>
      <w:r>
        <w:rPr>
          <w:rFonts w:ascii="方正仿宋_GBK" w:eastAsia="方正仿宋_GBK" w:hAnsi="仿宋_GB2312" w:cs="仿宋_GB2312" w:hint="eastAsia"/>
          <w:color w:val="0D0D0D"/>
          <w:sz w:val="32"/>
          <w:szCs w:val="20"/>
        </w:rPr>
        <w:t>万元，比</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年增加</w:t>
      </w:r>
      <w:r>
        <w:rPr>
          <w:rFonts w:ascii="方正仿宋_GBK" w:eastAsia="方正仿宋_GBK" w:hAnsi="仿宋_GB2312" w:cs="仿宋_GB2312" w:hint="eastAsia"/>
          <w:color w:val="0D0D0D"/>
          <w:sz w:val="32"/>
          <w:szCs w:val="20"/>
        </w:rPr>
        <w:t>30.33</w:t>
      </w:r>
      <w:r>
        <w:rPr>
          <w:rFonts w:ascii="方正仿宋_GBK" w:eastAsia="方正仿宋_GBK" w:hAnsi="仿宋_GB2312" w:cs="仿宋_GB2312" w:hint="eastAsia"/>
          <w:color w:val="0D0D0D"/>
          <w:sz w:val="32"/>
          <w:szCs w:val="20"/>
        </w:rPr>
        <w:t>万元，主要用于保障在职人员工资福利及社会保险缴费，保障部门正常运转的各项商品服务支出</w:t>
      </w:r>
      <w:r>
        <w:rPr>
          <w:rFonts w:ascii="方正仿宋_GBK" w:eastAsia="方正仿宋_GBK" w:hAnsi="仿宋_GB2312" w:cs="仿宋_GB2312" w:hint="eastAsia"/>
          <w:color w:val="0D0D0D"/>
          <w:sz w:val="32"/>
          <w:szCs w:val="20"/>
        </w:rPr>
        <w:t>等</w:t>
      </w:r>
      <w:r>
        <w:rPr>
          <w:rFonts w:ascii="方正仿宋_GBK" w:eastAsia="方正仿宋_GBK" w:hAnsi="仿宋_GB2312" w:cs="仿宋_GB2312" w:hint="eastAsia"/>
          <w:color w:val="0D0D0D"/>
          <w:sz w:val="32"/>
          <w:szCs w:val="20"/>
        </w:rPr>
        <w:t>；项目支出</w:t>
      </w:r>
      <w:r>
        <w:rPr>
          <w:rFonts w:ascii="方正仿宋_GBK" w:eastAsia="方正仿宋_GBK" w:hAnsi="仿宋_GB2312" w:cs="仿宋_GB2312" w:hint="eastAsia"/>
          <w:color w:val="0D0D0D"/>
          <w:sz w:val="32"/>
          <w:szCs w:val="20"/>
        </w:rPr>
        <w:t>1178.77</w:t>
      </w:r>
      <w:r>
        <w:rPr>
          <w:rFonts w:ascii="方正仿宋_GBK" w:eastAsia="方正仿宋_GBK" w:hAnsi="仿宋_GB2312" w:cs="仿宋_GB2312" w:hint="eastAsia"/>
          <w:color w:val="0D0D0D"/>
          <w:sz w:val="32"/>
          <w:szCs w:val="20"/>
        </w:rPr>
        <w:t>万元，比</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314.03</w:t>
      </w:r>
      <w:r>
        <w:rPr>
          <w:rFonts w:ascii="方正仿宋_GBK" w:eastAsia="方正仿宋_GBK" w:hAnsi="仿宋_GB2312" w:cs="仿宋_GB2312" w:hint="eastAsia"/>
          <w:color w:val="0D0D0D"/>
          <w:sz w:val="32"/>
          <w:szCs w:val="20"/>
        </w:rPr>
        <w:t>万元，主要原因是委托业务</w:t>
      </w:r>
      <w:proofErr w:type="gramStart"/>
      <w:r>
        <w:rPr>
          <w:rFonts w:ascii="方正仿宋_GBK" w:eastAsia="方正仿宋_GBK" w:hAnsi="仿宋_GB2312" w:cs="仿宋_GB2312" w:hint="eastAsia"/>
          <w:color w:val="0D0D0D"/>
          <w:sz w:val="32"/>
          <w:szCs w:val="20"/>
        </w:rPr>
        <w:t>专项等</w:t>
      </w:r>
      <w:proofErr w:type="gramEnd"/>
      <w:r>
        <w:rPr>
          <w:rFonts w:ascii="方正仿宋_GBK" w:eastAsia="方正仿宋_GBK" w:hAnsi="仿宋_GB2312" w:cs="仿宋_GB2312" w:hint="eastAsia"/>
          <w:color w:val="0D0D0D"/>
          <w:sz w:val="32"/>
          <w:szCs w:val="20"/>
        </w:rPr>
        <w:t>项目经费减少，主要用于信息化建设及维护、审计</w:t>
      </w:r>
      <w:r>
        <w:rPr>
          <w:rFonts w:ascii="方正仿宋_GBK" w:eastAsia="方正仿宋_GBK" w:hAnsi="仿宋_GB2312" w:cs="仿宋_GB2312" w:hint="eastAsia"/>
          <w:color w:val="0D0D0D"/>
          <w:sz w:val="32"/>
          <w:szCs w:val="20"/>
        </w:rPr>
        <w:t>、</w:t>
      </w:r>
      <w:r>
        <w:rPr>
          <w:rFonts w:ascii="方正仿宋_GBK" w:eastAsia="方正仿宋_GBK" w:hAnsi="仿宋_GB2312" w:cs="仿宋_GB2312" w:hint="eastAsia"/>
          <w:color w:val="0D0D0D"/>
          <w:sz w:val="32"/>
          <w:szCs w:val="20"/>
        </w:rPr>
        <w:t>金融等重点工作。</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财政局</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年无使用政府性基金预算拨款安排的支出</w:t>
      </w:r>
      <w:r>
        <w:rPr>
          <w:rFonts w:ascii="方正仿宋_GBK" w:eastAsia="方正仿宋_GBK" w:hAnsi="仿宋_GB2312" w:cs="仿宋_GB2312" w:hint="eastAsia"/>
          <w:color w:val="0D0D0D"/>
          <w:sz w:val="32"/>
          <w:szCs w:val="20"/>
        </w:rPr>
        <w:t>。</w:t>
      </w:r>
    </w:p>
    <w:p w:rsidR="00F417A0" w:rsidRDefault="00727D3A">
      <w:pPr>
        <w:adjustRightInd w:val="0"/>
        <w:snapToGrid w:val="0"/>
        <w:spacing w:line="600" w:lineRule="exact"/>
        <w:ind w:left="640"/>
        <w:rPr>
          <w:rFonts w:ascii="方正仿宋_GBK" w:eastAsia="方正仿宋_GBK" w:hAnsi="黑体" w:cs="仿宋_GB2312"/>
          <w:color w:val="0D0D0D"/>
          <w:sz w:val="32"/>
          <w:szCs w:val="20"/>
        </w:rPr>
      </w:pPr>
      <w:r>
        <w:rPr>
          <w:rFonts w:ascii="方正黑体_GBK" w:eastAsia="方正黑体_GBK" w:hAnsi="黑体" w:cs="仿宋_GB2312" w:hint="eastAsia"/>
          <w:color w:val="0D0D0D"/>
          <w:sz w:val="32"/>
          <w:szCs w:val="20"/>
        </w:rPr>
        <w:t>四、“三公”经费情况说明</w:t>
      </w:r>
    </w:p>
    <w:p w:rsidR="00F417A0" w:rsidRDefault="00727D3A">
      <w:pPr>
        <w:adjustRightInd w:val="0"/>
        <w:snapToGrid w:val="0"/>
        <w:spacing w:line="600" w:lineRule="exact"/>
        <w:ind w:firstLine="60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年“三公”经费预算</w:t>
      </w:r>
      <w:r>
        <w:rPr>
          <w:rFonts w:ascii="方正仿宋_GBK" w:eastAsia="方正仿宋_GBK" w:hAnsi="仿宋_GB2312" w:cs="仿宋_GB2312" w:hint="eastAsia"/>
          <w:color w:val="0D0D0D"/>
          <w:sz w:val="32"/>
          <w:szCs w:val="20"/>
        </w:rPr>
        <w:t>7.5</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与</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持平</w:t>
      </w:r>
      <w:r>
        <w:rPr>
          <w:rFonts w:ascii="方正仿宋_GBK" w:eastAsia="方正仿宋_GBK" w:hAnsi="仿宋_GB2312" w:cs="仿宋_GB2312" w:hint="eastAsia"/>
          <w:color w:val="0D0D0D"/>
          <w:sz w:val="32"/>
          <w:szCs w:val="20"/>
        </w:rPr>
        <w:t>。其中，公务接待费</w:t>
      </w:r>
      <w:r>
        <w:rPr>
          <w:rFonts w:ascii="方正仿宋_GBK" w:eastAsia="方正仿宋_GBK" w:hAnsi="仿宋_GB2312" w:cs="仿宋_GB2312" w:hint="eastAsia"/>
          <w:color w:val="0D0D0D"/>
          <w:sz w:val="32"/>
          <w:szCs w:val="20"/>
        </w:rPr>
        <w:t>3</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与</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持平</w:t>
      </w:r>
      <w:r>
        <w:rPr>
          <w:rFonts w:ascii="方正仿宋_GBK" w:eastAsia="方正仿宋_GBK" w:hAnsi="仿宋_GB2312" w:cs="仿宋_GB2312" w:hint="eastAsia"/>
          <w:color w:val="0D0D0D"/>
          <w:sz w:val="32"/>
          <w:szCs w:val="20"/>
        </w:rPr>
        <w:t>；公务用车运行维护费</w:t>
      </w:r>
      <w:r>
        <w:rPr>
          <w:rFonts w:ascii="方正仿宋_GBK" w:eastAsia="方正仿宋_GBK" w:hAnsi="仿宋_GB2312" w:cs="仿宋_GB2312" w:hint="eastAsia"/>
          <w:color w:val="0D0D0D"/>
          <w:sz w:val="32"/>
          <w:szCs w:val="20"/>
        </w:rPr>
        <w:t>4.5</w:t>
      </w:r>
      <w:r>
        <w:rPr>
          <w:rFonts w:ascii="方正仿宋_GBK" w:eastAsia="方正仿宋_GBK" w:hAnsi="仿宋_GB2312" w:cs="仿宋_GB2312" w:hint="eastAsia"/>
          <w:color w:val="0D0D0D"/>
          <w:sz w:val="32"/>
          <w:szCs w:val="20"/>
        </w:rPr>
        <w:t>万元，</w:t>
      </w:r>
      <w:r>
        <w:rPr>
          <w:rFonts w:ascii="方正仿宋_GBK" w:eastAsia="方正仿宋_GBK" w:hAnsi="仿宋_GB2312" w:cs="仿宋_GB2312" w:hint="eastAsia"/>
          <w:color w:val="0D0D0D"/>
          <w:sz w:val="32"/>
          <w:szCs w:val="20"/>
        </w:rPr>
        <w:t>与</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持平</w:t>
      </w:r>
      <w:r>
        <w:rPr>
          <w:rFonts w:ascii="方正仿宋_GBK" w:eastAsia="方正仿宋_GBK" w:hAnsi="仿宋_GB2312" w:cs="仿宋_GB2312" w:hint="eastAsia"/>
          <w:color w:val="0D0D0D"/>
          <w:sz w:val="32"/>
          <w:szCs w:val="20"/>
        </w:rPr>
        <w:t>。</w:t>
      </w:r>
    </w:p>
    <w:p w:rsidR="00F417A0" w:rsidRDefault="00727D3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五、其他重要事项的情况说明</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（一）机关运行经费。</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年一般公共预算财政拨款运行经费</w:t>
      </w:r>
      <w:r>
        <w:rPr>
          <w:rFonts w:ascii="方正仿宋_GBK" w:eastAsia="方正仿宋_GBK" w:hAnsi="仿宋_GB2312" w:cs="仿宋_GB2312" w:hint="eastAsia"/>
          <w:color w:val="0D0D0D"/>
          <w:sz w:val="32"/>
          <w:szCs w:val="20"/>
        </w:rPr>
        <w:t>103.19</w:t>
      </w:r>
      <w:r>
        <w:rPr>
          <w:rFonts w:ascii="方正仿宋_GBK" w:eastAsia="方正仿宋_GBK" w:hAnsi="仿宋_GB2312" w:cs="仿宋_GB2312" w:hint="eastAsia"/>
          <w:color w:val="0D0D0D"/>
          <w:sz w:val="32"/>
          <w:szCs w:val="20"/>
        </w:rPr>
        <w:t>万元，比上年</w:t>
      </w:r>
      <w:r>
        <w:rPr>
          <w:rFonts w:ascii="方正仿宋_GBK" w:eastAsia="方正仿宋_GBK" w:hAnsi="仿宋_GB2312" w:cs="仿宋_GB2312" w:hint="eastAsia"/>
          <w:color w:val="0D0D0D"/>
          <w:sz w:val="32"/>
          <w:szCs w:val="20"/>
        </w:rPr>
        <w:t>减少</w:t>
      </w:r>
      <w:r>
        <w:rPr>
          <w:rFonts w:ascii="方正仿宋_GBK" w:eastAsia="方正仿宋_GBK" w:hAnsi="仿宋_GB2312" w:cs="仿宋_GB2312" w:hint="eastAsia"/>
          <w:color w:val="0D0D0D"/>
          <w:sz w:val="32"/>
          <w:szCs w:val="20"/>
        </w:rPr>
        <w:t>2.11</w:t>
      </w:r>
      <w:r>
        <w:rPr>
          <w:rFonts w:ascii="方正仿宋_GBK" w:eastAsia="方正仿宋_GBK" w:hAnsi="仿宋_GB2312" w:cs="仿宋_GB2312" w:hint="eastAsia"/>
          <w:color w:val="0D0D0D"/>
          <w:sz w:val="32"/>
          <w:szCs w:val="20"/>
        </w:rPr>
        <w:t>万元，主要原因为厉行节约。主要用于办公费、印刷费、邮电费、水电费、物管费、差旅费、会议费、培训费及其他商品和服务支出等。</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lastRenderedPageBreak/>
        <w:t>（二）政府采购情况。所属各预算单位政府采购预算总额</w:t>
      </w:r>
      <w:r>
        <w:rPr>
          <w:rFonts w:ascii="方正仿宋_GBK" w:eastAsia="方正仿宋_GBK" w:hAnsi="仿宋_GB2312" w:cs="仿宋_GB2312" w:hint="eastAsia"/>
          <w:color w:val="0D0D0D"/>
          <w:sz w:val="32"/>
          <w:szCs w:val="20"/>
        </w:rPr>
        <w:t>83</w:t>
      </w:r>
      <w:r>
        <w:rPr>
          <w:rFonts w:ascii="方正仿宋_GBK" w:eastAsia="方正仿宋_GBK" w:hAnsi="仿宋_GB2312" w:cs="仿宋_GB2312" w:hint="eastAsia"/>
          <w:color w:val="0D0D0D"/>
          <w:sz w:val="32"/>
          <w:szCs w:val="20"/>
        </w:rPr>
        <w:t>万元，其中，政府采购货物预算</w:t>
      </w:r>
      <w:r>
        <w:rPr>
          <w:rFonts w:ascii="方正仿宋_GBK" w:eastAsia="方正仿宋_GBK" w:hAnsi="仿宋_GB2312" w:cs="仿宋_GB2312" w:hint="eastAsia"/>
          <w:color w:val="0D0D0D"/>
          <w:sz w:val="32"/>
          <w:szCs w:val="20"/>
        </w:rPr>
        <w:t>3</w:t>
      </w:r>
      <w:r>
        <w:rPr>
          <w:rFonts w:ascii="方正仿宋_GBK" w:eastAsia="方正仿宋_GBK" w:hAnsi="仿宋_GB2312" w:cs="仿宋_GB2312" w:hint="eastAsia"/>
          <w:color w:val="0D0D0D"/>
          <w:sz w:val="32"/>
          <w:szCs w:val="20"/>
        </w:rPr>
        <w:t>万元、政府采购服务预算</w:t>
      </w:r>
      <w:r>
        <w:rPr>
          <w:rFonts w:ascii="方正仿宋_GBK" w:eastAsia="方正仿宋_GBK" w:hAnsi="仿宋_GB2312" w:cs="仿宋_GB2312" w:hint="eastAsia"/>
          <w:color w:val="0D0D0D"/>
          <w:sz w:val="32"/>
          <w:szCs w:val="20"/>
        </w:rPr>
        <w:t>80</w:t>
      </w:r>
      <w:r>
        <w:rPr>
          <w:rFonts w:ascii="方正仿宋_GBK" w:eastAsia="方正仿宋_GBK" w:hAnsi="仿宋_GB2312" w:cs="仿宋_GB2312" w:hint="eastAsia"/>
          <w:color w:val="0D0D0D"/>
          <w:sz w:val="32"/>
          <w:szCs w:val="20"/>
        </w:rPr>
        <w:t>万元；一般公共预算拨款政府采购</w:t>
      </w:r>
      <w:r>
        <w:rPr>
          <w:rFonts w:ascii="方正仿宋_GBK" w:eastAsia="方正仿宋_GBK" w:hAnsi="仿宋_GB2312" w:cs="仿宋_GB2312" w:hint="eastAsia"/>
          <w:color w:val="0D0D0D"/>
          <w:sz w:val="32"/>
          <w:szCs w:val="20"/>
        </w:rPr>
        <w:t>83</w:t>
      </w:r>
      <w:r>
        <w:rPr>
          <w:rFonts w:ascii="方正仿宋_GBK" w:eastAsia="方正仿宋_GBK" w:hAnsi="仿宋_GB2312" w:cs="仿宋_GB2312" w:hint="eastAsia"/>
          <w:color w:val="0D0D0D"/>
          <w:sz w:val="32"/>
          <w:szCs w:val="20"/>
        </w:rPr>
        <w:t>万元，其中，政府采购货物预算</w:t>
      </w:r>
      <w:r>
        <w:rPr>
          <w:rFonts w:ascii="方正仿宋_GBK" w:eastAsia="方正仿宋_GBK" w:hAnsi="仿宋_GB2312" w:cs="仿宋_GB2312" w:hint="eastAsia"/>
          <w:color w:val="0D0D0D"/>
          <w:sz w:val="32"/>
          <w:szCs w:val="20"/>
        </w:rPr>
        <w:t>3</w:t>
      </w:r>
      <w:r>
        <w:rPr>
          <w:rFonts w:ascii="方正仿宋_GBK" w:eastAsia="方正仿宋_GBK" w:hAnsi="仿宋_GB2312" w:cs="仿宋_GB2312" w:hint="eastAsia"/>
          <w:color w:val="0D0D0D"/>
          <w:sz w:val="32"/>
          <w:szCs w:val="20"/>
        </w:rPr>
        <w:t>万元、政府采购服务预算</w:t>
      </w:r>
      <w:r>
        <w:rPr>
          <w:rFonts w:ascii="方正仿宋_GBK" w:eastAsia="方正仿宋_GBK" w:hAnsi="仿宋_GB2312" w:cs="仿宋_GB2312" w:hint="eastAsia"/>
          <w:color w:val="0D0D0D"/>
          <w:sz w:val="32"/>
          <w:szCs w:val="20"/>
        </w:rPr>
        <w:t>80</w:t>
      </w:r>
      <w:r>
        <w:rPr>
          <w:rFonts w:ascii="方正仿宋_GBK" w:eastAsia="方正仿宋_GBK" w:hAnsi="仿宋_GB2312" w:cs="仿宋_GB2312" w:hint="eastAsia"/>
          <w:color w:val="0D0D0D"/>
          <w:sz w:val="32"/>
          <w:szCs w:val="20"/>
        </w:rPr>
        <w:t>万元。</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（三）绩效目标设置情况。</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年项目支出均实行了绩效目标管理，涉及一般公共预算当年财政拨款</w:t>
      </w:r>
      <w:r>
        <w:rPr>
          <w:rFonts w:ascii="方正仿宋_GBK" w:eastAsia="方正仿宋_GBK" w:hAnsi="仿宋_GB2312" w:cs="仿宋_GB2312" w:hint="eastAsia"/>
          <w:color w:val="0D0D0D"/>
          <w:sz w:val="32"/>
          <w:szCs w:val="20"/>
        </w:rPr>
        <w:t>1178.77</w:t>
      </w:r>
      <w:r>
        <w:rPr>
          <w:rFonts w:ascii="方正仿宋_GBK" w:eastAsia="方正仿宋_GBK" w:hAnsi="仿宋_GB2312" w:cs="仿宋_GB2312" w:hint="eastAsia"/>
          <w:color w:val="0D0D0D"/>
          <w:sz w:val="32"/>
          <w:szCs w:val="20"/>
        </w:rPr>
        <w:t>万元。</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（四）国有资产占有使用情况。截止</w:t>
      </w:r>
      <w:r>
        <w:rPr>
          <w:rFonts w:ascii="方正仿宋_GBK" w:eastAsia="方正仿宋_GBK" w:hAnsi="仿宋_GB2312" w:cs="仿宋_GB2312" w:hint="eastAsia"/>
          <w:color w:val="0D0D0D"/>
          <w:sz w:val="32"/>
          <w:szCs w:val="20"/>
        </w:rPr>
        <w:t>2025</w:t>
      </w:r>
      <w:r>
        <w:rPr>
          <w:rFonts w:ascii="方正仿宋_GBK" w:eastAsia="方正仿宋_GBK" w:hAnsi="仿宋_GB2312" w:cs="仿宋_GB2312" w:hint="eastAsia"/>
          <w:color w:val="0D0D0D"/>
          <w:sz w:val="32"/>
          <w:szCs w:val="20"/>
        </w:rPr>
        <w:t>年</w:t>
      </w:r>
      <w:r>
        <w:rPr>
          <w:rFonts w:ascii="方正仿宋_GBK" w:eastAsia="方正仿宋_GBK" w:hAnsi="仿宋_GB2312" w:cs="仿宋_GB2312" w:hint="eastAsia"/>
          <w:color w:val="0D0D0D"/>
          <w:sz w:val="32"/>
          <w:szCs w:val="20"/>
        </w:rPr>
        <w:t>12</w:t>
      </w:r>
      <w:r>
        <w:rPr>
          <w:rFonts w:ascii="方正仿宋_GBK" w:eastAsia="方正仿宋_GBK" w:hAnsi="仿宋_GB2312" w:cs="仿宋_GB2312" w:hint="eastAsia"/>
          <w:color w:val="0D0D0D"/>
          <w:sz w:val="32"/>
          <w:szCs w:val="20"/>
        </w:rPr>
        <w:t>月，所属各预算单位共有车辆</w:t>
      </w:r>
      <w:r>
        <w:rPr>
          <w:rFonts w:ascii="方正仿宋_GBK" w:eastAsia="方正仿宋_GBK" w:hAnsi="仿宋_GB2312" w:cs="仿宋_GB2312" w:hint="eastAsia"/>
          <w:color w:val="0D0D0D"/>
          <w:sz w:val="32"/>
          <w:szCs w:val="20"/>
        </w:rPr>
        <w:t>1</w:t>
      </w:r>
      <w:r>
        <w:rPr>
          <w:rFonts w:ascii="方正仿宋_GBK" w:eastAsia="方正仿宋_GBK" w:hAnsi="仿宋_GB2312" w:cs="仿宋_GB2312" w:hint="eastAsia"/>
          <w:color w:val="0D0D0D"/>
          <w:sz w:val="32"/>
          <w:szCs w:val="20"/>
        </w:rPr>
        <w:t>辆，其中一般公务用车</w:t>
      </w:r>
      <w:r>
        <w:rPr>
          <w:rFonts w:ascii="方正仿宋_GBK" w:eastAsia="方正仿宋_GBK" w:hAnsi="仿宋_GB2312" w:cs="仿宋_GB2312" w:hint="eastAsia"/>
          <w:color w:val="0D0D0D"/>
          <w:sz w:val="32"/>
          <w:szCs w:val="20"/>
        </w:rPr>
        <w:t>1</w:t>
      </w:r>
      <w:r>
        <w:rPr>
          <w:rFonts w:ascii="方正仿宋_GBK" w:eastAsia="方正仿宋_GBK" w:hAnsi="仿宋_GB2312" w:cs="仿宋_GB2312" w:hint="eastAsia"/>
          <w:color w:val="0D0D0D"/>
          <w:sz w:val="32"/>
          <w:szCs w:val="20"/>
        </w:rPr>
        <w:t>辆。</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年一般公共预算未安排购置车辆。</w:t>
      </w:r>
    </w:p>
    <w:p w:rsidR="00F417A0" w:rsidRDefault="00727D3A">
      <w:pPr>
        <w:adjustRightInd w:val="0"/>
        <w:snapToGrid w:val="0"/>
        <w:spacing w:line="600" w:lineRule="exact"/>
        <w:ind w:firstLineChars="200" w:firstLine="640"/>
        <w:rPr>
          <w:rFonts w:ascii="方正仿宋_GBK" w:eastAsia="方正仿宋_GBK" w:hAnsi="仿宋_GB2312" w:cs="仿宋_GB2312"/>
          <w:color w:val="0D0D0D"/>
          <w:sz w:val="32"/>
          <w:szCs w:val="20"/>
        </w:rPr>
      </w:pPr>
      <w:r>
        <w:rPr>
          <w:rFonts w:ascii="方正仿宋_GBK" w:eastAsia="方正仿宋_GBK" w:hAnsi="仿宋_GB2312" w:cs="仿宋_GB2312" w:hint="eastAsia"/>
          <w:color w:val="0D0D0D"/>
          <w:sz w:val="32"/>
          <w:szCs w:val="20"/>
        </w:rPr>
        <w:t>（五）委托业务费情况。</w:t>
      </w:r>
      <w:r>
        <w:rPr>
          <w:rFonts w:ascii="方正仿宋_GBK" w:eastAsia="方正仿宋_GBK" w:hAnsi="仿宋_GB2312" w:cs="仿宋_GB2312" w:hint="eastAsia"/>
          <w:color w:val="0D0D0D"/>
          <w:sz w:val="32"/>
          <w:szCs w:val="20"/>
        </w:rPr>
        <w:t>2026</w:t>
      </w:r>
      <w:r>
        <w:rPr>
          <w:rFonts w:ascii="方正仿宋_GBK" w:eastAsia="方正仿宋_GBK" w:hAnsi="仿宋_GB2312" w:cs="仿宋_GB2312" w:hint="eastAsia"/>
          <w:color w:val="0D0D0D"/>
          <w:sz w:val="32"/>
          <w:szCs w:val="20"/>
        </w:rPr>
        <w:t>年委托业务费</w:t>
      </w:r>
      <w:proofErr w:type="gramStart"/>
      <w:r>
        <w:rPr>
          <w:rFonts w:ascii="方正仿宋_GBK" w:eastAsia="方正仿宋_GBK" w:hAnsi="仿宋_GB2312" w:cs="仿宋_GB2312" w:hint="eastAsia"/>
          <w:color w:val="0D0D0D"/>
          <w:sz w:val="32"/>
          <w:szCs w:val="20"/>
        </w:rPr>
        <w:t>涉及财拨资金</w:t>
      </w:r>
      <w:proofErr w:type="gramEnd"/>
      <w:r>
        <w:rPr>
          <w:rFonts w:ascii="方正仿宋_GBK" w:eastAsia="方正仿宋_GBK" w:hAnsi="仿宋_GB2312" w:cs="仿宋_GB2312" w:hint="eastAsia"/>
          <w:color w:val="0D0D0D"/>
          <w:sz w:val="32"/>
          <w:szCs w:val="20"/>
        </w:rPr>
        <w:t>941.07</w:t>
      </w:r>
      <w:r>
        <w:rPr>
          <w:rFonts w:ascii="方正仿宋_GBK" w:eastAsia="方正仿宋_GBK" w:hAnsi="仿宋_GB2312" w:cs="仿宋_GB2312" w:hint="eastAsia"/>
          <w:color w:val="0D0D0D"/>
          <w:sz w:val="32"/>
          <w:szCs w:val="20"/>
        </w:rPr>
        <w:t>万元，主要用于</w:t>
      </w:r>
      <w:r>
        <w:rPr>
          <w:rFonts w:ascii="方正仿宋_GBK" w:eastAsia="方正仿宋_GBK" w:hAnsi="仿宋_GB2312" w:cs="仿宋_GB2312" w:hint="eastAsia"/>
          <w:color w:val="0D0D0D"/>
          <w:sz w:val="32"/>
          <w:szCs w:val="20"/>
        </w:rPr>
        <w:t>政府投资项目审计、行政事业单位、国有企业审计、资产清理、绩效评价、金融发展及风险防控</w:t>
      </w:r>
      <w:r>
        <w:rPr>
          <w:rFonts w:ascii="方正仿宋_GBK" w:eastAsia="方正仿宋_GBK" w:hAnsi="仿宋_GB2312" w:cs="仿宋_GB2312" w:hint="eastAsia"/>
          <w:color w:val="0D0D0D"/>
          <w:sz w:val="32"/>
          <w:szCs w:val="20"/>
        </w:rPr>
        <w:t>等支出。</w:t>
      </w:r>
    </w:p>
    <w:p w:rsidR="00F417A0" w:rsidRDefault="00727D3A">
      <w:pPr>
        <w:adjustRightInd w:val="0"/>
        <w:snapToGrid w:val="0"/>
        <w:spacing w:line="600" w:lineRule="exact"/>
        <w:ind w:left="640"/>
        <w:rPr>
          <w:rFonts w:ascii="方正黑体_GBK" w:eastAsia="方正黑体_GBK" w:hAnsi="黑体" w:cs="仿宋_GB2312"/>
          <w:color w:val="0D0D0D"/>
          <w:sz w:val="32"/>
          <w:szCs w:val="20"/>
        </w:rPr>
      </w:pPr>
      <w:r>
        <w:rPr>
          <w:rFonts w:ascii="方正黑体_GBK" w:eastAsia="方正黑体_GBK" w:hAnsi="黑体" w:cs="仿宋_GB2312" w:hint="eastAsia"/>
          <w:color w:val="0D0D0D"/>
          <w:sz w:val="32"/>
          <w:szCs w:val="20"/>
        </w:rPr>
        <w:t>六、专业</w:t>
      </w:r>
      <w:proofErr w:type="gramStart"/>
      <w:r>
        <w:rPr>
          <w:rFonts w:ascii="方正黑体_GBK" w:eastAsia="方正黑体_GBK" w:hAnsi="黑体" w:cs="仿宋_GB2312" w:hint="eastAsia"/>
          <w:color w:val="0D0D0D"/>
          <w:sz w:val="32"/>
          <w:szCs w:val="20"/>
        </w:rPr>
        <w:t>性名</w:t>
      </w:r>
      <w:proofErr w:type="gramEnd"/>
      <w:r>
        <w:rPr>
          <w:rFonts w:ascii="方正黑体_GBK" w:eastAsia="方正黑体_GBK" w:hAnsi="黑体" w:cs="仿宋_GB2312" w:hint="eastAsia"/>
          <w:color w:val="0D0D0D"/>
          <w:sz w:val="32"/>
          <w:szCs w:val="20"/>
        </w:rPr>
        <w:t>词解释</w:t>
      </w:r>
    </w:p>
    <w:p w:rsidR="00F417A0" w:rsidRDefault="00727D3A">
      <w:pPr>
        <w:tabs>
          <w:tab w:val="center" w:pos="4153"/>
          <w:tab w:val="left" w:pos="7275"/>
        </w:tabs>
        <w:adjustRightInd w:val="0"/>
        <w:snapToGrid w:val="0"/>
        <w:spacing w:line="600" w:lineRule="exact"/>
        <w:ind w:firstLineChars="200" w:firstLine="640"/>
        <w:jc w:val="left"/>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（一）财政拨款收入：指本年度从本级财政部门取得的财政拨款，包括一</w:t>
      </w:r>
      <w:r>
        <w:rPr>
          <w:rFonts w:ascii="方正仿宋_GBK" w:eastAsia="方正仿宋_GBK" w:hAnsi="仿宋" w:cs="Times New Roman" w:hint="eastAsia"/>
          <w:color w:val="0D0D0D"/>
          <w:sz w:val="32"/>
          <w:szCs w:val="32"/>
        </w:rPr>
        <w:t>般公共预算财政拨款和政府性基金预算财政拨款。</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（二）财政专户管理资金收入：指缴入财政专户、实行专项管理的高中以上学费、住宿费、高校委托培养费、函大、电大、夜大及短训班培训费等教育收费。单位根据教育收费标准、学生人数等合理预计。</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（三）事业收入（不含教育收费）：指事业单位开展专业业务活动及其辅助活动取得的收入，不包括教育收费。单位根据本年度事业单位开展专业业务活动及其辅助活动计划，结合上年度</w:t>
      </w:r>
      <w:r>
        <w:rPr>
          <w:rFonts w:ascii="方正仿宋_GBK" w:eastAsia="方正仿宋_GBK" w:hAnsi="仿宋" w:cs="Times New Roman" w:hint="eastAsia"/>
          <w:color w:val="0D0D0D"/>
          <w:sz w:val="32"/>
          <w:szCs w:val="32"/>
        </w:rPr>
        <w:lastRenderedPageBreak/>
        <w:t>收入等情况进行预计。</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（四）上级补助收入：指从主管部门或上级单位取得的财政拨款以外的其他补助收入。单位结合上年度上级补助</w:t>
      </w:r>
      <w:r>
        <w:rPr>
          <w:rFonts w:ascii="方正仿宋_GBK" w:eastAsia="方正仿宋_GBK" w:hAnsi="仿宋" w:cs="Times New Roman" w:hint="eastAsia"/>
          <w:color w:val="0D0D0D"/>
          <w:sz w:val="32"/>
          <w:szCs w:val="32"/>
        </w:rPr>
        <w:t>收入等情况进行预计。</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（七）其他收入：指债务收入、投资收益等收入，单位根据情况合理预计，全部编入预算。</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（八）</w:t>
      </w:r>
      <w:r>
        <w:rPr>
          <w:rFonts w:ascii="方正仿宋_GBK" w:eastAsia="方正仿宋_GBK" w:hAnsi="仿宋" w:cs="Times New Roman" w:hint="eastAsia"/>
          <w:color w:val="0D0D0D"/>
          <w:sz w:val="32"/>
          <w:szCs w:val="32"/>
        </w:rPr>
        <w:t>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lastRenderedPageBreak/>
        <w:t>（九）基本支出：指为保障机构正常运转、完成日常工作任务而发生的人员经费和公用经费。其中：人员经费指政府收支分类经</w:t>
      </w:r>
      <w:r>
        <w:rPr>
          <w:rFonts w:ascii="方正仿宋_GBK" w:eastAsia="方正仿宋_GBK" w:hAnsi="仿宋" w:cs="Times New Roman" w:hint="eastAsia"/>
          <w:color w:val="0D0D0D"/>
          <w:sz w:val="32"/>
          <w:szCs w:val="32"/>
        </w:rPr>
        <w:t>济科目中的“工资福利支出”和“对个人和家庭的补助”</w:t>
      </w:r>
      <w:r>
        <w:rPr>
          <w:rFonts w:ascii="方正仿宋_GBK" w:eastAsia="方正仿宋_GBK" w:hAnsi="仿宋" w:cs="Times New Roman" w:hint="eastAsia"/>
          <w:color w:val="0D0D0D"/>
          <w:sz w:val="32"/>
          <w:szCs w:val="32"/>
        </w:rPr>
        <w:t>;</w:t>
      </w:r>
      <w:r>
        <w:rPr>
          <w:rFonts w:ascii="方正仿宋_GBK" w:eastAsia="方正仿宋_GBK" w:hAnsi="仿宋" w:cs="Times New Roman" w:hint="eastAsia"/>
          <w:color w:val="0D0D0D"/>
          <w:sz w:val="32"/>
          <w:szCs w:val="32"/>
        </w:rPr>
        <w:t>公用经费指政府收支分类经济科目中除“工资福利支出”和“对个人和家庭的补助”外的其他支出。</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（十）项目支出：指在基本支出之外为完成特定行政任务和事业发展目标所发生的支出。</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（十一）“三公”经费：指用财政拨款安排的因公出国（境）费、公务用车购置及运行维护费、公务接待费。其中，因公出国（境）</w:t>
      </w:r>
      <w:proofErr w:type="gramStart"/>
      <w:r>
        <w:rPr>
          <w:rFonts w:ascii="方正仿宋_GBK" w:eastAsia="方正仿宋_GBK" w:hAnsi="仿宋" w:cs="Times New Roman" w:hint="eastAsia"/>
          <w:color w:val="0D0D0D"/>
          <w:sz w:val="32"/>
          <w:szCs w:val="32"/>
        </w:rPr>
        <w:t>费反映</w:t>
      </w:r>
      <w:proofErr w:type="gramEnd"/>
      <w:r>
        <w:rPr>
          <w:rFonts w:ascii="方正仿宋_GBK" w:eastAsia="方正仿宋_GBK" w:hAnsi="仿宋" w:cs="Times New Roman" w:hint="eastAsia"/>
          <w:color w:val="0D0D0D"/>
          <w:sz w:val="32"/>
          <w:szCs w:val="32"/>
        </w:rPr>
        <w:t>单位公务出国（境）的国际旅费、国外城市间交通费、住宿费、伙食费、培训费、公杂费等支出；公务用车购置</w:t>
      </w:r>
      <w:proofErr w:type="gramStart"/>
      <w:r>
        <w:rPr>
          <w:rFonts w:ascii="方正仿宋_GBK" w:eastAsia="方正仿宋_GBK" w:hAnsi="仿宋" w:cs="Times New Roman" w:hint="eastAsia"/>
          <w:color w:val="0D0D0D"/>
          <w:sz w:val="32"/>
          <w:szCs w:val="32"/>
        </w:rPr>
        <w:t>费反映</w:t>
      </w:r>
      <w:proofErr w:type="gramEnd"/>
      <w:r>
        <w:rPr>
          <w:rFonts w:ascii="方正仿宋_GBK" w:eastAsia="方正仿宋_GBK" w:hAnsi="仿宋" w:cs="Times New Roman" w:hint="eastAsia"/>
          <w:color w:val="0D0D0D"/>
          <w:sz w:val="32"/>
          <w:szCs w:val="32"/>
        </w:rPr>
        <w:t>单位公务用车购置支出（</w:t>
      </w:r>
      <w:proofErr w:type="gramStart"/>
      <w:r>
        <w:rPr>
          <w:rFonts w:ascii="方正仿宋_GBK" w:eastAsia="方正仿宋_GBK" w:hAnsi="仿宋" w:cs="Times New Roman" w:hint="eastAsia"/>
          <w:color w:val="0D0D0D"/>
          <w:sz w:val="32"/>
          <w:szCs w:val="32"/>
        </w:rPr>
        <w:t>含车辆</w:t>
      </w:r>
      <w:proofErr w:type="gramEnd"/>
      <w:r>
        <w:rPr>
          <w:rFonts w:ascii="方正仿宋_GBK" w:eastAsia="方正仿宋_GBK" w:hAnsi="仿宋" w:cs="Times New Roman" w:hint="eastAsia"/>
          <w:color w:val="0D0D0D"/>
          <w:sz w:val="32"/>
          <w:szCs w:val="32"/>
        </w:rPr>
        <w:t>购置税）</w:t>
      </w:r>
      <w:r>
        <w:rPr>
          <w:rFonts w:ascii="方正仿宋_GBK" w:eastAsia="方正仿宋_GBK" w:hAnsi="仿宋" w:cs="Times New Roman" w:hint="eastAsia"/>
          <w:color w:val="0D0D0D"/>
          <w:sz w:val="32"/>
          <w:szCs w:val="32"/>
        </w:rPr>
        <w:t>;</w:t>
      </w:r>
      <w:r>
        <w:rPr>
          <w:rFonts w:ascii="方正仿宋_GBK" w:eastAsia="方正仿宋_GBK" w:hAnsi="仿宋" w:cs="Times New Roman" w:hint="eastAsia"/>
          <w:color w:val="0D0D0D"/>
          <w:sz w:val="32"/>
          <w:szCs w:val="32"/>
        </w:rPr>
        <w:t>公务用车运行维护费反映单位</w:t>
      </w:r>
      <w:r>
        <w:rPr>
          <w:rFonts w:ascii="方正仿宋_GBK" w:eastAsia="方正仿宋_GBK" w:hAnsi="仿宋" w:cs="Times New Roman" w:hint="eastAsia"/>
          <w:color w:val="0D0D0D"/>
          <w:sz w:val="32"/>
          <w:szCs w:val="32"/>
        </w:rPr>
        <w:t>按规定保留的公务用车燃料费、维修费、过路过桥费、保险费、安全奖励费用等支出；公务接待</w:t>
      </w:r>
      <w:proofErr w:type="gramStart"/>
      <w:r>
        <w:rPr>
          <w:rFonts w:ascii="方正仿宋_GBK" w:eastAsia="方正仿宋_GBK" w:hAnsi="仿宋" w:cs="Times New Roman" w:hint="eastAsia"/>
          <w:color w:val="0D0D0D"/>
          <w:sz w:val="32"/>
          <w:szCs w:val="32"/>
        </w:rPr>
        <w:t>费反映</w:t>
      </w:r>
      <w:proofErr w:type="gramEnd"/>
      <w:r>
        <w:rPr>
          <w:rFonts w:ascii="方正仿宋_GBK" w:eastAsia="方正仿宋_GBK" w:hAnsi="仿宋" w:cs="Times New Roman" w:hint="eastAsia"/>
          <w:color w:val="0D0D0D"/>
          <w:sz w:val="32"/>
          <w:szCs w:val="32"/>
        </w:rPr>
        <w:t>单位按规定开支的各类公务接待（含外宾接待）支出。</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（十三）工资福利支出（支出经济分类科目类级）：反映单位开支的在职职工和编制</w:t>
      </w:r>
      <w:proofErr w:type="gramStart"/>
      <w:r>
        <w:rPr>
          <w:rFonts w:ascii="方正仿宋_GBK" w:eastAsia="方正仿宋_GBK" w:hAnsi="仿宋" w:cs="Times New Roman" w:hint="eastAsia"/>
          <w:color w:val="0D0D0D"/>
          <w:sz w:val="32"/>
          <w:szCs w:val="32"/>
        </w:rPr>
        <w:t>外长期</w:t>
      </w:r>
      <w:proofErr w:type="gramEnd"/>
      <w:r>
        <w:rPr>
          <w:rFonts w:ascii="方正仿宋_GBK" w:eastAsia="方正仿宋_GBK" w:hAnsi="仿宋" w:cs="Times New Roman" w:hint="eastAsia"/>
          <w:color w:val="0D0D0D"/>
          <w:sz w:val="32"/>
          <w:szCs w:val="32"/>
        </w:rPr>
        <w:t>聘用人员的各类劳动报酬，以及</w:t>
      </w:r>
      <w:r>
        <w:rPr>
          <w:rFonts w:ascii="方正仿宋_GBK" w:eastAsia="方正仿宋_GBK" w:hAnsi="仿宋" w:cs="Times New Roman" w:hint="eastAsia"/>
          <w:color w:val="0D0D0D"/>
          <w:sz w:val="32"/>
          <w:szCs w:val="32"/>
        </w:rPr>
        <w:lastRenderedPageBreak/>
        <w:t>为上述人员缴纳的各项社会保险费等。</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（十四）商品和服务支出（支出经济分类科目类级）：反映单位购买商品和服务的支出（不包括用于购置固定资产的支出、战略性和应急储备支出）。</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（十五）对个人和家庭的补助（支出经济分类科目类级）：反映用于对个人和家庭的补助支出。</w:t>
      </w:r>
    </w:p>
    <w:p w:rsidR="00F417A0" w:rsidRDefault="00727D3A">
      <w:pPr>
        <w:adjustRightInd w:val="0"/>
        <w:snapToGrid w:val="0"/>
        <w:spacing w:line="600" w:lineRule="exact"/>
        <w:ind w:firstLineChars="200" w:firstLine="640"/>
        <w:rPr>
          <w:rFonts w:ascii="方正仿宋_GBK" w:eastAsia="方正仿宋_GBK" w:hAnsi="仿宋" w:cs="Times New Roman"/>
          <w:color w:val="0D0D0D"/>
          <w:sz w:val="32"/>
          <w:szCs w:val="32"/>
        </w:rPr>
      </w:pPr>
      <w:r>
        <w:rPr>
          <w:rFonts w:ascii="方正仿宋_GBK" w:eastAsia="方正仿宋_GBK" w:hAnsi="仿宋" w:cs="Times New Roman" w:hint="eastAsia"/>
          <w:color w:val="0D0D0D"/>
          <w:sz w:val="32"/>
          <w:szCs w:val="32"/>
        </w:rPr>
        <w:t>（十六）其他资本性支出（支出经济分类科目类级）：反映非本级发展与改革部门集中安排的用于购置固定资产、战略性和应急性储备、土地和无形资产，以及构建基础</w:t>
      </w:r>
      <w:r>
        <w:rPr>
          <w:rFonts w:ascii="方正仿宋_GBK" w:eastAsia="方正仿宋_GBK" w:hAnsi="仿宋" w:cs="Times New Roman" w:hint="eastAsia"/>
          <w:color w:val="0D0D0D"/>
          <w:sz w:val="32"/>
          <w:szCs w:val="32"/>
        </w:rPr>
        <w:t>设施、大型修缮和财政支持企业更新改造所发生的支出。</w:t>
      </w:r>
    </w:p>
    <w:p w:rsidR="00F417A0" w:rsidRDefault="00F417A0">
      <w:pPr>
        <w:adjustRightInd w:val="0"/>
        <w:snapToGrid w:val="0"/>
        <w:spacing w:line="600" w:lineRule="exact"/>
        <w:ind w:firstLineChars="200" w:firstLine="640"/>
        <w:rPr>
          <w:rFonts w:ascii="方正仿宋_GBK" w:eastAsia="方正仿宋_GBK" w:hAnsi="仿宋_GB2312" w:cs="仿宋_GB2312"/>
          <w:color w:val="0D0D0D"/>
          <w:sz w:val="32"/>
          <w:szCs w:val="20"/>
        </w:rPr>
      </w:pPr>
    </w:p>
    <w:p w:rsidR="00F417A0" w:rsidRDefault="00727D3A">
      <w:pPr>
        <w:adjustRightInd w:val="0"/>
        <w:snapToGrid w:val="0"/>
        <w:spacing w:line="600" w:lineRule="exact"/>
        <w:ind w:firstLineChars="200" w:firstLine="640"/>
        <w:rPr>
          <w:rFonts w:ascii="方正仿宋_GBK" w:eastAsia="方正仿宋_GBK" w:hAnsi="方正仿宋_GBK" w:cs="方正仿宋_GBK"/>
          <w:sz w:val="28"/>
        </w:rPr>
      </w:pPr>
      <w:r>
        <w:rPr>
          <w:rFonts w:ascii="方正仿宋_GBK" w:eastAsia="方正仿宋_GBK" w:hAnsi="仿宋_GB2312" w:cs="仿宋_GB2312" w:hint="eastAsia"/>
          <w:color w:val="0D0D0D"/>
          <w:sz w:val="32"/>
          <w:szCs w:val="20"/>
        </w:rPr>
        <w:t>部门预算公开联系人：</w:t>
      </w:r>
      <w:r>
        <w:rPr>
          <w:rFonts w:ascii="方正仿宋_GBK" w:eastAsia="方正仿宋_GBK" w:hAnsi="仿宋_GB2312" w:cs="仿宋_GB2312" w:hint="eastAsia"/>
          <w:color w:val="0D0D0D"/>
          <w:sz w:val="32"/>
          <w:szCs w:val="20"/>
        </w:rPr>
        <w:t>徐新新</w:t>
      </w:r>
      <w:r w:rsidR="006057BC">
        <w:rPr>
          <w:rFonts w:ascii="方正仿宋_GBK" w:eastAsia="方正仿宋_GBK" w:hAnsi="仿宋_GB2312" w:cs="仿宋_GB2312" w:hint="eastAsia"/>
          <w:color w:val="0D0D0D"/>
          <w:sz w:val="32"/>
          <w:szCs w:val="20"/>
        </w:rPr>
        <w:t>，</w:t>
      </w:r>
      <w:bookmarkStart w:id="0" w:name="_GoBack"/>
      <w:bookmarkEnd w:id="0"/>
      <w:r>
        <w:rPr>
          <w:rFonts w:ascii="方正仿宋_GBK" w:eastAsia="方正仿宋_GBK" w:hAnsi="仿宋_GB2312" w:cs="仿宋_GB2312" w:hint="eastAsia"/>
          <w:color w:val="0D0D0D"/>
          <w:sz w:val="32"/>
          <w:szCs w:val="20"/>
        </w:rPr>
        <w:t>联系方式：</w:t>
      </w:r>
      <w:r>
        <w:rPr>
          <w:rFonts w:ascii="方正仿宋_GBK" w:eastAsia="方正仿宋_GBK" w:hAnsi="方正仿宋_GBK" w:cs="方正仿宋_GBK" w:hint="eastAsia"/>
          <w:color w:val="0D0D0D"/>
          <w:sz w:val="32"/>
          <w:szCs w:val="20"/>
        </w:rPr>
        <w:t>023-</w:t>
      </w:r>
      <w:r>
        <w:rPr>
          <w:rFonts w:ascii="方正仿宋_GBK" w:eastAsia="方正仿宋_GBK" w:hAnsi="方正仿宋_GBK" w:cs="方正仿宋_GBK" w:hint="eastAsia"/>
          <w:color w:val="0D0D0D"/>
          <w:sz w:val="32"/>
          <w:szCs w:val="20"/>
        </w:rPr>
        <w:t>68154309</w:t>
      </w:r>
    </w:p>
    <w:sectPr w:rsidR="00F417A0">
      <w:footerReference w:type="even" r:id="rId8"/>
      <w:footerReference w:type="default" r:id="rId9"/>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D3A" w:rsidRDefault="00727D3A">
      <w:r>
        <w:separator/>
      </w:r>
    </w:p>
  </w:endnote>
  <w:endnote w:type="continuationSeparator" w:id="0">
    <w:p w:rsidR="00727D3A" w:rsidRDefault="00727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altName w:val="DejaVu Sans"/>
    <w:panose1 w:val="020F0302020204030204"/>
    <w:charset w:val="00"/>
    <w:family w:val="swiss"/>
    <w:pitch w:val="variable"/>
    <w:sig w:usb0="A00002EF" w:usb1="4000207B" w:usb2="00000000" w:usb3="00000000" w:csb0="0000019F" w:csb1="00000000"/>
  </w:font>
  <w:font w:name="方正仿宋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Tahoma">
    <w:altName w:val="DejaVu Sans"/>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方正楷体_GBK">
    <w:panose1 w:val="03000509000000000000"/>
    <w:charset w:val="86"/>
    <w:family w:val="script"/>
    <w:pitch w:val="fixed"/>
    <w:sig w:usb0="00000001" w:usb1="080E0000" w:usb2="00000010" w:usb3="00000000" w:csb0="00040000" w:csb1="00000000"/>
  </w:font>
  <w:font w:name="方正仿宋_GB2312">
    <w:altName w:val="方正仿宋_GBK"/>
    <w:charset w:val="86"/>
    <w:family w:val="auto"/>
    <w:pitch w:val="default"/>
    <w:sig w:usb0="00000000" w:usb1="00000000" w:usb2="00000012"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043103"/>
    </w:sdtPr>
    <w:sdtEndPr/>
    <w:sdtContent>
      <w:p w:rsidR="00F417A0" w:rsidRDefault="00727D3A">
        <w:pPr>
          <w:pStyle w:val="ab"/>
          <w:rPr>
            <w:sz w:val="21"/>
            <w:szCs w:val="24"/>
          </w:rPr>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057BC" w:rsidRPr="006057BC">
          <w:rPr>
            <w:rFonts w:ascii="方正仿宋_GBK" w:eastAsia="方正仿宋_GBK"/>
            <w:noProof/>
            <w:sz w:val="28"/>
            <w:szCs w:val="28"/>
            <w:lang w:val="zh-CN"/>
          </w:rPr>
          <w:t>6</w:t>
        </w:r>
        <w:r>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087721"/>
    </w:sdtPr>
    <w:sdtEndPr/>
    <w:sdtContent>
      <w:p w:rsidR="00F417A0" w:rsidRDefault="00727D3A">
        <w:pPr>
          <w:pStyle w:val="ab"/>
          <w:jc w:val="right"/>
        </w:pPr>
        <w:r>
          <w:rPr>
            <w:rFonts w:ascii="方正仿宋_GBK" w:eastAsia="方正仿宋_GBK" w:hint="eastAsia"/>
            <w:sz w:val="28"/>
            <w:szCs w:val="28"/>
          </w:rPr>
          <w:t>—</w:t>
        </w:r>
        <w:r>
          <w:rPr>
            <w:rFonts w:ascii="方正仿宋_GBK" w:eastAsia="方正仿宋_GBK" w:hint="eastAsia"/>
            <w:sz w:val="28"/>
            <w:szCs w:val="28"/>
          </w:rPr>
          <w:fldChar w:fldCharType="begin"/>
        </w:r>
        <w:r>
          <w:rPr>
            <w:rFonts w:ascii="方正仿宋_GBK" w:eastAsia="方正仿宋_GBK" w:hint="eastAsia"/>
            <w:sz w:val="28"/>
            <w:szCs w:val="28"/>
          </w:rPr>
          <w:instrText xml:space="preserve"> PAGE   \* MERGEFORMAT </w:instrText>
        </w:r>
        <w:r>
          <w:rPr>
            <w:rFonts w:ascii="方正仿宋_GBK" w:eastAsia="方正仿宋_GBK" w:hint="eastAsia"/>
            <w:sz w:val="28"/>
            <w:szCs w:val="28"/>
          </w:rPr>
          <w:fldChar w:fldCharType="separate"/>
        </w:r>
        <w:r w:rsidR="006057BC" w:rsidRPr="006057BC">
          <w:rPr>
            <w:rFonts w:ascii="方正仿宋_GBK" w:eastAsia="方正仿宋_GBK"/>
            <w:noProof/>
            <w:sz w:val="28"/>
            <w:szCs w:val="28"/>
            <w:lang w:val="zh-CN"/>
          </w:rPr>
          <w:t>5</w:t>
        </w:r>
        <w:r>
          <w:rPr>
            <w:rFonts w:ascii="方正仿宋_GBK" w:eastAsia="方正仿宋_GBK" w:hint="eastAsia"/>
            <w:sz w:val="28"/>
            <w:szCs w:val="28"/>
          </w:rPr>
          <w:fldChar w:fldCharType="end"/>
        </w:r>
        <w:r>
          <w:rPr>
            <w:rFonts w:ascii="方正仿宋_GBK" w:eastAsia="方正仿宋_GBK" w:hint="eastAsia"/>
            <w:sz w:val="28"/>
            <w:szCs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D3A" w:rsidRDefault="00727D3A">
      <w:r>
        <w:separator/>
      </w:r>
    </w:p>
  </w:footnote>
  <w:footnote w:type="continuationSeparator" w:id="0">
    <w:p w:rsidR="00727D3A" w:rsidRDefault="00727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420"/>
  <w:evenAndOddHeaders/>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DEFA33C"/>
    <w:rsid w:val="86CF5A08"/>
    <w:rsid w:val="8D02EC01"/>
    <w:rsid w:val="8FE5E326"/>
    <w:rsid w:val="979AF1D7"/>
    <w:rsid w:val="97DF8BFF"/>
    <w:rsid w:val="9BEEC7C9"/>
    <w:rsid w:val="9DDF4875"/>
    <w:rsid w:val="9DF56254"/>
    <w:rsid w:val="AEF3DCCA"/>
    <w:rsid w:val="B69D9474"/>
    <w:rsid w:val="B9FBA485"/>
    <w:rsid w:val="BBE7276B"/>
    <w:rsid w:val="BDBF4E54"/>
    <w:rsid w:val="BEBFBF03"/>
    <w:rsid w:val="BEFF7EE2"/>
    <w:rsid w:val="BF2FFED0"/>
    <w:rsid w:val="BFBE1C86"/>
    <w:rsid w:val="BFFDC588"/>
    <w:rsid w:val="BFFEB3A4"/>
    <w:rsid w:val="CFC6C164"/>
    <w:rsid w:val="CFDFD5BC"/>
    <w:rsid w:val="D0FDAA38"/>
    <w:rsid w:val="DBDAD5D2"/>
    <w:rsid w:val="DBF8280E"/>
    <w:rsid w:val="DDEFA33C"/>
    <w:rsid w:val="DDF6D9B2"/>
    <w:rsid w:val="DEED0549"/>
    <w:rsid w:val="DFBDE87D"/>
    <w:rsid w:val="DFCD5595"/>
    <w:rsid w:val="DFED26A8"/>
    <w:rsid w:val="E59FE660"/>
    <w:rsid w:val="EA97C3A3"/>
    <w:rsid w:val="EB7B49CE"/>
    <w:rsid w:val="EBA349FC"/>
    <w:rsid w:val="EBD570A7"/>
    <w:rsid w:val="ECD3B3C2"/>
    <w:rsid w:val="ED7D5361"/>
    <w:rsid w:val="EDEF2CAF"/>
    <w:rsid w:val="EDFE2ECB"/>
    <w:rsid w:val="EF9D134B"/>
    <w:rsid w:val="EFA4FB99"/>
    <w:rsid w:val="EFF7E3E3"/>
    <w:rsid w:val="F4F56713"/>
    <w:rsid w:val="F6C71E72"/>
    <w:rsid w:val="F6F94114"/>
    <w:rsid w:val="F76FD236"/>
    <w:rsid w:val="F7EF42AF"/>
    <w:rsid w:val="F7F6B0DD"/>
    <w:rsid w:val="FA7F7D47"/>
    <w:rsid w:val="FAEA6767"/>
    <w:rsid w:val="FB6F9806"/>
    <w:rsid w:val="FB766340"/>
    <w:rsid w:val="FBFA64EB"/>
    <w:rsid w:val="FBFF61C2"/>
    <w:rsid w:val="FC79CA62"/>
    <w:rsid w:val="FDDF8ED8"/>
    <w:rsid w:val="FDFB98F7"/>
    <w:rsid w:val="FED24DB4"/>
    <w:rsid w:val="FEEE2CFA"/>
    <w:rsid w:val="FEF97506"/>
    <w:rsid w:val="FEFF2A80"/>
    <w:rsid w:val="FFBD4161"/>
    <w:rsid w:val="FFC9C423"/>
    <w:rsid w:val="FFDF98B4"/>
    <w:rsid w:val="00000550"/>
    <w:rsid w:val="00001862"/>
    <w:rsid w:val="00002CC1"/>
    <w:rsid w:val="00002D64"/>
    <w:rsid w:val="00003BC4"/>
    <w:rsid w:val="00005D5C"/>
    <w:rsid w:val="00012820"/>
    <w:rsid w:val="000150E4"/>
    <w:rsid w:val="00020764"/>
    <w:rsid w:val="0002749C"/>
    <w:rsid w:val="0003038B"/>
    <w:rsid w:val="0004558F"/>
    <w:rsid w:val="00047981"/>
    <w:rsid w:val="00050437"/>
    <w:rsid w:val="0005121E"/>
    <w:rsid w:val="00055D53"/>
    <w:rsid w:val="00056B76"/>
    <w:rsid w:val="00062654"/>
    <w:rsid w:val="00066FCD"/>
    <w:rsid w:val="000774C1"/>
    <w:rsid w:val="000B03CB"/>
    <w:rsid w:val="000B6225"/>
    <w:rsid w:val="000B7225"/>
    <w:rsid w:val="000B7E52"/>
    <w:rsid w:val="000E0316"/>
    <w:rsid w:val="000E253A"/>
    <w:rsid w:val="000E6017"/>
    <w:rsid w:val="000F5FC0"/>
    <w:rsid w:val="000F7E2D"/>
    <w:rsid w:val="001040A9"/>
    <w:rsid w:val="00105192"/>
    <w:rsid w:val="00105658"/>
    <w:rsid w:val="00105DB3"/>
    <w:rsid w:val="00113867"/>
    <w:rsid w:val="0012521D"/>
    <w:rsid w:val="00126DE5"/>
    <w:rsid w:val="00130A33"/>
    <w:rsid w:val="00132542"/>
    <w:rsid w:val="0013773B"/>
    <w:rsid w:val="001424BB"/>
    <w:rsid w:val="00142BFC"/>
    <w:rsid w:val="00147E03"/>
    <w:rsid w:val="001624AE"/>
    <w:rsid w:val="0016433D"/>
    <w:rsid w:val="00182D7C"/>
    <w:rsid w:val="00184418"/>
    <w:rsid w:val="00187BA3"/>
    <w:rsid w:val="001900F7"/>
    <w:rsid w:val="001A3B38"/>
    <w:rsid w:val="001A41BD"/>
    <w:rsid w:val="001A52BF"/>
    <w:rsid w:val="001B06C0"/>
    <w:rsid w:val="001B58B1"/>
    <w:rsid w:val="001B5F04"/>
    <w:rsid w:val="001C52EC"/>
    <w:rsid w:val="001C562C"/>
    <w:rsid w:val="001C5D1E"/>
    <w:rsid w:val="001C76A9"/>
    <w:rsid w:val="001D3D78"/>
    <w:rsid w:val="001D480D"/>
    <w:rsid w:val="001D5EF5"/>
    <w:rsid w:val="001E045D"/>
    <w:rsid w:val="001E3AF6"/>
    <w:rsid w:val="001F0CB6"/>
    <w:rsid w:val="001F1C80"/>
    <w:rsid w:val="001F5F4C"/>
    <w:rsid w:val="001F698D"/>
    <w:rsid w:val="001F6997"/>
    <w:rsid w:val="001F7164"/>
    <w:rsid w:val="002026B2"/>
    <w:rsid w:val="00207050"/>
    <w:rsid w:val="00221C30"/>
    <w:rsid w:val="00222916"/>
    <w:rsid w:val="00240596"/>
    <w:rsid w:val="00247D46"/>
    <w:rsid w:val="002552A4"/>
    <w:rsid w:val="0025598C"/>
    <w:rsid w:val="00255C41"/>
    <w:rsid w:val="00257CD5"/>
    <w:rsid w:val="00257FEE"/>
    <w:rsid w:val="00263889"/>
    <w:rsid w:val="00263C35"/>
    <w:rsid w:val="002655AE"/>
    <w:rsid w:val="002705DA"/>
    <w:rsid w:val="00282745"/>
    <w:rsid w:val="00286C14"/>
    <w:rsid w:val="00290D8F"/>
    <w:rsid w:val="00292CE2"/>
    <w:rsid w:val="0029567D"/>
    <w:rsid w:val="002979E8"/>
    <w:rsid w:val="002A393E"/>
    <w:rsid w:val="002A47A1"/>
    <w:rsid w:val="002A617F"/>
    <w:rsid w:val="002B2A63"/>
    <w:rsid w:val="002C03A7"/>
    <w:rsid w:val="002C7EE9"/>
    <w:rsid w:val="002E0CCF"/>
    <w:rsid w:val="002E1F6E"/>
    <w:rsid w:val="002E2DA3"/>
    <w:rsid w:val="002F16B1"/>
    <w:rsid w:val="002F1D72"/>
    <w:rsid w:val="002F3AC0"/>
    <w:rsid w:val="0030336C"/>
    <w:rsid w:val="00310ED0"/>
    <w:rsid w:val="003205A1"/>
    <w:rsid w:val="00325FD3"/>
    <w:rsid w:val="00331522"/>
    <w:rsid w:val="00350B55"/>
    <w:rsid w:val="00357DD5"/>
    <w:rsid w:val="0036015F"/>
    <w:rsid w:val="003625C5"/>
    <w:rsid w:val="00364941"/>
    <w:rsid w:val="00381B0F"/>
    <w:rsid w:val="00382420"/>
    <w:rsid w:val="00390D72"/>
    <w:rsid w:val="0039593E"/>
    <w:rsid w:val="00395FFC"/>
    <w:rsid w:val="00397AEA"/>
    <w:rsid w:val="003A003C"/>
    <w:rsid w:val="003A1180"/>
    <w:rsid w:val="003A69E3"/>
    <w:rsid w:val="003B2F4B"/>
    <w:rsid w:val="003B46E2"/>
    <w:rsid w:val="003B680C"/>
    <w:rsid w:val="003D0A25"/>
    <w:rsid w:val="003D3E70"/>
    <w:rsid w:val="003D5F5C"/>
    <w:rsid w:val="003D7D22"/>
    <w:rsid w:val="003E043C"/>
    <w:rsid w:val="003E0547"/>
    <w:rsid w:val="003F0EBF"/>
    <w:rsid w:val="003F0F36"/>
    <w:rsid w:val="003F5200"/>
    <w:rsid w:val="0040612C"/>
    <w:rsid w:val="00406394"/>
    <w:rsid w:val="00406CC8"/>
    <w:rsid w:val="00416DD2"/>
    <w:rsid w:val="00430AB2"/>
    <w:rsid w:val="00440F9F"/>
    <w:rsid w:val="004411ED"/>
    <w:rsid w:val="004427AC"/>
    <w:rsid w:val="0044491E"/>
    <w:rsid w:val="00452E10"/>
    <w:rsid w:val="004551A7"/>
    <w:rsid w:val="004573AF"/>
    <w:rsid w:val="00462582"/>
    <w:rsid w:val="00463DA7"/>
    <w:rsid w:val="00464823"/>
    <w:rsid w:val="00467BE5"/>
    <w:rsid w:val="004737CB"/>
    <w:rsid w:val="00473C7B"/>
    <w:rsid w:val="004829F8"/>
    <w:rsid w:val="00494C3B"/>
    <w:rsid w:val="0049564A"/>
    <w:rsid w:val="004A0AC1"/>
    <w:rsid w:val="004A2007"/>
    <w:rsid w:val="004A5113"/>
    <w:rsid w:val="004B5544"/>
    <w:rsid w:val="004C0ACB"/>
    <w:rsid w:val="004C0E27"/>
    <w:rsid w:val="004C3049"/>
    <w:rsid w:val="004D0C28"/>
    <w:rsid w:val="004D335C"/>
    <w:rsid w:val="004D34F4"/>
    <w:rsid w:val="004E72A4"/>
    <w:rsid w:val="00506D68"/>
    <w:rsid w:val="00517BA1"/>
    <w:rsid w:val="005210E5"/>
    <w:rsid w:val="005219CC"/>
    <w:rsid w:val="0052242B"/>
    <w:rsid w:val="00523889"/>
    <w:rsid w:val="0052397D"/>
    <w:rsid w:val="00531A51"/>
    <w:rsid w:val="0053400B"/>
    <w:rsid w:val="00536729"/>
    <w:rsid w:val="005369E2"/>
    <w:rsid w:val="00552EC9"/>
    <w:rsid w:val="0055700B"/>
    <w:rsid w:val="00560FE1"/>
    <w:rsid w:val="00561E70"/>
    <w:rsid w:val="0056748E"/>
    <w:rsid w:val="0057164C"/>
    <w:rsid w:val="00573089"/>
    <w:rsid w:val="005753BF"/>
    <w:rsid w:val="00582A7F"/>
    <w:rsid w:val="0058358D"/>
    <w:rsid w:val="00583EEB"/>
    <w:rsid w:val="00584A9A"/>
    <w:rsid w:val="00586B99"/>
    <w:rsid w:val="005949AB"/>
    <w:rsid w:val="00596D47"/>
    <w:rsid w:val="005973EF"/>
    <w:rsid w:val="005A4BEE"/>
    <w:rsid w:val="005B2B5B"/>
    <w:rsid w:val="005B2F7C"/>
    <w:rsid w:val="005C026A"/>
    <w:rsid w:val="005C0BC9"/>
    <w:rsid w:val="005C2703"/>
    <w:rsid w:val="005D460C"/>
    <w:rsid w:val="005D6317"/>
    <w:rsid w:val="005E2679"/>
    <w:rsid w:val="005E7261"/>
    <w:rsid w:val="005E7595"/>
    <w:rsid w:val="005F42D9"/>
    <w:rsid w:val="005F549F"/>
    <w:rsid w:val="005F7E87"/>
    <w:rsid w:val="00603CE7"/>
    <w:rsid w:val="006057BC"/>
    <w:rsid w:val="006143BC"/>
    <w:rsid w:val="00624185"/>
    <w:rsid w:val="0062568A"/>
    <w:rsid w:val="00625BD3"/>
    <w:rsid w:val="006315F1"/>
    <w:rsid w:val="0063246B"/>
    <w:rsid w:val="0063260E"/>
    <w:rsid w:val="00634531"/>
    <w:rsid w:val="00646723"/>
    <w:rsid w:val="00656F56"/>
    <w:rsid w:val="0066455A"/>
    <w:rsid w:val="00675134"/>
    <w:rsid w:val="006763EF"/>
    <w:rsid w:val="0069086E"/>
    <w:rsid w:val="00696E62"/>
    <w:rsid w:val="006A1ADB"/>
    <w:rsid w:val="006A496C"/>
    <w:rsid w:val="006A5DA1"/>
    <w:rsid w:val="006B33CA"/>
    <w:rsid w:val="006B7AC3"/>
    <w:rsid w:val="006C6826"/>
    <w:rsid w:val="006D2B23"/>
    <w:rsid w:val="006E2D81"/>
    <w:rsid w:val="006F224E"/>
    <w:rsid w:val="006F516A"/>
    <w:rsid w:val="006F67DF"/>
    <w:rsid w:val="006F7C53"/>
    <w:rsid w:val="00702401"/>
    <w:rsid w:val="00712B05"/>
    <w:rsid w:val="00723554"/>
    <w:rsid w:val="00723989"/>
    <w:rsid w:val="00727D3A"/>
    <w:rsid w:val="00734083"/>
    <w:rsid w:val="007422B8"/>
    <w:rsid w:val="00745A5B"/>
    <w:rsid w:val="00746A00"/>
    <w:rsid w:val="00751FC3"/>
    <w:rsid w:val="007523DE"/>
    <w:rsid w:val="00761782"/>
    <w:rsid w:val="00763107"/>
    <w:rsid w:val="007713BC"/>
    <w:rsid w:val="00775611"/>
    <w:rsid w:val="00780A53"/>
    <w:rsid w:val="0078414E"/>
    <w:rsid w:val="007929CF"/>
    <w:rsid w:val="007A6E54"/>
    <w:rsid w:val="007B0EC2"/>
    <w:rsid w:val="007B2D3D"/>
    <w:rsid w:val="007C0FD6"/>
    <w:rsid w:val="007C286D"/>
    <w:rsid w:val="007C469C"/>
    <w:rsid w:val="007C680F"/>
    <w:rsid w:val="007D1D85"/>
    <w:rsid w:val="007D2B0E"/>
    <w:rsid w:val="007E5DFD"/>
    <w:rsid w:val="007E6CD6"/>
    <w:rsid w:val="00807407"/>
    <w:rsid w:val="008079BD"/>
    <w:rsid w:val="0081058F"/>
    <w:rsid w:val="00810ED8"/>
    <w:rsid w:val="008147A1"/>
    <w:rsid w:val="00822BA4"/>
    <w:rsid w:val="00830C81"/>
    <w:rsid w:val="00835E66"/>
    <w:rsid w:val="008365B4"/>
    <w:rsid w:val="008368E0"/>
    <w:rsid w:val="008376C2"/>
    <w:rsid w:val="008462F6"/>
    <w:rsid w:val="00850664"/>
    <w:rsid w:val="00866863"/>
    <w:rsid w:val="008721DA"/>
    <w:rsid w:val="00874BE6"/>
    <w:rsid w:val="00880D9C"/>
    <w:rsid w:val="0089224F"/>
    <w:rsid w:val="00892833"/>
    <w:rsid w:val="0089423A"/>
    <w:rsid w:val="008958F5"/>
    <w:rsid w:val="008A671E"/>
    <w:rsid w:val="008C6EE3"/>
    <w:rsid w:val="008C748B"/>
    <w:rsid w:val="008D09B9"/>
    <w:rsid w:val="008D2759"/>
    <w:rsid w:val="008D27F4"/>
    <w:rsid w:val="008E1FC6"/>
    <w:rsid w:val="008E3F98"/>
    <w:rsid w:val="008E5AD6"/>
    <w:rsid w:val="008E6E47"/>
    <w:rsid w:val="008E75B3"/>
    <w:rsid w:val="008F11A0"/>
    <w:rsid w:val="008F2670"/>
    <w:rsid w:val="008F6888"/>
    <w:rsid w:val="008F6BC0"/>
    <w:rsid w:val="00904291"/>
    <w:rsid w:val="00904E51"/>
    <w:rsid w:val="0090636F"/>
    <w:rsid w:val="009205B0"/>
    <w:rsid w:val="00922D91"/>
    <w:rsid w:val="0092429C"/>
    <w:rsid w:val="00925159"/>
    <w:rsid w:val="009258E5"/>
    <w:rsid w:val="0094168B"/>
    <w:rsid w:val="009619CD"/>
    <w:rsid w:val="00962B3C"/>
    <w:rsid w:val="009731B7"/>
    <w:rsid w:val="00974821"/>
    <w:rsid w:val="009760FA"/>
    <w:rsid w:val="009770D7"/>
    <w:rsid w:val="00983FE7"/>
    <w:rsid w:val="009842A9"/>
    <w:rsid w:val="00986CE2"/>
    <w:rsid w:val="00990551"/>
    <w:rsid w:val="0099613A"/>
    <w:rsid w:val="009A0B9A"/>
    <w:rsid w:val="009A757B"/>
    <w:rsid w:val="009A759E"/>
    <w:rsid w:val="009B2751"/>
    <w:rsid w:val="009B7187"/>
    <w:rsid w:val="009C1966"/>
    <w:rsid w:val="009C6585"/>
    <w:rsid w:val="009D1654"/>
    <w:rsid w:val="009D23CE"/>
    <w:rsid w:val="009D2F7D"/>
    <w:rsid w:val="009D4FF2"/>
    <w:rsid w:val="009D7C5D"/>
    <w:rsid w:val="009E7B9D"/>
    <w:rsid w:val="009F2D5D"/>
    <w:rsid w:val="00A07574"/>
    <w:rsid w:val="00A12AEB"/>
    <w:rsid w:val="00A12BD5"/>
    <w:rsid w:val="00A2342B"/>
    <w:rsid w:val="00A3762E"/>
    <w:rsid w:val="00A641E4"/>
    <w:rsid w:val="00A648DF"/>
    <w:rsid w:val="00A74D89"/>
    <w:rsid w:val="00A7548E"/>
    <w:rsid w:val="00A90C82"/>
    <w:rsid w:val="00AB3A79"/>
    <w:rsid w:val="00AB5130"/>
    <w:rsid w:val="00AC192E"/>
    <w:rsid w:val="00AC42FA"/>
    <w:rsid w:val="00AD3891"/>
    <w:rsid w:val="00AE4989"/>
    <w:rsid w:val="00AF684F"/>
    <w:rsid w:val="00B07D1B"/>
    <w:rsid w:val="00B1331B"/>
    <w:rsid w:val="00B13BEE"/>
    <w:rsid w:val="00B173AC"/>
    <w:rsid w:val="00B23322"/>
    <w:rsid w:val="00B24A0A"/>
    <w:rsid w:val="00B264B7"/>
    <w:rsid w:val="00B2681A"/>
    <w:rsid w:val="00B33D3A"/>
    <w:rsid w:val="00B47CCF"/>
    <w:rsid w:val="00B47E48"/>
    <w:rsid w:val="00B524D7"/>
    <w:rsid w:val="00B535EE"/>
    <w:rsid w:val="00B64346"/>
    <w:rsid w:val="00B64C3E"/>
    <w:rsid w:val="00B73925"/>
    <w:rsid w:val="00B80381"/>
    <w:rsid w:val="00B803E8"/>
    <w:rsid w:val="00B80A59"/>
    <w:rsid w:val="00B839D4"/>
    <w:rsid w:val="00BA6448"/>
    <w:rsid w:val="00BB17CC"/>
    <w:rsid w:val="00BC1F51"/>
    <w:rsid w:val="00BC2FF1"/>
    <w:rsid w:val="00BC6A17"/>
    <w:rsid w:val="00BD2A72"/>
    <w:rsid w:val="00BE59CF"/>
    <w:rsid w:val="00BF3090"/>
    <w:rsid w:val="00C05D20"/>
    <w:rsid w:val="00C06FBB"/>
    <w:rsid w:val="00C12920"/>
    <w:rsid w:val="00C15F8C"/>
    <w:rsid w:val="00C30377"/>
    <w:rsid w:val="00C42C32"/>
    <w:rsid w:val="00C43658"/>
    <w:rsid w:val="00C470DD"/>
    <w:rsid w:val="00C51C46"/>
    <w:rsid w:val="00C541F7"/>
    <w:rsid w:val="00C57659"/>
    <w:rsid w:val="00C65C43"/>
    <w:rsid w:val="00C66DFF"/>
    <w:rsid w:val="00C702E2"/>
    <w:rsid w:val="00C72CA3"/>
    <w:rsid w:val="00C72FDA"/>
    <w:rsid w:val="00C76723"/>
    <w:rsid w:val="00C768CD"/>
    <w:rsid w:val="00C80D9D"/>
    <w:rsid w:val="00C839E8"/>
    <w:rsid w:val="00C92B04"/>
    <w:rsid w:val="00CA2D3C"/>
    <w:rsid w:val="00CB209C"/>
    <w:rsid w:val="00CB3584"/>
    <w:rsid w:val="00CB626C"/>
    <w:rsid w:val="00CC1333"/>
    <w:rsid w:val="00CC72AC"/>
    <w:rsid w:val="00CD072F"/>
    <w:rsid w:val="00CD2A2F"/>
    <w:rsid w:val="00CD5569"/>
    <w:rsid w:val="00CE5D23"/>
    <w:rsid w:val="00CE6DF4"/>
    <w:rsid w:val="00CE7B57"/>
    <w:rsid w:val="00CF5F44"/>
    <w:rsid w:val="00D049C5"/>
    <w:rsid w:val="00D133AB"/>
    <w:rsid w:val="00D1414B"/>
    <w:rsid w:val="00D1564E"/>
    <w:rsid w:val="00D21DF0"/>
    <w:rsid w:val="00D21FF0"/>
    <w:rsid w:val="00D230DC"/>
    <w:rsid w:val="00D4510D"/>
    <w:rsid w:val="00D47EC2"/>
    <w:rsid w:val="00D5266E"/>
    <w:rsid w:val="00D53531"/>
    <w:rsid w:val="00D57FFE"/>
    <w:rsid w:val="00D73140"/>
    <w:rsid w:val="00D842F0"/>
    <w:rsid w:val="00D948F9"/>
    <w:rsid w:val="00DA12E4"/>
    <w:rsid w:val="00DA4FB8"/>
    <w:rsid w:val="00DA67A6"/>
    <w:rsid w:val="00DB14D7"/>
    <w:rsid w:val="00DB1695"/>
    <w:rsid w:val="00DB6072"/>
    <w:rsid w:val="00DC3361"/>
    <w:rsid w:val="00DC592B"/>
    <w:rsid w:val="00DC6DEE"/>
    <w:rsid w:val="00DD1FA2"/>
    <w:rsid w:val="00DD624A"/>
    <w:rsid w:val="00DE5C3D"/>
    <w:rsid w:val="00DE677B"/>
    <w:rsid w:val="00DF646C"/>
    <w:rsid w:val="00E0451B"/>
    <w:rsid w:val="00E04EF6"/>
    <w:rsid w:val="00E117C3"/>
    <w:rsid w:val="00E13354"/>
    <w:rsid w:val="00E145D7"/>
    <w:rsid w:val="00E1526D"/>
    <w:rsid w:val="00E15629"/>
    <w:rsid w:val="00E15E97"/>
    <w:rsid w:val="00E2696A"/>
    <w:rsid w:val="00E35738"/>
    <w:rsid w:val="00E46E77"/>
    <w:rsid w:val="00E47D68"/>
    <w:rsid w:val="00E50E34"/>
    <w:rsid w:val="00E51C72"/>
    <w:rsid w:val="00E52097"/>
    <w:rsid w:val="00E54527"/>
    <w:rsid w:val="00E65A21"/>
    <w:rsid w:val="00E66E13"/>
    <w:rsid w:val="00E7102B"/>
    <w:rsid w:val="00E801CC"/>
    <w:rsid w:val="00E85E44"/>
    <w:rsid w:val="00E86198"/>
    <w:rsid w:val="00E8632F"/>
    <w:rsid w:val="00E86E12"/>
    <w:rsid w:val="00EA72FC"/>
    <w:rsid w:val="00EB45D8"/>
    <w:rsid w:val="00ED057B"/>
    <w:rsid w:val="00ED1258"/>
    <w:rsid w:val="00ED292F"/>
    <w:rsid w:val="00EE5CD6"/>
    <w:rsid w:val="00EE740D"/>
    <w:rsid w:val="00EF05C5"/>
    <w:rsid w:val="00EF306D"/>
    <w:rsid w:val="00EF5A2F"/>
    <w:rsid w:val="00F0277D"/>
    <w:rsid w:val="00F16F32"/>
    <w:rsid w:val="00F27CBF"/>
    <w:rsid w:val="00F40577"/>
    <w:rsid w:val="00F417A0"/>
    <w:rsid w:val="00F41DFD"/>
    <w:rsid w:val="00F602CE"/>
    <w:rsid w:val="00F63F57"/>
    <w:rsid w:val="00F66F1B"/>
    <w:rsid w:val="00F673E9"/>
    <w:rsid w:val="00F70639"/>
    <w:rsid w:val="00F723E2"/>
    <w:rsid w:val="00F73BBA"/>
    <w:rsid w:val="00F75D2F"/>
    <w:rsid w:val="00F76B89"/>
    <w:rsid w:val="00F84048"/>
    <w:rsid w:val="00F91D07"/>
    <w:rsid w:val="00F92C0C"/>
    <w:rsid w:val="00F9651A"/>
    <w:rsid w:val="00FA0793"/>
    <w:rsid w:val="00FA134B"/>
    <w:rsid w:val="00FA7B60"/>
    <w:rsid w:val="00FB29EC"/>
    <w:rsid w:val="00FB6B1D"/>
    <w:rsid w:val="00FB7BD2"/>
    <w:rsid w:val="00FC2FCB"/>
    <w:rsid w:val="00FD3430"/>
    <w:rsid w:val="00FD67C1"/>
    <w:rsid w:val="00FE0EAD"/>
    <w:rsid w:val="00FE32F5"/>
    <w:rsid w:val="00FE3D1A"/>
    <w:rsid w:val="00FF4593"/>
    <w:rsid w:val="143B4769"/>
    <w:rsid w:val="174B0B14"/>
    <w:rsid w:val="1FED2BFD"/>
    <w:rsid w:val="26FF6CF8"/>
    <w:rsid w:val="2CFAB8AA"/>
    <w:rsid w:val="2FB34850"/>
    <w:rsid w:val="2FFE6E78"/>
    <w:rsid w:val="37FFBE45"/>
    <w:rsid w:val="39BF0739"/>
    <w:rsid w:val="3B9F8459"/>
    <w:rsid w:val="3BFFC3EE"/>
    <w:rsid w:val="3DFD396A"/>
    <w:rsid w:val="3DFE540C"/>
    <w:rsid w:val="3E4704F6"/>
    <w:rsid w:val="3E7DE289"/>
    <w:rsid w:val="3FBFA5F4"/>
    <w:rsid w:val="4773C8D4"/>
    <w:rsid w:val="54F7CFD1"/>
    <w:rsid w:val="57EF0FDB"/>
    <w:rsid w:val="58FD9049"/>
    <w:rsid w:val="5AFFDB1C"/>
    <w:rsid w:val="5BEBA213"/>
    <w:rsid w:val="5BFE63EB"/>
    <w:rsid w:val="5F320180"/>
    <w:rsid w:val="5FBF15F9"/>
    <w:rsid w:val="65B6998B"/>
    <w:rsid w:val="65FE437F"/>
    <w:rsid w:val="677D1DD1"/>
    <w:rsid w:val="69DD4DC9"/>
    <w:rsid w:val="6BDF65DF"/>
    <w:rsid w:val="6FFC6260"/>
    <w:rsid w:val="70EED791"/>
    <w:rsid w:val="725C1AED"/>
    <w:rsid w:val="73B78DEB"/>
    <w:rsid w:val="73FB40FF"/>
    <w:rsid w:val="73FD64B3"/>
    <w:rsid w:val="75FD8495"/>
    <w:rsid w:val="76FFD984"/>
    <w:rsid w:val="77DF1CF9"/>
    <w:rsid w:val="77FFE8EF"/>
    <w:rsid w:val="78DBB1F0"/>
    <w:rsid w:val="7AD6A069"/>
    <w:rsid w:val="7B8F2653"/>
    <w:rsid w:val="7B9F875D"/>
    <w:rsid w:val="7BD4947B"/>
    <w:rsid w:val="7DBE43A9"/>
    <w:rsid w:val="7DF3CFD4"/>
    <w:rsid w:val="7DF7795C"/>
    <w:rsid w:val="7E796071"/>
    <w:rsid w:val="7E7D5987"/>
    <w:rsid w:val="7EEC405E"/>
    <w:rsid w:val="7F7FB087"/>
    <w:rsid w:val="7F87A1E9"/>
    <w:rsid w:val="7FBDD148"/>
    <w:rsid w:val="7FBDFA99"/>
    <w:rsid w:val="7FDC507D"/>
    <w:rsid w:val="7FEDC2DC"/>
    <w:rsid w:val="7FFB804E"/>
    <w:rsid w:val="7FFD3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able of authorities"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unhideWhenUsed="1" w:qFormat="1"/>
    <w:lsdException w:name="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eastAsia="宋体" w:hAnsi="Times New Roman" w:cs="Times New Roman"/>
    </w:rPr>
  </w:style>
  <w:style w:type="paragraph" w:styleId="8">
    <w:name w:val="index 8"/>
    <w:basedOn w:val="a"/>
    <w:next w:val="a"/>
    <w:qFormat/>
    <w:pPr>
      <w:ind w:leftChars="1400" w:left="1400"/>
    </w:pPr>
  </w:style>
  <w:style w:type="paragraph" w:styleId="a4">
    <w:name w:val="Normal Indent"/>
    <w:basedOn w:val="a"/>
    <w:next w:val="a"/>
    <w:qFormat/>
    <w:pPr>
      <w:ind w:firstLineChars="200" w:firstLine="200"/>
    </w:pPr>
    <w:rPr>
      <w:rFonts w:ascii="Times New Roman" w:eastAsia="宋体" w:hAnsi="Times New Roman" w:cs="Times New Roman"/>
    </w:rPr>
  </w:style>
  <w:style w:type="paragraph" w:styleId="a5">
    <w:name w:val="annotation text"/>
    <w:basedOn w:val="a"/>
    <w:link w:val="Char"/>
    <w:uiPriority w:val="99"/>
    <w:qFormat/>
    <w:pPr>
      <w:jc w:val="left"/>
    </w:pPr>
    <w:rPr>
      <w:rFonts w:ascii="Calibri" w:eastAsia="宋体" w:hAnsi="Calibri" w:cs="宋体"/>
      <w:szCs w:val="22"/>
    </w:rPr>
  </w:style>
  <w:style w:type="paragraph" w:styleId="a6">
    <w:name w:val="Body Text"/>
    <w:basedOn w:val="a"/>
    <w:link w:val="Char0"/>
    <w:uiPriority w:val="1"/>
    <w:qFormat/>
    <w:pPr>
      <w:spacing w:after="120"/>
    </w:pPr>
  </w:style>
  <w:style w:type="paragraph" w:styleId="a7">
    <w:name w:val="Body Text Indent"/>
    <w:basedOn w:val="a"/>
    <w:link w:val="Char1"/>
    <w:qFormat/>
    <w:pPr>
      <w:spacing w:after="120"/>
      <w:ind w:leftChars="200" w:left="420"/>
    </w:pPr>
  </w:style>
  <w:style w:type="paragraph" w:styleId="a8">
    <w:name w:val="Plain Text"/>
    <w:basedOn w:val="a"/>
    <w:next w:val="8"/>
    <w:link w:val="Char2"/>
    <w:qFormat/>
    <w:pPr>
      <w:ind w:firstLineChars="200" w:firstLine="630"/>
    </w:pPr>
    <w:rPr>
      <w:rFonts w:ascii="方正仿宋_GBK" w:eastAsia="方正仿宋_GBK" w:hAnsi="Courier New" w:cs="Times New Roman"/>
      <w:w w:val="98"/>
      <w:sz w:val="32"/>
      <w:szCs w:val="32"/>
    </w:rPr>
  </w:style>
  <w:style w:type="paragraph" w:styleId="a9">
    <w:name w:val="Date"/>
    <w:basedOn w:val="a"/>
    <w:next w:val="a"/>
    <w:link w:val="Char3"/>
    <w:qFormat/>
    <w:pPr>
      <w:ind w:leftChars="2500" w:left="100"/>
    </w:pPr>
  </w:style>
  <w:style w:type="paragraph" w:styleId="aa">
    <w:name w:val="Balloon Text"/>
    <w:basedOn w:val="a"/>
    <w:link w:val="Char4"/>
    <w:uiPriority w:val="99"/>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a6"/>
    <w:link w:val="Char7"/>
    <w:uiPriority w:val="99"/>
    <w:qFormat/>
    <w:pPr>
      <w:snapToGrid w:val="0"/>
      <w:jc w:val="left"/>
    </w:pPr>
    <w:rPr>
      <w:rFonts w:ascii="Times New Roman" w:eastAsia="宋体" w:hAnsi="Times New Roman" w:cs="Times New Roman"/>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uiPriority w:val="99"/>
    <w:unhideWhenUsed/>
    <w:qFormat/>
    <w:rPr>
      <w:rFonts w:ascii="Times New Roman" w:eastAsia="方正仿宋_GBK" w:hAnsi="Times New Roman" w:cs="Times New Roman"/>
      <w:b/>
      <w:bCs/>
      <w:sz w:val="32"/>
      <w:szCs w:val="20"/>
    </w:rPr>
  </w:style>
  <w:style w:type="paragraph" w:styleId="af1">
    <w:name w:val="Body Text First Indent"/>
    <w:basedOn w:val="a6"/>
    <w:link w:val="Chara"/>
    <w:unhideWhenUsed/>
    <w:qFormat/>
    <w:pPr>
      <w:ind w:firstLineChars="100" w:firstLine="420"/>
    </w:pPr>
    <w:rPr>
      <w:rFonts w:ascii="Times New Roman" w:eastAsia="宋体" w:hAnsi="Times New Roman" w:cs="Times New Roman"/>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bCs/>
    </w:rPr>
  </w:style>
  <w:style w:type="character" w:styleId="af4">
    <w:name w:val="Hyperlink"/>
    <w:unhideWhenUsed/>
    <w:qFormat/>
    <w:rPr>
      <w:color w:val="0563C1"/>
      <w:u w:val="single"/>
    </w:rPr>
  </w:style>
  <w:style w:type="character" w:styleId="af5">
    <w:name w:val="annotation reference"/>
    <w:basedOn w:val="a0"/>
    <w:uiPriority w:val="99"/>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6">
    <w:name w:val="页眉 Char"/>
    <w:basedOn w:val="a0"/>
    <w:link w:val="ac"/>
    <w:uiPriority w:val="99"/>
    <w:qFormat/>
    <w:rPr>
      <w:kern w:val="2"/>
      <w:sz w:val="18"/>
      <w:szCs w:val="18"/>
    </w:rPr>
  </w:style>
  <w:style w:type="character" w:customStyle="1" w:styleId="Char5">
    <w:name w:val="页脚 Char"/>
    <w:basedOn w:val="a0"/>
    <w:link w:val="ab"/>
    <w:uiPriority w:val="99"/>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4">
    <w:name w:val="批注框文本 Char"/>
    <w:basedOn w:val="a0"/>
    <w:link w:val="aa"/>
    <w:uiPriority w:val="99"/>
    <w:qFormat/>
    <w:rPr>
      <w:kern w:val="2"/>
      <w:sz w:val="18"/>
      <w:szCs w:val="18"/>
    </w:rPr>
  </w:style>
  <w:style w:type="character" w:customStyle="1" w:styleId="Char">
    <w:name w:val="批注文字 Char"/>
    <w:basedOn w:val="a0"/>
    <w:link w:val="a5"/>
    <w:uiPriority w:val="99"/>
    <w:qFormat/>
    <w:rPr>
      <w:rFonts w:ascii="Calibri" w:eastAsia="宋体" w:hAnsi="Calibri" w:cs="宋体"/>
      <w:kern w:val="2"/>
      <w:sz w:val="21"/>
      <w:szCs w:val="22"/>
    </w:rPr>
  </w:style>
  <w:style w:type="character" w:customStyle="1" w:styleId="Char3">
    <w:name w:val="日期 Char"/>
    <w:basedOn w:val="a0"/>
    <w:link w:val="a9"/>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f6">
    <w:name w:val="List Paragraph"/>
    <w:basedOn w:val="a"/>
    <w:uiPriority w:val="99"/>
    <w:unhideWhenUsed/>
    <w:qFormat/>
    <w:pPr>
      <w:ind w:firstLineChars="200" w:firstLine="420"/>
    </w:pPr>
  </w:style>
  <w:style w:type="character" w:customStyle="1" w:styleId="Char2">
    <w:name w:val="纯文本 Char"/>
    <w:basedOn w:val="a0"/>
    <w:link w:val="a8"/>
    <w:qFormat/>
    <w:rPr>
      <w:rFonts w:ascii="方正仿宋_GBK" w:eastAsia="方正仿宋_GBK" w:hAnsi="Courier New" w:cs="Times New Roman"/>
      <w:w w:val="98"/>
      <w:kern w:val="2"/>
      <w:sz w:val="32"/>
      <w:szCs w:val="32"/>
    </w:rPr>
  </w:style>
  <w:style w:type="character" w:customStyle="1" w:styleId="Char0">
    <w:name w:val="正文文本 Char"/>
    <w:basedOn w:val="a0"/>
    <w:link w:val="a6"/>
    <w:uiPriority w:val="1"/>
    <w:qFormat/>
    <w:rPr>
      <w:kern w:val="2"/>
      <w:sz w:val="21"/>
      <w:szCs w:val="24"/>
    </w:rPr>
  </w:style>
  <w:style w:type="character" w:customStyle="1" w:styleId="Chara">
    <w:name w:val="正文首行缩进 Char"/>
    <w:basedOn w:val="Char0"/>
    <w:link w:val="af1"/>
    <w:qFormat/>
    <w:rPr>
      <w:rFonts w:ascii="Times New Roman" w:eastAsia="宋体" w:hAnsi="Times New Roman" w:cs="Times New Roman"/>
      <w:kern w:val="2"/>
      <w:sz w:val="21"/>
      <w:szCs w:val="24"/>
    </w:r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Char9">
    <w:name w:val="批注主题 Char"/>
    <w:basedOn w:val="Char"/>
    <w:link w:val="af0"/>
    <w:uiPriority w:val="99"/>
    <w:qFormat/>
    <w:rPr>
      <w:rFonts w:ascii="Times New Roman" w:eastAsia="方正仿宋_GBK" w:hAnsi="Times New Roman" w:cs="Times New Roman"/>
      <w:b/>
      <w:bCs/>
      <w:kern w:val="2"/>
      <w:sz w:val="32"/>
      <w:szCs w:val="22"/>
    </w:rPr>
  </w:style>
  <w:style w:type="paragraph" w:customStyle="1" w:styleId="Charb">
    <w:name w:val="Char"/>
    <w:basedOn w:val="a"/>
    <w:qFormat/>
    <w:rPr>
      <w:rFonts w:ascii="Tahoma" w:eastAsia="仿宋_GB2312" w:hAnsi="Tahoma" w:cs="Times New Roman"/>
      <w:sz w:val="24"/>
      <w:szCs w:val="20"/>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71">
    <w:name w:val="font71"/>
    <w:basedOn w:val="a0"/>
    <w:qFormat/>
    <w:rPr>
      <w:rFonts w:ascii="方正黑体_GBK" w:eastAsia="方正黑体_GBK" w:hAnsi="方正黑体_GBK" w:cs="方正黑体_GBK" w:hint="eastAsia"/>
      <w:color w:val="000000"/>
      <w:sz w:val="22"/>
      <w:szCs w:val="22"/>
      <w:u w:val="none"/>
    </w:rPr>
  </w:style>
  <w:style w:type="character" w:customStyle="1" w:styleId="font41">
    <w:name w:val="font41"/>
    <w:basedOn w:val="a0"/>
    <w:qFormat/>
    <w:rPr>
      <w:rFonts w:ascii="方正仿宋_GBK" w:eastAsia="方正仿宋_GBK" w:hAnsi="方正仿宋_GBK" w:cs="方正仿宋_GBK" w:hint="eastAsia"/>
      <w:color w:val="000000"/>
      <w:sz w:val="22"/>
      <w:szCs w:val="22"/>
      <w:u w:val="none"/>
    </w:rPr>
  </w:style>
  <w:style w:type="character" w:customStyle="1" w:styleId="font81">
    <w:name w:val="font81"/>
    <w:basedOn w:val="a0"/>
    <w:qFormat/>
    <w:rPr>
      <w:rFonts w:ascii="方正仿宋_GBK" w:eastAsia="方正仿宋_GBK" w:hAnsi="方正仿宋_GBK" w:cs="方正仿宋_GBK" w:hint="eastAsia"/>
      <w:color w:val="000000"/>
      <w:sz w:val="20"/>
      <w:szCs w:val="20"/>
      <w:u w:val="none"/>
    </w:rPr>
  </w:style>
  <w:style w:type="character" w:customStyle="1" w:styleId="font51">
    <w:name w:val="font51"/>
    <w:basedOn w:val="a0"/>
    <w:qFormat/>
    <w:rPr>
      <w:rFonts w:ascii="宋体" w:eastAsia="宋体" w:hAnsi="宋体" w:cs="宋体"/>
      <w:color w:val="000000"/>
      <w:sz w:val="28"/>
      <w:szCs w:val="28"/>
      <w:u w:val="none"/>
    </w:rPr>
  </w:style>
  <w:style w:type="paragraph" w:customStyle="1" w:styleId="af7">
    <w:name w:val="默认"/>
    <w:qFormat/>
    <w:rPr>
      <w:rFonts w:ascii="Helvetica" w:eastAsia="Helvetica" w:hAnsi="Helvetica" w:cs="Helvetica"/>
      <w:color w:val="000000"/>
      <w:sz w:val="22"/>
      <w:szCs w:val="22"/>
    </w:rPr>
  </w:style>
  <w:style w:type="paragraph" w:customStyle="1" w:styleId="Style13">
    <w:name w:val="_Style 13"/>
    <w:basedOn w:val="a"/>
    <w:qFormat/>
    <w:rPr>
      <w:rFonts w:ascii="宋体" w:eastAsia="宋体" w:hAnsi="宋体" w:cs="Courier New"/>
      <w:sz w:val="32"/>
      <w:szCs w:val="32"/>
    </w:rPr>
  </w:style>
  <w:style w:type="character" w:customStyle="1" w:styleId="bjh-p">
    <w:name w:val="bjh-p"/>
    <w:basedOn w:val="a0"/>
    <w:qFormat/>
  </w:style>
  <w:style w:type="character" w:customStyle="1" w:styleId="NormalCharacter">
    <w:name w:val="NormalCharacter"/>
    <w:qFormat/>
  </w:style>
  <w:style w:type="paragraph" w:customStyle="1" w:styleId="BodyText">
    <w:name w:val="BodyText"/>
    <w:basedOn w:val="a"/>
    <w:qFormat/>
    <w:rPr>
      <w:rFonts w:ascii="Times New Roman" w:eastAsia="宋体" w:hAnsi="Times New Roman" w:cs="Times New Roman"/>
      <w:sz w:val="52"/>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customStyle="1" w:styleId="NormalIndent1">
    <w:name w:val="Normal Indent1"/>
    <w:basedOn w:val="a"/>
    <w:qFormat/>
    <w:pPr>
      <w:ind w:firstLine="420"/>
    </w:pPr>
    <w:rPr>
      <w:szCs w:val="22"/>
    </w:rPr>
  </w:style>
  <w:style w:type="character" w:customStyle="1" w:styleId="Char8">
    <w:name w:val="标题 Char"/>
    <w:basedOn w:val="a0"/>
    <w:link w:val="af"/>
    <w:qFormat/>
    <w:rPr>
      <w:rFonts w:ascii="Cambria" w:eastAsia="宋体" w:hAnsi="Cambria" w:cs="Times New Roman"/>
      <w:b/>
      <w:bCs/>
      <w:kern w:val="2"/>
      <w:sz w:val="32"/>
      <w:szCs w:val="32"/>
    </w:rPr>
  </w:style>
  <w:style w:type="character" w:customStyle="1" w:styleId="fontstyle01">
    <w:name w:val="fontstyle01"/>
    <w:qFormat/>
    <w:rPr>
      <w:rFonts w:ascii="黑体" w:eastAsia="黑体" w:hAnsi="黑体" w:hint="eastAsia"/>
      <w:color w:val="000000"/>
      <w:sz w:val="18"/>
      <w:szCs w:val="18"/>
    </w:rPr>
  </w:style>
  <w:style w:type="character" w:customStyle="1" w:styleId="Char7">
    <w:name w:val="脚注文本 Char"/>
    <w:basedOn w:val="a0"/>
    <w:link w:val="ad"/>
    <w:uiPriority w:val="99"/>
    <w:qFormat/>
    <w:rPr>
      <w:rFonts w:ascii="Times New Roman" w:eastAsia="宋体" w:hAnsi="Times New Roman" w:cs="Times New Roman"/>
      <w:kern w:val="2"/>
      <w:sz w:val="18"/>
      <w:szCs w:val="18"/>
    </w:rPr>
  </w:style>
  <w:style w:type="character" w:customStyle="1" w:styleId="Char1">
    <w:name w:val="正文文本缩进 Char"/>
    <w:basedOn w:val="a0"/>
    <w:link w:val="a7"/>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Normal Indent" w:qFormat="1"/>
    <w:lsdException w:name="footnote text" w:uiPriority="99" w:qFormat="1"/>
    <w:lsdException w:name="annotation text" w:uiPriority="99" w:qFormat="1"/>
    <w:lsdException w:name="header" w:qFormat="1"/>
    <w:lsdException w:name="footer" w:uiPriority="99" w:qFormat="1"/>
    <w:lsdException w:name="caption" w:semiHidden="1" w:unhideWhenUsed="1" w:qFormat="1"/>
    <w:lsdException w:name="annotation reference" w:uiPriority="99" w:qFormat="1"/>
    <w:lsdException w:name="table of authorities" w:qFormat="1"/>
    <w:lsdException w:name="Title" w:qFormat="1"/>
    <w:lsdException w:name="Default Paragraph Font" w:semiHidden="1" w:uiPriority="1" w:unhideWhenUsed="1" w:qFormat="1"/>
    <w:lsdException w:name="Body Text" w:uiPriority="1" w:qFormat="1"/>
    <w:lsdException w:name="Body Text Indent" w:qFormat="1"/>
    <w:lsdException w:name="Subtitle" w:qFormat="1"/>
    <w:lsdException w:name="Date" w:qFormat="1"/>
    <w:lsdException w:name="Body Text First Indent" w:unhideWhenUsed="1" w:qFormat="1"/>
    <w:lsdException w:name="Hyperlink" w:unhideWhenUsed="1"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uiPriority="99"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suppressAutoHyphens/>
      <w:spacing w:beforeAutospacing="1" w:afterAutospacing="1"/>
      <w:jc w:val="left"/>
      <w:outlineLvl w:val="0"/>
    </w:pPr>
    <w:rPr>
      <w:rFonts w:ascii="宋体" w:eastAsia="宋体" w:hAnsi="宋体" w:hint="eastAsia"/>
      <w:b/>
      <w:kern w:val="44"/>
      <w:sz w:val="48"/>
      <w:szCs w:val="48"/>
    </w:rPr>
  </w:style>
  <w:style w:type="paragraph" w:styleId="2">
    <w:name w:val="heading 2"/>
    <w:basedOn w:val="a"/>
    <w:next w:val="a"/>
    <w:link w:val="2Char"/>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qFormat/>
    <w:pPr>
      <w:ind w:leftChars="200" w:left="420"/>
    </w:pPr>
    <w:rPr>
      <w:rFonts w:ascii="Times New Roman" w:eastAsia="宋体" w:hAnsi="Times New Roman" w:cs="Times New Roman"/>
    </w:rPr>
  </w:style>
  <w:style w:type="paragraph" w:styleId="8">
    <w:name w:val="index 8"/>
    <w:basedOn w:val="a"/>
    <w:next w:val="a"/>
    <w:qFormat/>
    <w:pPr>
      <w:ind w:leftChars="1400" w:left="1400"/>
    </w:pPr>
  </w:style>
  <w:style w:type="paragraph" w:styleId="a4">
    <w:name w:val="Normal Indent"/>
    <w:basedOn w:val="a"/>
    <w:next w:val="a"/>
    <w:qFormat/>
    <w:pPr>
      <w:ind w:firstLineChars="200" w:firstLine="200"/>
    </w:pPr>
    <w:rPr>
      <w:rFonts w:ascii="Times New Roman" w:eastAsia="宋体" w:hAnsi="Times New Roman" w:cs="Times New Roman"/>
    </w:rPr>
  </w:style>
  <w:style w:type="paragraph" w:styleId="a5">
    <w:name w:val="annotation text"/>
    <w:basedOn w:val="a"/>
    <w:link w:val="Char"/>
    <w:uiPriority w:val="99"/>
    <w:qFormat/>
    <w:pPr>
      <w:jc w:val="left"/>
    </w:pPr>
    <w:rPr>
      <w:rFonts w:ascii="Calibri" w:eastAsia="宋体" w:hAnsi="Calibri" w:cs="宋体"/>
      <w:szCs w:val="22"/>
    </w:rPr>
  </w:style>
  <w:style w:type="paragraph" w:styleId="a6">
    <w:name w:val="Body Text"/>
    <w:basedOn w:val="a"/>
    <w:link w:val="Char0"/>
    <w:uiPriority w:val="1"/>
    <w:qFormat/>
    <w:pPr>
      <w:spacing w:after="120"/>
    </w:pPr>
  </w:style>
  <w:style w:type="paragraph" w:styleId="a7">
    <w:name w:val="Body Text Indent"/>
    <w:basedOn w:val="a"/>
    <w:link w:val="Char1"/>
    <w:qFormat/>
    <w:pPr>
      <w:spacing w:after="120"/>
      <w:ind w:leftChars="200" w:left="420"/>
    </w:pPr>
  </w:style>
  <w:style w:type="paragraph" w:styleId="a8">
    <w:name w:val="Plain Text"/>
    <w:basedOn w:val="a"/>
    <w:next w:val="8"/>
    <w:link w:val="Char2"/>
    <w:qFormat/>
    <w:pPr>
      <w:ind w:firstLineChars="200" w:firstLine="630"/>
    </w:pPr>
    <w:rPr>
      <w:rFonts w:ascii="方正仿宋_GBK" w:eastAsia="方正仿宋_GBK" w:hAnsi="Courier New" w:cs="Times New Roman"/>
      <w:w w:val="98"/>
      <w:sz w:val="32"/>
      <w:szCs w:val="32"/>
    </w:rPr>
  </w:style>
  <w:style w:type="paragraph" w:styleId="a9">
    <w:name w:val="Date"/>
    <w:basedOn w:val="a"/>
    <w:next w:val="a"/>
    <w:link w:val="Char3"/>
    <w:qFormat/>
    <w:pPr>
      <w:ind w:leftChars="2500" w:left="100"/>
    </w:pPr>
  </w:style>
  <w:style w:type="paragraph" w:styleId="aa">
    <w:name w:val="Balloon Text"/>
    <w:basedOn w:val="a"/>
    <w:link w:val="Char4"/>
    <w:uiPriority w:val="99"/>
    <w:qFormat/>
    <w:rPr>
      <w:sz w:val="18"/>
      <w:szCs w:val="18"/>
    </w:rPr>
  </w:style>
  <w:style w:type="paragraph" w:styleId="ab">
    <w:name w:val="footer"/>
    <w:basedOn w:val="a"/>
    <w:link w:val="Char5"/>
    <w:uiPriority w:val="99"/>
    <w:qFormat/>
    <w:pPr>
      <w:tabs>
        <w:tab w:val="center" w:pos="4153"/>
        <w:tab w:val="right" w:pos="8306"/>
      </w:tabs>
      <w:snapToGrid w:val="0"/>
      <w:jc w:val="left"/>
    </w:pPr>
    <w:rPr>
      <w:sz w:val="18"/>
      <w:szCs w:val="18"/>
    </w:rPr>
  </w:style>
  <w:style w:type="paragraph" w:styleId="ac">
    <w:name w:val="header"/>
    <w:basedOn w:val="a"/>
    <w:link w:val="Char6"/>
    <w:qFormat/>
    <w:pPr>
      <w:pBdr>
        <w:bottom w:val="single" w:sz="6" w:space="1" w:color="auto"/>
      </w:pBdr>
      <w:tabs>
        <w:tab w:val="center" w:pos="4153"/>
        <w:tab w:val="right" w:pos="8306"/>
      </w:tabs>
      <w:snapToGrid w:val="0"/>
      <w:jc w:val="center"/>
    </w:pPr>
    <w:rPr>
      <w:sz w:val="18"/>
      <w:szCs w:val="18"/>
    </w:rPr>
  </w:style>
  <w:style w:type="paragraph" w:styleId="ad">
    <w:name w:val="footnote text"/>
    <w:basedOn w:val="a"/>
    <w:next w:val="a6"/>
    <w:link w:val="Char7"/>
    <w:uiPriority w:val="99"/>
    <w:qFormat/>
    <w:pPr>
      <w:snapToGrid w:val="0"/>
      <w:jc w:val="left"/>
    </w:pPr>
    <w:rPr>
      <w:rFonts w:ascii="Times New Roman" w:eastAsia="宋体" w:hAnsi="Times New Roman" w:cs="Times New Roman"/>
      <w:sz w:val="18"/>
      <w:szCs w:val="18"/>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paragraph" w:styleId="ae">
    <w:name w:val="Normal (Web)"/>
    <w:basedOn w:val="a"/>
    <w:uiPriority w:val="99"/>
    <w:qFormat/>
    <w:pPr>
      <w:spacing w:beforeAutospacing="1" w:afterAutospacing="1"/>
      <w:jc w:val="left"/>
    </w:pPr>
    <w:rPr>
      <w:rFonts w:cs="Times New Roman"/>
      <w:kern w:val="0"/>
      <w:sz w:val="24"/>
    </w:rPr>
  </w:style>
  <w:style w:type="paragraph" w:styleId="af">
    <w:name w:val="Title"/>
    <w:basedOn w:val="a"/>
    <w:next w:val="a"/>
    <w:link w:val="Char8"/>
    <w:qFormat/>
    <w:pPr>
      <w:spacing w:before="240" w:after="60"/>
      <w:jc w:val="center"/>
      <w:outlineLvl w:val="0"/>
    </w:pPr>
    <w:rPr>
      <w:rFonts w:ascii="Cambria" w:eastAsia="宋体" w:hAnsi="Cambria" w:cs="Times New Roman"/>
      <w:b/>
      <w:bCs/>
      <w:sz w:val="32"/>
      <w:szCs w:val="32"/>
    </w:rPr>
  </w:style>
  <w:style w:type="paragraph" w:styleId="af0">
    <w:name w:val="annotation subject"/>
    <w:basedOn w:val="a5"/>
    <w:next w:val="a5"/>
    <w:link w:val="Char9"/>
    <w:uiPriority w:val="99"/>
    <w:unhideWhenUsed/>
    <w:qFormat/>
    <w:rPr>
      <w:rFonts w:ascii="Times New Roman" w:eastAsia="方正仿宋_GBK" w:hAnsi="Times New Roman" w:cs="Times New Roman"/>
      <w:b/>
      <w:bCs/>
      <w:sz w:val="32"/>
      <w:szCs w:val="20"/>
    </w:rPr>
  </w:style>
  <w:style w:type="paragraph" w:styleId="af1">
    <w:name w:val="Body Text First Indent"/>
    <w:basedOn w:val="a6"/>
    <w:link w:val="Chara"/>
    <w:unhideWhenUsed/>
    <w:qFormat/>
    <w:pPr>
      <w:ind w:firstLineChars="100" w:firstLine="420"/>
    </w:pPr>
    <w:rPr>
      <w:rFonts w:ascii="Times New Roman" w:eastAsia="宋体" w:hAnsi="Times New Roman" w:cs="Times New Roman"/>
    </w:rPr>
  </w:style>
  <w:style w:type="table" w:styleId="af2">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Pr>
      <w:b/>
      <w:bCs/>
    </w:rPr>
  </w:style>
  <w:style w:type="character" w:styleId="af4">
    <w:name w:val="Hyperlink"/>
    <w:unhideWhenUsed/>
    <w:qFormat/>
    <w:rPr>
      <w:color w:val="0563C1"/>
      <w:u w:val="single"/>
    </w:rPr>
  </w:style>
  <w:style w:type="character" w:styleId="af5">
    <w:name w:val="annotation reference"/>
    <w:basedOn w:val="a0"/>
    <w:uiPriority w:val="99"/>
    <w:qFormat/>
    <w:rPr>
      <w:sz w:val="21"/>
      <w:szCs w:val="21"/>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Char6">
    <w:name w:val="页眉 Char"/>
    <w:basedOn w:val="a0"/>
    <w:link w:val="ac"/>
    <w:uiPriority w:val="99"/>
    <w:qFormat/>
    <w:rPr>
      <w:kern w:val="2"/>
      <w:sz w:val="18"/>
      <w:szCs w:val="18"/>
    </w:rPr>
  </w:style>
  <w:style w:type="character" w:customStyle="1" w:styleId="Char5">
    <w:name w:val="页脚 Char"/>
    <w:basedOn w:val="a0"/>
    <w:link w:val="ab"/>
    <w:uiPriority w:val="99"/>
    <w:qFormat/>
    <w:rPr>
      <w:kern w:val="2"/>
      <w:sz w:val="18"/>
      <w:szCs w:val="18"/>
    </w:rPr>
  </w:style>
  <w:style w:type="paragraph" w:customStyle="1" w:styleId="UserStyle0">
    <w:name w:val="UserStyle_0"/>
    <w:basedOn w:val="a"/>
    <w:qFormat/>
    <w:pPr>
      <w:autoSpaceDE w:val="0"/>
      <w:autoSpaceDN w:val="0"/>
      <w:spacing w:after="160" w:line="278" w:lineRule="auto"/>
      <w:ind w:firstLineChars="200" w:firstLine="200"/>
      <w:jc w:val="left"/>
    </w:pPr>
    <w:rPr>
      <w:rFonts w:ascii="Calibri" w:eastAsia="宋体" w:hAnsi="Calibri" w:cs="Times New Roman"/>
      <w:color w:val="000000"/>
      <w:kern w:val="0"/>
      <w:sz w:val="22"/>
      <w:szCs w:val="21"/>
      <w:lang w:val="zh-CN" w:bidi="zh-CN"/>
    </w:rPr>
  </w:style>
  <w:style w:type="character" w:customStyle="1" w:styleId="Bodytext1">
    <w:name w:val="Body text|1_"/>
    <w:link w:val="Bodytext10"/>
    <w:qFormat/>
    <w:rPr>
      <w:rFonts w:ascii="宋体" w:hAnsi="宋体" w:cs="宋体"/>
      <w:sz w:val="30"/>
      <w:szCs w:val="30"/>
      <w:lang w:val="zh-TW" w:eastAsia="zh-TW" w:bidi="zh-TW"/>
    </w:rPr>
  </w:style>
  <w:style w:type="paragraph" w:customStyle="1" w:styleId="Bodytext10">
    <w:name w:val="Body text|1"/>
    <w:basedOn w:val="a"/>
    <w:link w:val="Bodytext1"/>
    <w:qFormat/>
    <w:pPr>
      <w:spacing w:line="408" w:lineRule="auto"/>
      <w:ind w:firstLine="400"/>
      <w:jc w:val="left"/>
    </w:pPr>
    <w:rPr>
      <w:rFonts w:ascii="宋体" w:hAnsi="宋体" w:cs="宋体"/>
      <w:kern w:val="0"/>
      <w:sz w:val="30"/>
      <w:szCs w:val="30"/>
      <w:lang w:val="zh-TW" w:eastAsia="zh-TW" w:bidi="zh-TW"/>
    </w:rPr>
  </w:style>
  <w:style w:type="character" w:customStyle="1" w:styleId="Char4">
    <w:name w:val="批注框文本 Char"/>
    <w:basedOn w:val="a0"/>
    <w:link w:val="aa"/>
    <w:uiPriority w:val="99"/>
    <w:qFormat/>
    <w:rPr>
      <w:kern w:val="2"/>
      <w:sz w:val="18"/>
      <w:szCs w:val="18"/>
    </w:rPr>
  </w:style>
  <w:style w:type="character" w:customStyle="1" w:styleId="Char">
    <w:name w:val="批注文字 Char"/>
    <w:basedOn w:val="a0"/>
    <w:link w:val="a5"/>
    <w:uiPriority w:val="99"/>
    <w:qFormat/>
    <w:rPr>
      <w:rFonts w:ascii="Calibri" w:eastAsia="宋体" w:hAnsi="Calibri" w:cs="宋体"/>
      <w:kern w:val="2"/>
      <w:sz w:val="21"/>
      <w:szCs w:val="22"/>
    </w:rPr>
  </w:style>
  <w:style w:type="character" w:customStyle="1" w:styleId="Char3">
    <w:name w:val="日期 Char"/>
    <w:basedOn w:val="a0"/>
    <w:link w:val="a9"/>
    <w:qFormat/>
    <w:rPr>
      <w:kern w:val="2"/>
      <w:sz w:val="21"/>
      <w:szCs w:val="24"/>
    </w:rPr>
  </w:style>
  <w:style w:type="character" w:customStyle="1" w:styleId="1Char">
    <w:name w:val="标题 1 Char"/>
    <w:basedOn w:val="a0"/>
    <w:link w:val="1"/>
    <w:qFormat/>
    <w:rPr>
      <w:rFonts w:ascii="宋体" w:eastAsia="宋体" w:hAnsi="宋体"/>
      <w:b/>
      <w:kern w:val="44"/>
      <w:sz w:val="48"/>
      <w:szCs w:val="48"/>
    </w:rPr>
  </w:style>
  <w:style w:type="paragraph" w:styleId="af6">
    <w:name w:val="List Paragraph"/>
    <w:basedOn w:val="a"/>
    <w:uiPriority w:val="99"/>
    <w:unhideWhenUsed/>
    <w:qFormat/>
    <w:pPr>
      <w:ind w:firstLineChars="200" w:firstLine="420"/>
    </w:pPr>
  </w:style>
  <w:style w:type="character" w:customStyle="1" w:styleId="Char2">
    <w:name w:val="纯文本 Char"/>
    <w:basedOn w:val="a0"/>
    <w:link w:val="a8"/>
    <w:qFormat/>
    <w:rPr>
      <w:rFonts w:ascii="方正仿宋_GBK" w:eastAsia="方正仿宋_GBK" w:hAnsi="Courier New" w:cs="Times New Roman"/>
      <w:w w:val="98"/>
      <w:kern w:val="2"/>
      <w:sz w:val="32"/>
      <w:szCs w:val="32"/>
    </w:rPr>
  </w:style>
  <w:style w:type="character" w:customStyle="1" w:styleId="Char0">
    <w:name w:val="正文文本 Char"/>
    <w:basedOn w:val="a0"/>
    <w:link w:val="a6"/>
    <w:uiPriority w:val="1"/>
    <w:qFormat/>
    <w:rPr>
      <w:kern w:val="2"/>
      <w:sz w:val="21"/>
      <w:szCs w:val="24"/>
    </w:rPr>
  </w:style>
  <w:style w:type="character" w:customStyle="1" w:styleId="Chara">
    <w:name w:val="正文首行缩进 Char"/>
    <w:basedOn w:val="Char0"/>
    <w:link w:val="af1"/>
    <w:qFormat/>
    <w:rPr>
      <w:rFonts w:ascii="Times New Roman" w:eastAsia="宋体" w:hAnsi="Times New Roman" w:cs="Times New Roman"/>
      <w:kern w:val="2"/>
      <w:sz w:val="21"/>
      <w:szCs w:val="24"/>
    </w:rPr>
  </w:style>
  <w:style w:type="character" w:customStyle="1" w:styleId="HTMLChar">
    <w:name w:val="HTML 预设格式 Char"/>
    <w:basedOn w:val="a0"/>
    <w:link w:val="HTML"/>
    <w:uiPriority w:val="99"/>
    <w:qFormat/>
    <w:rPr>
      <w:rFonts w:ascii="宋体" w:eastAsia="宋体" w:hAnsi="宋体" w:cs="宋体"/>
      <w:sz w:val="24"/>
      <w:szCs w:val="24"/>
    </w:rPr>
  </w:style>
  <w:style w:type="character" w:customStyle="1" w:styleId="Char9">
    <w:name w:val="批注主题 Char"/>
    <w:basedOn w:val="Char"/>
    <w:link w:val="af0"/>
    <w:uiPriority w:val="99"/>
    <w:qFormat/>
    <w:rPr>
      <w:rFonts w:ascii="Times New Roman" w:eastAsia="方正仿宋_GBK" w:hAnsi="Times New Roman" w:cs="Times New Roman"/>
      <w:b/>
      <w:bCs/>
      <w:kern w:val="2"/>
      <w:sz w:val="32"/>
      <w:szCs w:val="22"/>
    </w:rPr>
  </w:style>
  <w:style w:type="paragraph" w:customStyle="1" w:styleId="Charb">
    <w:name w:val="Char"/>
    <w:basedOn w:val="a"/>
    <w:qFormat/>
    <w:rPr>
      <w:rFonts w:ascii="Tahoma" w:eastAsia="仿宋_GB2312" w:hAnsi="Tahoma" w:cs="Times New Roman"/>
      <w:sz w:val="24"/>
      <w:szCs w:val="20"/>
    </w:rPr>
  </w:style>
  <w:style w:type="table" w:customStyle="1" w:styleId="10">
    <w:name w:val="网格型1"/>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11">
    <w:name w:val="font11"/>
    <w:basedOn w:val="a0"/>
    <w:qFormat/>
    <w:rPr>
      <w:rFonts w:ascii="方正黑体_GBK" w:eastAsia="方正黑体_GBK" w:hAnsi="方正黑体_GBK" w:cs="方正黑体_GBK" w:hint="eastAsia"/>
      <w:color w:val="000000"/>
      <w:sz w:val="32"/>
      <w:szCs w:val="32"/>
      <w:u w:val="none"/>
    </w:rPr>
  </w:style>
  <w:style w:type="character" w:customStyle="1" w:styleId="font71">
    <w:name w:val="font71"/>
    <w:basedOn w:val="a0"/>
    <w:qFormat/>
    <w:rPr>
      <w:rFonts w:ascii="方正黑体_GBK" w:eastAsia="方正黑体_GBK" w:hAnsi="方正黑体_GBK" w:cs="方正黑体_GBK" w:hint="eastAsia"/>
      <w:color w:val="000000"/>
      <w:sz w:val="22"/>
      <w:szCs w:val="22"/>
      <w:u w:val="none"/>
    </w:rPr>
  </w:style>
  <w:style w:type="character" w:customStyle="1" w:styleId="font41">
    <w:name w:val="font41"/>
    <w:basedOn w:val="a0"/>
    <w:qFormat/>
    <w:rPr>
      <w:rFonts w:ascii="方正仿宋_GBK" w:eastAsia="方正仿宋_GBK" w:hAnsi="方正仿宋_GBK" w:cs="方正仿宋_GBK" w:hint="eastAsia"/>
      <w:color w:val="000000"/>
      <w:sz w:val="22"/>
      <w:szCs w:val="22"/>
      <w:u w:val="none"/>
    </w:rPr>
  </w:style>
  <w:style w:type="character" w:customStyle="1" w:styleId="font81">
    <w:name w:val="font81"/>
    <w:basedOn w:val="a0"/>
    <w:qFormat/>
    <w:rPr>
      <w:rFonts w:ascii="方正仿宋_GBK" w:eastAsia="方正仿宋_GBK" w:hAnsi="方正仿宋_GBK" w:cs="方正仿宋_GBK" w:hint="eastAsia"/>
      <w:color w:val="000000"/>
      <w:sz w:val="20"/>
      <w:szCs w:val="20"/>
      <w:u w:val="none"/>
    </w:rPr>
  </w:style>
  <w:style w:type="character" w:customStyle="1" w:styleId="font51">
    <w:name w:val="font51"/>
    <w:basedOn w:val="a0"/>
    <w:qFormat/>
    <w:rPr>
      <w:rFonts w:ascii="宋体" w:eastAsia="宋体" w:hAnsi="宋体" w:cs="宋体"/>
      <w:color w:val="000000"/>
      <w:sz w:val="28"/>
      <w:szCs w:val="28"/>
      <w:u w:val="none"/>
    </w:rPr>
  </w:style>
  <w:style w:type="paragraph" w:customStyle="1" w:styleId="af7">
    <w:name w:val="默认"/>
    <w:qFormat/>
    <w:rPr>
      <w:rFonts w:ascii="Helvetica" w:eastAsia="Helvetica" w:hAnsi="Helvetica" w:cs="Helvetica"/>
      <w:color w:val="000000"/>
      <w:sz w:val="22"/>
      <w:szCs w:val="22"/>
    </w:rPr>
  </w:style>
  <w:style w:type="paragraph" w:customStyle="1" w:styleId="Style13">
    <w:name w:val="_Style 13"/>
    <w:basedOn w:val="a"/>
    <w:qFormat/>
    <w:rPr>
      <w:rFonts w:ascii="宋体" w:eastAsia="宋体" w:hAnsi="宋体" w:cs="Courier New"/>
      <w:sz w:val="32"/>
      <w:szCs w:val="32"/>
    </w:rPr>
  </w:style>
  <w:style w:type="character" w:customStyle="1" w:styleId="bjh-p">
    <w:name w:val="bjh-p"/>
    <w:basedOn w:val="a0"/>
    <w:qFormat/>
  </w:style>
  <w:style w:type="character" w:customStyle="1" w:styleId="NormalCharacter">
    <w:name w:val="NormalCharacter"/>
    <w:qFormat/>
  </w:style>
  <w:style w:type="paragraph" w:customStyle="1" w:styleId="BodyText">
    <w:name w:val="BodyText"/>
    <w:basedOn w:val="a"/>
    <w:qFormat/>
    <w:rPr>
      <w:rFonts w:ascii="Times New Roman" w:eastAsia="宋体" w:hAnsi="Times New Roman" w:cs="Times New Roman"/>
      <w:sz w:val="52"/>
    </w:rPr>
  </w:style>
  <w:style w:type="character" w:customStyle="1" w:styleId="2Char">
    <w:name w:val="标题 2 Char"/>
    <w:basedOn w:val="a0"/>
    <w:link w:val="2"/>
    <w:semiHidden/>
    <w:qFormat/>
    <w:rPr>
      <w:rFonts w:asciiTheme="majorHAnsi" w:eastAsiaTheme="majorEastAsia" w:hAnsiTheme="majorHAnsi" w:cstheme="majorBidi"/>
      <w:b/>
      <w:bCs/>
      <w:kern w:val="2"/>
      <w:sz w:val="32"/>
      <w:szCs w:val="32"/>
    </w:rPr>
  </w:style>
  <w:style w:type="paragraph" w:customStyle="1" w:styleId="NormalIndent1">
    <w:name w:val="Normal Indent1"/>
    <w:basedOn w:val="a"/>
    <w:qFormat/>
    <w:pPr>
      <w:ind w:firstLine="420"/>
    </w:pPr>
    <w:rPr>
      <w:szCs w:val="22"/>
    </w:rPr>
  </w:style>
  <w:style w:type="character" w:customStyle="1" w:styleId="Char8">
    <w:name w:val="标题 Char"/>
    <w:basedOn w:val="a0"/>
    <w:link w:val="af"/>
    <w:qFormat/>
    <w:rPr>
      <w:rFonts w:ascii="Cambria" w:eastAsia="宋体" w:hAnsi="Cambria" w:cs="Times New Roman"/>
      <w:b/>
      <w:bCs/>
      <w:kern w:val="2"/>
      <w:sz w:val="32"/>
      <w:szCs w:val="32"/>
    </w:rPr>
  </w:style>
  <w:style w:type="character" w:customStyle="1" w:styleId="fontstyle01">
    <w:name w:val="fontstyle01"/>
    <w:qFormat/>
    <w:rPr>
      <w:rFonts w:ascii="黑体" w:eastAsia="黑体" w:hAnsi="黑体" w:hint="eastAsia"/>
      <w:color w:val="000000"/>
      <w:sz w:val="18"/>
      <w:szCs w:val="18"/>
    </w:rPr>
  </w:style>
  <w:style w:type="character" w:customStyle="1" w:styleId="Char7">
    <w:name w:val="脚注文本 Char"/>
    <w:basedOn w:val="a0"/>
    <w:link w:val="ad"/>
    <w:uiPriority w:val="99"/>
    <w:qFormat/>
    <w:rPr>
      <w:rFonts w:ascii="Times New Roman" w:eastAsia="宋体" w:hAnsi="Times New Roman" w:cs="Times New Roman"/>
      <w:kern w:val="2"/>
      <w:sz w:val="18"/>
      <w:szCs w:val="18"/>
    </w:rPr>
  </w:style>
  <w:style w:type="character" w:customStyle="1" w:styleId="Char1">
    <w:name w:val="正文文本缩进 Char"/>
    <w:basedOn w:val="a0"/>
    <w:link w:val="a7"/>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440</Words>
  <Characters>2509</Characters>
  <Application>Microsoft Office Word</Application>
  <DocSecurity>0</DocSecurity>
  <Lines>20</Lines>
  <Paragraphs>5</Paragraphs>
  <ScaleCrop>false</ScaleCrop>
  <Company>Microsoft</Company>
  <LinksUpToDate>false</LinksUpToDate>
  <CharactersWithSpaces>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风筝断了线</dc:creator>
  <cp:lastModifiedBy>bear</cp:lastModifiedBy>
  <cp:revision>353</cp:revision>
  <cp:lastPrinted>2026-03-20T15:35:00Z</cp:lastPrinted>
  <dcterms:created xsi:type="dcterms:W3CDTF">2024-02-04T16:58:00Z</dcterms:created>
  <dcterms:modified xsi:type="dcterms:W3CDTF">2026-05-07T02:19:00Z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C5AE0F298FD6FB09F81BE8648795229F_41</vt:lpwstr>
  </property>
</Properties>
</file>