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B924C" w14:textId="616D0DD8" w:rsidR="0006137D" w:rsidRDefault="00000000" w:rsidP="003D7D62">
      <w:pPr>
        <w:pStyle w:val="a7"/>
        <w:spacing w:before="0" w:beforeAutospacing="0" w:after="0" w:afterAutospacing="0" w:line="600" w:lineRule="exact"/>
        <w:jc w:val="center"/>
        <w:rPr>
          <w:rFonts w:ascii="方正小标宋_GBK" w:eastAsia="方正小标宋_GBK" w:hAnsi="方正小标宋_GBK" w:cs="方正小标宋_GBK" w:hint="default"/>
          <w:sz w:val="40"/>
          <w:szCs w:val="40"/>
          <w:shd w:val="clear" w:color="auto" w:fill="FFFFFF"/>
        </w:rPr>
      </w:pPr>
      <w:r>
        <w:rPr>
          <w:rFonts w:ascii="方正小标宋_GBK" w:eastAsia="方正小标宋_GBK" w:hAnsi="方正小标宋_GBK" w:cs="方正小标宋_GBK"/>
          <w:sz w:val="40"/>
          <w:szCs w:val="40"/>
        </w:rPr>
        <w:t>重庆高新技术产业开发区管理委员会生态环境局</w:t>
      </w:r>
      <w:r>
        <w:rPr>
          <w:rFonts w:ascii="方正小标宋_GBK" w:eastAsia="方正小标宋_GBK" w:hAnsi="方正小标宋_GBK" w:cs="方正小标宋_GBK"/>
          <w:sz w:val="40"/>
          <w:szCs w:val="40"/>
          <w:shd w:val="clear" w:color="auto" w:fill="FFFFFF"/>
        </w:rPr>
        <w:t>2023年度</w:t>
      </w:r>
      <w:r w:rsidR="003D7D62">
        <w:rPr>
          <w:rFonts w:ascii="方正小标宋_GBK" w:eastAsia="方正小标宋_GBK" w:hAnsi="方正小标宋_GBK" w:cs="方正小标宋_GBK"/>
          <w:sz w:val="40"/>
          <w:szCs w:val="40"/>
          <w:shd w:val="clear" w:color="auto" w:fill="FFFFFF"/>
        </w:rPr>
        <w:t>部门</w:t>
      </w:r>
      <w:r>
        <w:rPr>
          <w:rFonts w:ascii="方正小标宋_GBK" w:eastAsia="方正小标宋_GBK" w:hAnsi="方正小标宋_GBK" w:cs="方正小标宋_GBK"/>
          <w:sz w:val="40"/>
          <w:szCs w:val="40"/>
          <w:shd w:val="clear" w:color="auto" w:fill="FFFFFF"/>
        </w:rPr>
        <w:t>决算公开说明</w:t>
      </w:r>
    </w:p>
    <w:p w14:paraId="5AA8681E" w14:textId="77777777" w:rsidR="0006137D" w:rsidRDefault="00000000">
      <w:pPr>
        <w:pStyle w:val="a7"/>
        <w:widowControl w:val="0"/>
        <w:shd w:val="clear" w:color="auto" w:fill="FFFFFF"/>
        <w:spacing w:beforeAutospacing="0" w:after="0" w:afterAutospacing="0" w:line="600" w:lineRule="exact"/>
        <w:ind w:firstLineChars="200" w:firstLine="643"/>
        <w:rPr>
          <w:rFonts w:ascii="黑体" w:eastAsia="黑体" w:hAnsi="黑体" w:cs="黑体" w:hint="default"/>
          <w:sz w:val="32"/>
          <w:szCs w:val="32"/>
        </w:rPr>
      </w:pPr>
      <w:r>
        <w:rPr>
          <w:rStyle w:val="a9"/>
          <w:rFonts w:ascii="黑体" w:eastAsia="黑体" w:hAnsi="黑体" w:cs="黑体"/>
          <w:sz w:val="32"/>
          <w:szCs w:val="32"/>
          <w:shd w:val="clear" w:color="auto" w:fill="FFFFFF"/>
        </w:rPr>
        <w:t>一、部门基本情况</w:t>
      </w:r>
    </w:p>
    <w:p w14:paraId="09AF2024" w14:textId="77777777" w:rsidR="0006137D" w:rsidRDefault="00000000">
      <w:pPr>
        <w:pStyle w:val="a7"/>
        <w:widowControl w:val="0"/>
        <w:shd w:val="clear" w:color="auto" w:fill="FFFFFF"/>
        <w:spacing w:beforeAutospacing="0" w:after="0" w:afterAutospacing="0" w:line="600" w:lineRule="exact"/>
        <w:ind w:firstLineChars="200" w:firstLine="643"/>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14:paraId="1E70C55E" w14:textId="77777777" w:rsidR="0006137D" w:rsidRDefault="00000000">
      <w:pPr>
        <w:pStyle w:val="a7"/>
        <w:widowControl w:val="0"/>
        <w:shd w:val="clear" w:color="auto" w:fill="FFFFFF"/>
        <w:spacing w:beforeAutospacing="0" w:after="0" w:afterAutospacing="0" w:line="600" w:lineRule="exact"/>
        <w:ind w:firstLineChars="200" w:firstLine="640"/>
        <w:rPr>
          <w:rStyle w:val="a9"/>
          <w:rFonts w:ascii="方正仿宋_GBK" w:eastAsia="方正仿宋_GBK" w:hAnsi="方正仿宋_GBK" w:cs="方正仿宋_GBK" w:hint="default"/>
          <w:b w:val="0"/>
          <w:bCs/>
          <w:sz w:val="32"/>
          <w:szCs w:val="32"/>
          <w:shd w:val="clear" w:color="auto" w:fill="FFFFFF"/>
        </w:rPr>
      </w:pPr>
      <w:r>
        <w:rPr>
          <w:rStyle w:val="a9"/>
          <w:rFonts w:ascii="方正仿宋_GBK" w:eastAsia="方正仿宋_GBK" w:hAnsi="方正仿宋_GBK" w:cs="方正仿宋_GBK"/>
          <w:b w:val="0"/>
          <w:bCs/>
          <w:sz w:val="32"/>
          <w:szCs w:val="32"/>
          <w:shd w:val="clear" w:color="auto" w:fill="FFFFFF"/>
        </w:rPr>
        <w:t>负责生态环境保护工作，承担减排目标落实、环境污染防治、核与辐射监督管理、生态保护修复、生态环境准入和监测、应对气候变化，水利等工作。</w:t>
      </w:r>
    </w:p>
    <w:p w14:paraId="67507B24" w14:textId="77777777" w:rsidR="0006137D" w:rsidRDefault="00000000">
      <w:pPr>
        <w:pStyle w:val="a7"/>
        <w:widowControl w:val="0"/>
        <w:shd w:val="clear" w:color="auto" w:fill="FFFFFF"/>
        <w:spacing w:beforeAutospacing="0" w:after="0" w:afterAutospacing="0" w:line="600" w:lineRule="exact"/>
        <w:ind w:firstLineChars="200" w:firstLine="643"/>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14:paraId="159105AC" w14:textId="77777777" w:rsidR="0006137D" w:rsidRDefault="00000000">
      <w:pPr>
        <w:pStyle w:val="a7"/>
        <w:widowControl w:val="0"/>
        <w:shd w:val="clear" w:color="auto" w:fill="FFFFFF"/>
        <w:spacing w:beforeAutospacing="0" w:after="0" w:afterAutospacing="0" w:line="600" w:lineRule="exact"/>
        <w:ind w:firstLineChars="200" w:firstLine="640"/>
        <w:rPr>
          <w:rStyle w:val="a9"/>
          <w:rFonts w:ascii="方正仿宋_GBK" w:eastAsia="方正仿宋_GBK" w:hAnsi="方正仿宋_GBK" w:cs="方正仿宋_GBK" w:hint="default"/>
          <w:b w:val="0"/>
          <w:bCs/>
          <w:sz w:val="32"/>
          <w:szCs w:val="32"/>
          <w:shd w:val="clear" w:color="auto" w:fill="FFFFFF"/>
        </w:rPr>
      </w:pPr>
      <w:r>
        <w:rPr>
          <w:rStyle w:val="a9"/>
          <w:rFonts w:ascii="方正仿宋_GBK" w:eastAsia="方正仿宋_GBK" w:hAnsi="方正仿宋_GBK" w:cs="方正仿宋_GBK"/>
          <w:b w:val="0"/>
          <w:bCs/>
          <w:sz w:val="32"/>
          <w:szCs w:val="32"/>
          <w:shd w:val="clear" w:color="auto" w:fill="FFFFFF"/>
        </w:rPr>
        <w:t>1.综合科。负责文电、档案、后勤等日常协调、运转工作，</w:t>
      </w:r>
      <w:proofErr w:type="gramStart"/>
      <w:r>
        <w:rPr>
          <w:rStyle w:val="a9"/>
          <w:rFonts w:ascii="方正仿宋_GBK" w:eastAsia="方正仿宋_GBK" w:hAnsi="方正仿宋_GBK" w:cs="方正仿宋_GBK"/>
          <w:b w:val="0"/>
          <w:bCs/>
          <w:sz w:val="32"/>
          <w:szCs w:val="32"/>
          <w:shd w:val="clear" w:color="auto" w:fill="FFFFFF"/>
        </w:rPr>
        <w:t>承担党</w:t>
      </w:r>
      <w:proofErr w:type="gramEnd"/>
      <w:r>
        <w:rPr>
          <w:rStyle w:val="a9"/>
          <w:rFonts w:ascii="方正仿宋_GBK" w:eastAsia="方正仿宋_GBK" w:hAnsi="方正仿宋_GBK" w:cs="方正仿宋_GBK"/>
          <w:b w:val="0"/>
          <w:bCs/>
          <w:sz w:val="32"/>
          <w:szCs w:val="32"/>
          <w:shd w:val="clear" w:color="auto" w:fill="FFFFFF"/>
        </w:rPr>
        <w:t>的建设、督查督办、人事管理和考核、资金和财务管理、生态环境保护宣传教育及科普等工作。</w:t>
      </w:r>
    </w:p>
    <w:p w14:paraId="7793590B" w14:textId="77777777" w:rsidR="0006137D" w:rsidRDefault="00000000">
      <w:pPr>
        <w:pStyle w:val="a7"/>
        <w:widowControl w:val="0"/>
        <w:shd w:val="clear" w:color="auto" w:fill="FFFFFF"/>
        <w:spacing w:beforeAutospacing="0" w:after="0" w:afterAutospacing="0" w:line="600" w:lineRule="exact"/>
        <w:ind w:firstLineChars="200" w:firstLine="640"/>
        <w:rPr>
          <w:rStyle w:val="a9"/>
          <w:rFonts w:ascii="方正仿宋_GBK" w:eastAsia="方正仿宋_GBK" w:hAnsi="方正仿宋_GBK" w:cs="方正仿宋_GBK" w:hint="default"/>
          <w:b w:val="0"/>
          <w:bCs/>
          <w:sz w:val="32"/>
          <w:szCs w:val="32"/>
          <w:shd w:val="clear" w:color="auto" w:fill="FFFFFF"/>
        </w:rPr>
      </w:pPr>
      <w:r>
        <w:rPr>
          <w:rStyle w:val="a9"/>
          <w:rFonts w:ascii="方正仿宋_GBK" w:eastAsia="方正仿宋_GBK" w:hAnsi="方正仿宋_GBK" w:cs="方正仿宋_GBK"/>
          <w:b w:val="0"/>
          <w:bCs/>
          <w:sz w:val="32"/>
          <w:szCs w:val="32"/>
          <w:shd w:val="clear" w:color="auto" w:fill="FFFFFF"/>
        </w:rPr>
        <w:t>2.环境综合管理科。负责生态环境保护综合性规划、生态环保督察、生态文明体制改革、生态环境科技发展、环境安全和应急、生态环境损害赔偿等工作。</w:t>
      </w:r>
    </w:p>
    <w:p w14:paraId="6ACBF8B9" w14:textId="77777777" w:rsidR="0006137D" w:rsidRDefault="00000000">
      <w:pPr>
        <w:pStyle w:val="a7"/>
        <w:widowControl w:val="0"/>
        <w:shd w:val="clear" w:color="auto" w:fill="FFFFFF"/>
        <w:spacing w:beforeAutospacing="0" w:after="0" w:afterAutospacing="0" w:line="600" w:lineRule="exact"/>
        <w:ind w:firstLineChars="200" w:firstLine="640"/>
        <w:rPr>
          <w:rStyle w:val="a9"/>
          <w:rFonts w:ascii="方正仿宋_GBK" w:eastAsia="方正仿宋_GBK" w:hAnsi="方正仿宋_GBK" w:cs="方正仿宋_GBK" w:hint="default"/>
          <w:b w:val="0"/>
          <w:bCs/>
          <w:sz w:val="32"/>
          <w:szCs w:val="32"/>
          <w:shd w:val="clear" w:color="auto" w:fill="FFFFFF"/>
        </w:rPr>
      </w:pPr>
      <w:r>
        <w:rPr>
          <w:rStyle w:val="a9"/>
          <w:rFonts w:ascii="方正仿宋_GBK" w:eastAsia="方正仿宋_GBK" w:hAnsi="方正仿宋_GBK" w:cs="方正仿宋_GBK"/>
          <w:b w:val="0"/>
          <w:bCs/>
          <w:sz w:val="32"/>
          <w:szCs w:val="32"/>
          <w:shd w:val="clear" w:color="auto" w:fill="FFFFFF"/>
        </w:rPr>
        <w:t>3.水环境管理科。负责水环境、土壤环境管理，固体废物、化学品及重金属等污染防治工作，承担高</w:t>
      </w:r>
      <w:proofErr w:type="gramStart"/>
      <w:r>
        <w:rPr>
          <w:rStyle w:val="a9"/>
          <w:rFonts w:ascii="方正仿宋_GBK" w:eastAsia="方正仿宋_GBK" w:hAnsi="方正仿宋_GBK" w:cs="方正仿宋_GBK"/>
          <w:b w:val="0"/>
          <w:bCs/>
          <w:sz w:val="32"/>
          <w:szCs w:val="32"/>
          <w:shd w:val="clear" w:color="auto" w:fill="FFFFFF"/>
        </w:rPr>
        <w:t>新区河</w:t>
      </w:r>
      <w:proofErr w:type="gramEnd"/>
      <w:r>
        <w:rPr>
          <w:rStyle w:val="a9"/>
          <w:rFonts w:ascii="方正仿宋_GBK" w:eastAsia="方正仿宋_GBK" w:hAnsi="方正仿宋_GBK" w:cs="方正仿宋_GBK"/>
          <w:b w:val="0"/>
          <w:bCs/>
          <w:sz w:val="32"/>
          <w:szCs w:val="32"/>
          <w:shd w:val="clear" w:color="auto" w:fill="FFFFFF"/>
        </w:rPr>
        <w:t>长办公室日常工作。</w:t>
      </w:r>
    </w:p>
    <w:p w14:paraId="2E11C99E" w14:textId="77777777" w:rsidR="0006137D" w:rsidRDefault="00000000">
      <w:pPr>
        <w:pStyle w:val="a7"/>
        <w:widowControl w:val="0"/>
        <w:shd w:val="clear" w:color="auto" w:fill="FFFFFF"/>
        <w:spacing w:beforeAutospacing="0" w:after="0" w:afterAutospacing="0" w:line="600" w:lineRule="exact"/>
        <w:ind w:firstLineChars="200" w:firstLine="640"/>
        <w:rPr>
          <w:rStyle w:val="a9"/>
          <w:rFonts w:ascii="方正仿宋_GBK" w:eastAsia="方正仿宋_GBK" w:hAnsi="方正仿宋_GBK" w:cs="方正仿宋_GBK" w:hint="default"/>
          <w:b w:val="0"/>
          <w:bCs/>
          <w:sz w:val="32"/>
          <w:szCs w:val="32"/>
          <w:shd w:val="clear" w:color="auto" w:fill="FFFFFF"/>
        </w:rPr>
      </w:pPr>
      <w:r>
        <w:rPr>
          <w:rStyle w:val="a9"/>
          <w:rFonts w:ascii="方正仿宋_GBK" w:eastAsia="方正仿宋_GBK" w:hAnsi="方正仿宋_GBK" w:cs="方正仿宋_GBK"/>
          <w:b w:val="0"/>
          <w:bCs/>
          <w:sz w:val="32"/>
          <w:szCs w:val="32"/>
          <w:shd w:val="clear" w:color="auto" w:fill="FFFFFF"/>
        </w:rPr>
        <w:t>4.大气环境管理科。负责大气、机动车、噪声、光、恶臭等污染防治的监督管理。负责核与辐射安全的监督管理，承担大</w:t>
      </w:r>
      <w:r>
        <w:rPr>
          <w:rStyle w:val="a9"/>
          <w:rFonts w:ascii="方正仿宋_GBK" w:eastAsia="方正仿宋_GBK" w:hAnsi="方正仿宋_GBK" w:cs="方正仿宋_GBK"/>
          <w:b w:val="0"/>
          <w:bCs/>
          <w:sz w:val="32"/>
          <w:szCs w:val="32"/>
          <w:shd w:val="clear" w:color="auto" w:fill="FFFFFF"/>
        </w:rPr>
        <w:lastRenderedPageBreak/>
        <w:t>气重污染天气应急相关工作。</w:t>
      </w:r>
    </w:p>
    <w:p w14:paraId="7B708856" w14:textId="77777777" w:rsidR="0006137D" w:rsidRDefault="00000000">
      <w:pPr>
        <w:pStyle w:val="a7"/>
        <w:widowControl w:val="0"/>
        <w:shd w:val="clear" w:color="auto" w:fill="FFFFFF"/>
        <w:spacing w:beforeAutospacing="0" w:after="0" w:afterAutospacing="0" w:line="600" w:lineRule="exact"/>
        <w:ind w:firstLineChars="200" w:firstLine="640"/>
        <w:rPr>
          <w:rStyle w:val="a9"/>
          <w:rFonts w:ascii="方正仿宋_GBK" w:eastAsia="方正仿宋_GBK" w:hAnsi="方正仿宋_GBK" w:cs="方正仿宋_GBK" w:hint="default"/>
          <w:b w:val="0"/>
          <w:bCs/>
          <w:sz w:val="32"/>
          <w:szCs w:val="32"/>
          <w:shd w:val="clear" w:color="auto" w:fill="FFFFFF"/>
        </w:rPr>
      </w:pPr>
      <w:r>
        <w:rPr>
          <w:rStyle w:val="a9"/>
          <w:rFonts w:ascii="方正仿宋_GBK" w:eastAsia="方正仿宋_GBK" w:hAnsi="方正仿宋_GBK" w:cs="方正仿宋_GBK"/>
          <w:b w:val="0"/>
          <w:bCs/>
          <w:sz w:val="32"/>
          <w:szCs w:val="32"/>
          <w:shd w:val="clear" w:color="auto" w:fill="FFFFFF"/>
        </w:rPr>
        <w:t>5.水资源管理科。负责水资源管理、水资源评价、水资源保护规划、河道管理、调水、节约用水、生态流量水量管理以及水系连通规划工作，负责水土保持监督和水文工作，承担水旱灾害防御工作。</w:t>
      </w:r>
    </w:p>
    <w:p w14:paraId="272B588F" w14:textId="77777777" w:rsidR="0006137D" w:rsidRDefault="00000000">
      <w:pPr>
        <w:pStyle w:val="a7"/>
        <w:widowControl w:val="0"/>
        <w:shd w:val="clear" w:color="auto" w:fill="FFFFFF"/>
        <w:spacing w:beforeAutospacing="0" w:after="0" w:afterAutospacing="0" w:line="600" w:lineRule="exact"/>
        <w:ind w:firstLineChars="200" w:firstLine="640"/>
        <w:rPr>
          <w:rStyle w:val="a9"/>
          <w:rFonts w:ascii="方正仿宋_GBK" w:eastAsia="方正仿宋_GBK" w:hAnsi="方正仿宋_GBK" w:cs="方正仿宋_GBK" w:hint="default"/>
          <w:b w:val="0"/>
          <w:bCs/>
          <w:sz w:val="32"/>
          <w:szCs w:val="32"/>
          <w:shd w:val="clear" w:color="auto" w:fill="FFFFFF"/>
        </w:rPr>
      </w:pPr>
      <w:r>
        <w:rPr>
          <w:rStyle w:val="a9"/>
          <w:rFonts w:ascii="方正仿宋_GBK" w:eastAsia="方正仿宋_GBK" w:hAnsi="方正仿宋_GBK" w:cs="方正仿宋_GBK"/>
          <w:b w:val="0"/>
          <w:bCs/>
          <w:sz w:val="32"/>
          <w:szCs w:val="32"/>
          <w:shd w:val="clear" w:color="auto" w:fill="FFFFFF"/>
        </w:rPr>
        <w:t>6.行政许可服务科。负责生态环境和水利行政许可事项审批服务，负责应对气候变化、污染物总量管控、环保“三同时”管理工作，承担</w:t>
      </w:r>
      <w:proofErr w:type="gramStart"/>
      <w:r>
        <w:rPr>
          <w:rStyle w:val="a9"/>
          <w:rFonts w:ascii="方正仿宋_GBK" w:eastAsia="方正仿宋_GBK" w:hAnsi="方正仿宋_GBK" w:cs="方正仿宋_GBK"/>
          <w:b w:val="0"/>
          <w:bCs/>
          <w:sz w:val="32"/>
          <w:szCs w:val="32"/>
          <w:shd w:val="clear" w:color="auto" w:fill="FFFFFF"/>
        </w:rPr>
        <w:t>政务接件大厅</w:t>
      </w:r>
      <w:proofErr w:type="gramEnd"/>
      <w:r>
        <w:rPr>
          <w:rStyle w:val="a9"/>
          <w:rFonts w:ascii="方正仿宋_GBK" w:eastAsia="方正仿宋_GBK" w:hAnsi="方正仿宋_GBK" w:cs="方正仿宋_GBK"/>
          <w:b w:val="0"/>
          <w:bCs/>
          <w:sz w:val="32"/>
          <w:szCs w:val="32"/>
          <w:shd w:val="clear" w:color="auto" w:fill="FFFFFF"/>
        </w:rPr>
        <w:t>工作。</w:t>
      </w:r>
    </w:p>
    <w:p w14:paraId="44F12F9B" w14:textId="77777777" w:rsidR="0006137D" w:rsidRDefault="00000000">
      <w:pPr>
        <w:pStyle w:val="a7"/>
        <w:widowControl w:val="0"/>
        <w:shd w:val="clear" w:color="auto" w:fill="FFFFFF"/>
        <w:spacing w:beforeAutospacing="0" w:after="0" w:afterAutospacing="0" w:line="600" w:lineRule="exact"/>
        <w:ind w:firstLineChars="200" w:firstLine="640"/>
        <w:rPr>
          <w:rStyle w:val="a9"/>
          <w:rFonts w:ascii="方正仿宋_GBK" w:eastAsia="方正仿宋_GBK" w:hAnsi="方正仿宋_GBK" w:cs="方正仿宋_GBK" w:hint="default"/>
          <w:b w:val="0"/>
          <w:bCs/>
          <w:sz w:val="32"/>
          <w:szCs w:val="32"/>
          <w:shd w:val="clear" w:color="auto" w:fill="FFFFFF"/>
        </w:rPr>
      </w:pPr>
      <w:r>
        <w:rPr>
          <w:rStyle w:val="a9"/>
          <w:rFonts w:ascii="方正仿宋_GBK" w:eastAsia="方正仿宋_GBK" w:hAnsi="方正仿宋_GBK" w:cs="方正仿宋_GBK"/>
          <w:b w:val="0"/>
          <w:bCs/>
          <w:sz w:val="32"/>
          <w:szCs w:val="32"/>
          <w:shd w:val="clear" w:color="auto" w:fill="FFFFFF"/>
        </w:rPr>
        <w:t>7.生态环境监测科（站）。承担区域生态环境质量监测、污染源监督性监测、执法监测、突发环境污染事件应急监测、温室气体监测；负责评估区域生态环境质量并进行预测预警；负责生态环境统计工作。</w:t>
      </w:r>
    </w:p>
    <w:p w14:paraId="73BC15FC" w14:textId="77777777" w:rsidR="0006137D" w:rsidRDefault="00000000">
      <w:pPr>
        <w:pStyle w:val="a7"/>
        <w:widowControl w:val="0"/>
        <w:shd w:val="clear" w:color="auto" w:fill="FFFFFF"/>
        <w:spacing w:beforeAutospacing="0" w:after="0" w:afterAutospacing="0" w:line="600"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二、部门决算情况说明</w:t>
      </w:r>
    </w:p>
    <w:p w14:paraId="11A46C18" w14:textId="77777777" w:rsidR="0006137D" w:rsidRDefault="00000000">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14:paraId="6BD39ED2" w14:textId="77777777" w:rsidR="0006137D" w:rsidRDefault="00000000">
      <w:pPr>
        <w:pStyle w:val="a7"/>
        <w:shd w:val="clear" w:color="auto" w:fill="FFFFFF"/>
        <w:spacing w:beforeAutospacing="0" w:after="0" w:afterAutospacing="0" w:line="600" w:lineRule="exact"/>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2023年度收入总计4471.26万元，支出总计</w:t>
      </w:r>
      <w:r>
        <w:rPr>
          <w:rFonts w:ascii="方正仿宋_GBK" w:eastAsia="方正仿宋_GBK" w:hAnsi="方正仿宋_GBK" w:cs="方正仿宋_GBK"/>
          <w:sz w:val="32"/>
          <w:szCs w:val="32"/>
        </w:rPr>
        <w:t>4471.26</w:t>
      </w:r>
      <w:r>
        <w:rPr>
          <w:rFonts w:ascii="方正仿宋_GBK" w:eastAsia="方正仿宋_GBK" w:hAnsi="方正仿宋_GBK" w:cs="方正仿宋_GBK"/>
          <w:sz w:val="32"/>
          <w:szCs w:val="32"/>
          <w:shd w:val="clear" w:color="auto" w:fill="FFFFFF"/>
        </w:rPr>
        <w:t>万元。收支较上年决算数减少8743.06万元，下降66.16%，主要原因是专项资金减少。</w:t>
      </w:r>
    </w:p>
    <w:p w14:paraId="3080D0C8" w14:textId="77777777"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2023年度收入合计4471.26万元，较上年决算数减少8743.06万元，下降66.16%，主要原因是专项资金减少。其中：财政拨款收入</w:t>
      </w:r>
      <w:r>
        <w:rPr>
          <w:rFonts w:ascii="方正仿宋_GBK" w:eastAsia="方正仿宋_GBK" w:hAnsi="方正仿宋_GBK" w:cs="方正仿宋_GBK"/>
          <w:sz w:val="32"/>
          <w:szCs w:val="32"/>
        </w:rPr>
        <w:t>4471.26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p>
    <w:p w14:paraId="58D6511C" w14:textId="77777777"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4471.26</w:t>
      </w:r>
      <w:r>
        <w:rPr>
          <w:rFonts w:ascii="方正仿宋_GBK" w:eastAsia="方正仿宋_GBK" w:hAnsi="方正仿宋_GBK" w:cs="方正仿宋_GBK"/>
          <w:sz w:val="32"/>
          <w:szCs w:val="32"/>
          <w:shd w:val="clear" w:color="auto" w:fill="FFFFFF"/>
        </w:rPr>
        <w:t>万元，较上年决算数减少8743.06万元，下降66.16%，主要原因是专项资金支出减少。其中：基本支出</w:t>
      </w:r>
      <w:r>
        <w:rPr>
          <w:rFonts w:ascii="方正仿宋_GBK" w:eastAsia="方正仿宋_GBK" w:hAnsi="方正仿宋_GBK" w:cs="方正仿宋_GBK"/>
          <w:sz w:val="32"/>
          <w:szCs w:val="32"/>
        </w:rPr>
        <w:t>788.15</w:t>
      </w:r>
      <w:r>
        <w:rPr>
          <w:rFonts w:ascii="方正仿宋_GBK" w:eastAsia="方正仿宋_GBK" w:hAnsi="方正仿宋_GBK" w:cs="方正仿宋_GBK"/>
          <w:sz w:val="32"/>
          <w:szCs w:val="32"/>
          <w:shd w:val="clear" w:color="auto" w:fill="FFFFFF"/>
        </w:rPr>
        <w:t>万元，占17.63%；项目支出</w:t>
      </w:r>
      <w:r>
        <w:rPr>
          <w:rFonts w:ascii="方正仿宋_GBK" w:eastAsia="方正仿宋_GBK" w:hAnsi="方正仿宋_GBK" w:cs="方正仿宋_GBK"/>
          <w:sz w:val="32"/>
          <w:szCs w:val="32"/>
        </w:rPr>
        <w:t>3683.11</w:t>
      </w:r>
      <w:r>
        <w:rPr>
          <w:rFonts w:ascii="方正仿宋_GBK" w:eastAsia="方正仿宋_GBK" w:hAnsi="方正仿宋_GBK" w:cs="方正仿宋_GBK"/>
          <w:sz w:val="32"/>
          <w:szCs w:val="32"/>
          <w:shd w:val="clear" w:color="auto" w:fill="FFFFFF"/>
        </w:rPr>
        <w:t>万元，占82.37%。</w:t>
      </w:r>
    </w:p>
    <w:p w14:paraId="30F291D0" w14:textId="77777777"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万元，与上年决算数持平。</w:t>
      </w:r>
    </w:p>
    <w:p w14:paraId="64D0AEF4" w14:textId="77777777" w:rsidR="0006137D" w:rsidRDefault="00000000">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14:paraId="34D4B10A" w14:textId="77777777" w:rsidR="0006137D"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2023年度财政拨款收、支总计4471.26万元。与2022年相比，财政拨款收、支总计各减少8743.06万元，下降66.16%。主要原因是专项资金减少。</w:t>
      </w:r>
    </w:p>
    <w:p w14:paraId="5E98A3C6" w14:textId="77777777" w:rsidR="0006137D" w:rsidRDefault="00000000">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14:paraId="20CFC649" w14:textId="77777777"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4471.26</w:t>
      </w:r>
      <w:r>
        <w:rPr>
          <w:rFonts w:ascii="方正仿宋_GBK" w:eastAsia="方正仿宋_GBK" w:hAnsi="方正仿宋_GBK" w:cs="方正仿宋_GBK"/>
          <w:sz w:val="32"/>
          <w:szCs w:val="32"/>
          <w:shd w:val="clear" w:color="auto" w:fill="FFFFFF"/>
        </w:rPr>
        <w:t>万元，较上年决算数减少8743.06万元，下降66.16%。主要原因是专项资金减少。较年初预算数减少5762.64万元，下降56.31%。主要原因是专项资金减少。此外，年初财政拨款结转和结余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5DF6B2D0" w14:textId="77777777"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4471.26</w:t>
      </w:r>
      <w:r>
        <w:rPr>
          <w:rFonts w:ascii="方正仿宋_GBK" w:eastAsia="方正仿宋_GBK" w:hAnsi="方正仿宋_GBK" w:cs="方正仿宋_GBK"/>
          <w:sz w:val="32"/>
          <w:szCs w:val="32"/>
          <w:shd w:val="clear" w:color="auto" w:fill="FFFFFF"/>
        </w:rPr>
        <w:t>万元，较上年决算数减少8743.06万元，下降66.16%。主要原因是专项资金支出减少。较年初预算数减少5762.64万元，下降56.31%。主要原因是专项资金支出减少。</w:t>
      </w:r>
    </w:p>
    <w:p w14:paraId="5C36BCAA" w14:textId="77777777"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万元，与上年决算数持平。</w:t>
      </w:r>
    </w:p>
    <w:p w14:paraId="3AF09D33" w14:textId="77777777"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14:paraId="3BCB8665" w14:textId="77777777" w:rsidR="0006137D"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0.08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%，较年初预算数减少50.04万元，下降99.84%，主要原因是落实“过紧日子”相关要求，严格控制一般性支出。</w:t>
      </w:r>
    </w:p>
    <w:p w14:paraId="09EF9481" w14:textId="77777777" w:rsidR="0006137D"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%，较年初预算数减少11.84万元，下降100.00%，主要原因是项目调整。</w:t>
      </w:r>
    </w:p>
    <w:p w14:paraId="4720DB1A" w14:textId="77777777" w:rsidR="0006137D"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%，较年初预算数减少3.78万元，下降100.00%，主要原因是项目调整。</w:t>
      </w:r>
    </w:p>
    <w:p w14:paraId="52823DCD" w14:textId="77777777" w:rsidR="0006137D"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（4）节能环保支出</w:t>
      </w:r>
      <w:r>
        <w:rPr>
          <w:rFonts w:ascii="方正仿宋_GBK" w:eastAsia="方正仿宋_GBK" w:hAnsi="方正仿宋_GBK" w:cs="方正仿宋_GBK"/>
          <w:sz w:val="32"/>
          <w:szCs w:val="32"/>
        </w:rPr>
        <w:t>3859.33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86.31</w:t>
      </w:r>
      <w:r>
        <w:rPr>
          <w:rFonts w:ascii="方正仿宋_GBK" w:eastAsia="方正仿宋_GBK" w:hAnsi="方正仿宋_GBK" w:cs="方正仿宋_GBK"/>
          <w:sz w:val="32"/>
          <w:szCs w:val="32"/>
          <w:shd w:val="clear" w:color="auto" w:fill="FFFFFF"/>
        </w:rPr>
        <w:t>%，较年初预算数减少1153.39万元，下降23.01%，主要原因是专项资金支出减少。</w:t>
      </w:r>
    </w:p>
    <w:p w14:paraId="6989B4A4" w14:textId="77777777" w:rsidR="0006137D"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（5）农林水支出</w:t>
      </w:r>
      <w:r>
        <w:rPr>
          <w:rFonts w:ascii="方正仿宋_GBK" w:eastAsia="方正仿宋_GBK" w:hAnsi="方正仿宋_GBK" w:cs="方正仿宋_GBK"/>
          <w:sz w:val="32"/>
          <w:szCs w:val="32"/>
        </w:rPr>
        <w:t>611.84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13.68</w:t>
      </w:r>
      <w:r>
        <w:rPr>
          <w:rFonts w:ascii="方正仿宋_GBK" w:eastAsia="方正仿宋_GBK" w:hAnsi="方正仿宋_GBK" w:cs="方正仿宋_GBK"/>
          <w:sz w:val="32"/>
          <w:szCs w:val="32"/>
          <w:shd w:val="clear" w:color="auto" w:fill="FFFFFF"/>
        </w:rPr>
        <w:t>%，较年初预算数减少4534.24万元，下降88.11%，主要原因是专项资金支出减少。</w:t>
      </w:r>
    </w:p>
    <w:p w14:paraId="62E3E93E" w14:textId="77777777" w:rsidR="0006137D"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rPr>
        <w:t>（6）住房保障支出0.00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%，较年初预算数减少9.36万元，下降100.00%，主要原因是项目调整。</w:t>
      </w:r>
    </w:p>
    <w:p w14:paraId="5C77DE6A" w14:textId="77777777" w:rsidR="0006137D" w:rsidRDefault="00000000">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14:paraId="7D9C821D" w14:textId="3E24DBAC" w:rsidR="0006137D"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2023年度一般公共预算财政拨款基本支出</w:t>
      </w:r>
      <w:r>
        <w:rPr>
          <w:rFonts w:ascii="方正仿宋_GBK" w:eastAsia="方正仿宋_GBK" w:hAnsi="方正仿宋_GBK" w:cs="方正仿宋_GBK"/>
          <w:sz w:val="32"/>
          <w:szCs w:val="32"/>
        </w:rPr>
        <w:t>788.15</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676.47</w:t>
      </w:r>
      <w:r>
        <w:rPr>
          <w:rFonts w:ascii="方正仿宋_GBK" w:eastAsia="方正仿宋_GBK" w:hAnsi="方正仿宋_GBK" w:cs="方正仿宋_GBK"/>
          <w:sz w:val="32"/>
          <w:szCs w:val="32"/>
          <w:shd w:val="clear" w:color="auto" w:fill="FFFFFF"/>
        </w:rPr>
        <w:t>万元，较上年决算数增加587.33万元，增长658.88%，主要原因是文职人员经费由项目经费纳入人员经费。人员经费用途主要包括基本工资、津贴补贴、奖金、社会保障缴费等支出。公用经费</w:t>
      </w:r>
      <w:r>
        <w:rPr>
          <w:rFonts w:ascii="方正仿宋_GBK" w:eastAsia="方正仿宋_GBK" w:hAnsi="方正仿宋_GBK" w:cs="方正仿宋_GBK"/>
          <w:sz w:val="32"/>
          <w:szCs w:val="32"/>
        </w:rPr>
        <w:t>111.68</w:t>
      </w:r>
      <w:r>
        <w:rPr>
          <w:rFonts w:ascii="方正仿宋_GBK" w:eastAsia="方正仿宋_GBK" w:hAnsi="方正仿宋_GBK" w:cs="方正仿宋_GBK"/>
          <w:sz w:val="32"/>
          <w:szCs w:val="32"/>
          <w:shd w:val="clear" w:color="auto" w:fill="FFFFFF"/>
        </w:rPr>
        <w:t>万元，较上年决算数减少563.40万元，下降83.46%，主要原因是2022年将文职人员薪酬作为劳务费纳入行政运行中决算。公用经费用途主要包括办公费、印刷费、咨询费、手续费等支出。</w:t>
      </w:r>
    </w:p>
    <w:p w14:paraId="78388B2B" w14:textId="77777777" w:rsidR="0006137D" w:rsidRDefault="00000000">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14:paraId="2C3FDB8C" w14:textId="77777777" w:rsidR="0006137D"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本部门2023年度无政府性基金预算财政拨款收支。</w:t>
      </w:r>
    </w:p>
    <w:p w14:paraId="28D64521" w14:textId="77777777" w:rsidR="0006137D" w:rsidRDefault="00000000">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14:paraId="3F26D077" w14:textId="77777777" w:rsidR="0006137D"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本部门2023年度无国有资本经营预算财政拨款支出。</w:t>
      </w:r>
    </w:p>
    <w:p w14:paraId="4F183807" w14:textId="77777777" w:rsidR="0006137D" w:rsidRDefault="00000000">
      <w:pPr>
        <w:pStyle w:val="a7"/>
        <w:shd w:val="clear" w:color="auto" w:fill="FFFFFF"/>
        <w:spacing w:beforeAutospacing="0" w:after="0" w:afterAutospacing="0" w:line="600"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三、“三公”经费情况说明</w:t>
      </w:r>
    </w:p>
    <w:p w14:paraId="6F2A335D" w14:textId="270C3159" w:rsidR="0006137D" w:rsidRDefault="00000000">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14:paraId="41017A49" w14:textId="77777777" w:rsidR="0006137D"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6.54</w:t>
      </w:r>
      <w:r>
        <w:rPr>
          <w:rFonts w:ascii="方正仿宋_GBK" w:eastAsia="方正仿宋_GBK" w:hAnsi="方正仿宋_GBK" w:cs="方正仿宋_GBK"/>
          <w:sz w:val="32"/>
          <w:szCs w:val="32"/>
          <w:shd w:val="clear" w:color="auto" w:fill="FFFFFF"/>
        </w:rPr>
        <w:t>万元，较年初预算数减少2.46万元，下降27.33%，主要原因是落实“过紧日子”相关要求，严格控制“三公”经费支出。较上年支出数减少25.04万元，下降79.29%，主要原因是2023年未发生公务用车购置费用。</w:t>
      </w:r>
    </w:p>
    <w:p w14:paraId="70BD13F7" w14:textId="77777777" w:rsidR="0006137D" w:rsidRDefault="00000000">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14:paraId="20B3D595" w14:textId="0CB02718" w:rsidR="0006137D"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公务车运行维护费</w:t>
      </w:r>
      <w:r>
        <w:rPr>
          <w:rFonts w:ascii="方正仿宋_GBK" w:eastAsia="方正仿宋_GBK" w:hAnsi="方正仿宋_GBK" w:cs="方正仿宋_GBK"/>
          <w:sz w:val="32"/>
          <w:szCs w:val="32"/>
        </w:rPr>
        <w:t>4.99</w:t>
      </w:r>
      <w:r>
        <w:rPr>
          <w:rFonts w:ascii="方正仿宋_GBK" w:eastAsia="方正仿宋_GBK" w:hAnsi="方正仿宋_GBK" w:cs="方正仿宋_GBK"/>
          <w:sz w:val="32"/>
          <w:szCs w:val="32"/>
          <w:shd w:val="clear" w:color="auto" w:fill="FFFFFF"/>
        </w:rPr>
        <w:t>万元，主要用于公务用车维修维护费、燃油费、过路过桥费、保险费等。费用支出较年初预算数减少0.01万元，下降0.20%。较上年支出数增加4.99万元，增长100.00%，主要原因是公务用车2023年投入使用，新增运行维护费用。</w:t>
      </w:r>
    </w:p>
    <w:p w14:paraId="2E156981" w14:textId="5CD875B2" w:rsidR="0006137D"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1.55</w:t>
      </w:r>
      <w:r>
        <w:rPr>
          <w:rFonts w:ascii="方正仿宋_GBK" w:eastAsia="方正仿宋_GBK" w:hAnsi="方正仿宋_GBK" w:cs="方正仿宋_GBK"/>
          <w:sz w:val="32"/>
          <w:szCs w:val="32"/>
          <w:shd w:val="clear" w:color="auto" w:fill="FFFFFF"/>
        </w:rPr>
        <w:t>万元，主要用于接待考察调研、学习交流、招商引资等公务活动。费用支出较年初预算数减少2.45万元，下降61.25%。较上年支出数减少0.03万元，下降1.90%，主要原因是通过削减非必要公务接待、严格控制陪餐人数等措施，降低公务接待费。</w:t>
      </w:r>
    </w:p>
    <w:p w14:paraId="067D526F" w14:textId="77777777" w:rsidR="0006137D" w:rsidRDefault="00000000">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14:paraId="10D01444" w14:textId="5697C751" w:rsidR="0006137D"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9</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97</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159.31</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4.99</w:t>
      </w:r>
      <w:r>
        <w:rPr>
          <w:rFonts w:ascii="方正仿宋_GBK" w:eastAsia="方正仿宋_GBK" w:hAnsi="方正仿宋_GBK" w:cs="方正仿宋_GBK"/>
          <w:sz w:val="32"/>
          <w:szCs w:val="32"/>
          <w:shd w:val="clear" w:color="auto" w:fill="FFFFFF"/>
        </w:rPr>
        <w:t>万元。</w:t>
      </w:r>
    </w:p>
    <w:p w14:paraId="19A62110" w14:textId="77777777" w:rsidR="0006137D" w:rsidRDefault="00000000">
      <w:pPr>
        <w:pStyle w:val="a7"/>
        <w:shd w:val="clear" w:color="auto" w:fill="FFFFFF"/>
        <w:spacing w:beforeAutospacing="0" w:after="0" w:afterAutospacing="0" w:line="600" w:lineRule="exact"/>
        <w:ind w:firstLineChars="200" w:firstLine="643"/>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14:paraId="154F2AAC" w14:textId="77777777" w:rsidR="0006137D" w:rsidRDefault="00000000">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14:paraId="1924C361" w14:textId="2FB4C903" w:rsidR="0006137D"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2.90</w:t>
      </w:r>
      <w:r>
        <w:rPr>
          <w:rFonts w:ascii="方正仿宋_GBK" w:eastAsia="方正仿宋_GBK" w:hAnsi="方正仿宋_GBK" w:cs="方正仿宋_GBK"/>
          <w:sz w:val="32"/>
          <w:szCs w:val="32"/>
          <w:shd w:val="clear" w:color="auto" w:fill="FFFFFF"/>
        </w:rPr>
        <w:t>万元，较上年决算数增加2.90万元，增长100.00%，主要原因是为提高环境统计质量而召开环境统计</w:t>
      </w:r>
      <w:r>
        <w:rPr>
          <w:rFonts w:ascii="方正仿宋_GBK" w:eastAsia="方正仿宋_GBK" w:hAnsi="方正仿宋_GBK" w:cs="方正仿宋_GBK"/>
          <w:sz w:val="32"/>
          <w:szCs w:val="32"/>
          <w:shd w:val="clear" w:color="auto" w:fill="FFFFFF"/>
        </w:rPr>
        <w:lastRenderedPageBreak/>
        <w:t>专题培训会议。本年度培训费支出</w:t>
      </w:r>
      <w:r>
        <w:rPr>
          <w:rFonts w:ascii="方正仿宋_GBK" w:eastAsia="方正仿宋_GBK" w:hAnsi="方正仿宋_GBK" w:cs="方正仿宋_GBK"/>
          <w:sz w:val="32"/>
          <w:szCs w:val="32"/>
        </w:rPr>
        <w:t>1.16</w:t>
      </w:r>
      <w:r>
        <w:rPr>
          <w:rFonts w:ascii="方正仿宋_GBK" w:eastAsia="方正仿宋_GBK" w:hAnsi="方正仿宋_GBK" w:cs="方正仿宋_GBK"/>
          <w:sz w:val="32"/>
          <w:szCs w:val="32"/>
          <w:shd w:val="clear" w:color="auto" w:fill="FFFFFF"/>
        </w:rPr>
        <w:t>万元，较上年决算数增加0.64万元，增长123.08%，主要原因是参加培训次数增加。</w:t>
      </w:r>
    </w:p>
    <w:p w14:paraId="3268313D" w14:textId="77777777" w:rsidR="0006137D" w:rsidRDefault="00000000">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14:paraId="6235B232" w14:textId="77777777" w:rsidR="0006137D"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111.68</w:t>
      </w:r>
      <w:r>
        <w:rPr>
          <w:rFonts w:ascii="方正仿宋_GBK" w:eastAsia="方正仿宋_GBK" w:hAnsi="方正仿宋_GBK" w:cs="方正仿宋_GBK"/>
          <w:sz w:val="32"/>
          <w:szCs w:val="32"/>
          <w:shd w:val="clear" w:color="auto" w:fill="FFFFFF"/>
        </w:rPr>
        <w:t>万元，机关运行经费主要用于开支办公及印刷费、邮电费、差旅费、会议费、水电费、物业费、房屋租金、公务用车运行维护费等。机关运行经费较上年支出数减少563.40万元，下降83.46%，主要原因是2022年将文职人员薪酬作为劳务费纳入行政运行中决算。</w:t>
      </w:r>
    </w:p>
    <w:p w14:paraId="41021B7B" w14:textId="77777777" w:rsidR="0006137D" w:rsidRDefault="00000000">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14:paraId="08E50611" w14:textId="4876993E" w:rsidR="0006137D"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截至2023年12月31日，本部门共有车辆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辆，其中，特种专业技术用车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14:paraId="55267F7C" w14:textId="77777777" w:rsidR="0006137D" w:rsidRDefault="00000000">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14:paraId="40F5928F" w14:textId="564639D2" w:rsidR="0006137D"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994.74</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527.35</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467.39</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994.74万</w:t>
      </w:r>
      <w:r>
        <w:rPr>
          <w:rFonts w:ascii="方正仿宋_GBK" w:eastAsia="方正仿宋_GBK" w:hAnsi="方正仿宋_GBK" w:cs="方正仿宋_GBK"/>
          <w:sz w:val="32"/>
          <w:szCs w:val="32"/>
          <w:shd w:val="clear" w:color="auto" w:fill="FFFFFF"/>
        </w:rPr>
        <w:t>元，占政府采购支出总额的100.00%，其中：授予小</w:t>
      </w:r>
      <w:proofErr w:type="gramStart"/>
      <w:r>
        <w:rPr>
          <w:rFonts w:ascii="方正仿宋_GBK" w:eastAsia="方正仿宋_GBK" w:hAnsi="方正仿宋_GBK" w:cs="方正仿宋_GBK"/>
          <w:sz w:val="32"/>
          <w:szCs w:val="32"/>
          <w:shd w:val="clear" w:color="auto" w:fill="FFFFFF"/>
        </w:rPr>
        <w:t>微企业</w:t>
      </w:r>
      <w:proofErr w:type="gramEnd"/>
      <w:r>
        <w:rPr>
          <w:rFonts w:ascii="方正仿宋_GBK" w:eastAsia="方正仿宋_GBK" w:hAnsi="方正仿宋_GBK" w:cs="方正仿宋_GBK"/>
          <w:sz w:val="32"/>
          <w:szCs w:val="32"/>
          <w:shd w:val="clear" w:color="auto" w:fill="FFFFFF"/>
        </w:rPr>
        <w:t>合同金额994.74万元，占政府采购支出总额的100.00 %。主要用于采购监测设备和环境保护服务。</w:t>
      </w:r>
    </w:p>
    <w:p w14:paraId="280461F9" w14:textId="77777777" w:rsidR="0006137D" w:rsidRDefault="00000000">
      <w:pPr>
        <w:pStyle w:val="a7"/>
        <w:numPr>
          <w:ilvl w:val="0"/>
          <w:numId w:val="1"/>
        </w:numPr>
        <w:shd w:val="clear" w:color="auto" w:fill="FFFFFF"/>
        <w:spacing w:beforeAutospacing="0" w:after="0" w:afterAutospacing="0" w:line="600"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预算绩效管理情况说明</w:t>
      </w:r>
    </w:p>
    <w:p w14:paraId="4B2F681F" w14:textId="77777777" w:rsidR="0006137D" w:rsidRDefault="00000000">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（一）部门自评情况</w:t>
      </w:r>
    </w:p>
    <w:p w14:paraId="74BA3EDB" w14:textId="77777777" w:rsidR="0006137D" w:rsidRDefault="00000000">
      <w:pPr>
        <w:pStyle w:val="Char"/>
        <w:autoSpaceDE w:val="0"/>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根据预算绩效管理要求，对部门整体和25个二级项目开展了绩效自评，均以填报自评表形式开展自评，涉及资金</w:t>
      </w:r>
      <w:r>
        <w:rPr>
          <w:rFonts w:ascii="方正仿宋_GBK" w:eastAsia="方正仿宋_GBK" w:hAnsi="方正仿宋_GBK" w:cs="方正仿宋_GBK"/>
          <w:sz w:val="32"/>
          <w:szCs w:val="32"/>
        </w:rPr>
        <w:t>3683.11</w:t>
      </w:r>
      <w:r>
        <w:rPr>
          <w:rFonts w:ascii="方正仿宋_GBK" w:eastAsia="方正仿宋_GBK" w:hAnsi="方正仿宋_GBK" w:cs="方正仿宋_GBK" w:hint="eastAsia"/>
          <w:sz w:val="32"/>
          <w:szCs w:val="32"/>
          <w:shd w:val="clear" w:color="auto" w:fill="FFFFFF"/>
        </w:rPr>
        <w:t>万元。</w:t>
      </w:r>
    </w:p>
    <w:p w14:paraId="280A5058" w14:textId="77777777" w:rsidR="0006137D" w:rsidRDefault="00000000">
      <w:pPr>
        <w:pStyle w:val="Char"/>
        <w:spacing w:before="0" w:beforeAutospacing="0" w:after="0" w:afterAutospacing="0" w:line="600" w:lineRule="exact"/>
        <w:ind w:firstLineChars="200" w:firstLine="560"/>
        <w:rPr>
          <w:rFonts w:ascii="方正仿宋_GBK" w:eastAsia="方正仿宋_GBK" w:hAnsi="方正仿宋_GBK" w:cs="方正仿宋_GBK"/>
          <w:sz w:val="28"/>
          <w:szCs w:val="28"/>
          <w:shd w:val="clear" w:color="auto" w:fill="FFFFFF"/>
        </w:rPr>
      </w:pPr>
      <w:r>
        <w:rPr>
          <w:rFonts w:ascii="方正仿宋_GBK" w:eastAsia="方正仿宋_GBK" w:hAnsi="方正仿宋_GBK" w:cs="方正仿宋_GBK" w:hint="eastAsia"/>
          <w:sz w:val="28"/>
          <w:szCs w:val="28"/>
          <w:shd w:val="clear" w:color="auto" w:fill="FFFFFF"/>
        </w:rPr>
        <w:t>1.绩效目标自评表</w:t>
      </w:r>
    </w:p>
    <w:p w14:paraId="2EB91251" w14:textId="77777777" w:rsidR="0006137D" w:rsidRDefault="00000000">
      <w:pPr>
        <w:pStyle w:val="Char"/>
        <w:spacing w:before="0" w:beforeAutospacing="0" w:after="0" w:afterAutospacing="0" w:line="600" w:lineRule="exact"/>
        <w:ind w:firstLineChars="200" w:firstLine="480"/>
        <w:rPr>
          <w:rFonts w:ascii="方正仿宋_GBK" w:eastAsia="方正仿宋_GBK" w:hAnsi="方正仿宋_GBK" w:cs="方正仿宋_GBK"/>
          <w:sz w:val="28"/>
          <w:szCs w:val="28"/>
          <w:shd w:val="clear" w:color="auto" w:fill="FFFFFF"/>
        </w:rPr>
      </w:pPr>
      <w:r>
        <w:rPr>
          <w:noProof/>
        </w:rPr>
        <w:drawing>
          <wp:anchor distT="0" distB="0" distL="114300" distR="114300" simplePos="0" relativeHeight="251661312" behindDoc="0" locked="0" layoutInCell="1" allowOverlap="1" wp14:anchorId="40A2F50C" wp14:editId="469FB3B6">
            <wp:simplePos x="0" y="0"/>
            <wp:positionH relativeFrom="column">
              <wp:posOffset>236855</wp:posOffset>
            </wp:positionH>
            <wp:positionV relativeFrom="paragraph">
              <wp:posOffset>3836670</wp:posOffset>
            </wp:positionV>
            <wp:extent cx="5574030" cy="2842895"/>
            <wp:effectExtent l="0" t="0" r="7620" b="1460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574030" cy="284289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7BE2B99" wp14:editId="559B8EA8">
            <wp:simplePos x="0" y="0"/>
            <wp:positionH relativeFrom="column">
              <wp:posOffset>320675</wp:posOffset>
            </wp:positionH>
            <wp:positionV relativeFrom="paragraph">
              <wp:posOffset>194310</wp:posOffset>
            </wp:positionV>
            <wp:extent cx="5574030" cy="2975610"/>
            <wp:effectExtent l="0" t="0" r="7620" b="152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574030" cy="2975610"/>
                    </a:xfrm>
                    <a:prstGeom prst="rect">
                      <a:avLst/>
                    </a:prstGeom>
                    <a:noFill/>
                    <a:ln>
                      <a:noFill/>
                    </a:ln>
                  </pic:spPr>
                </pic:pic>
              </a:graphicData>
            </a:graphic>
          </wp:anchor>
        </w:drawing>
      </w:r>
      <w:r>
        <w:rPr>
          <w:rFonts w:ascii="方正仿宋_GBK" w:eastAsia="方正仿宋_GBK" w:hAnsi="方正仿宋_GBK" w:cs="方正仿宋_GBK" w:hint="eastAsia"/>
          <w:sz w:val="28"/>
          <w:szCs w:val="28"/>
          <w:shd w:val="clear" w:color="auto" w:fill="FFFFFF"/>
        </w:rPr>
        <w:t>详见附件2：部门整体支出绩效自评表。</w:t>
      </w:r>
    </w:p>
    <w:p w14:paraId="0D0078CF" w14:textId="77777777" w:rsidR="0006137D" w:rsidRDefault="00000000">
      <w:pPr>
        <w:pStyle w:val="Char"/>
        <w:spacing w:before="0" w:beforeAutospacing="0" w:after="0" w:afterAutospacing="0" w:line="600" w:lineRule="exact"/>
        <w:ind w:firstLineChars="200" w:firstLine="560"/>
        <w:rPr>
          <w:rFonts w:ascii="方正仿宋_GBK" w:eastAsia="方正仿宋_GBK" w:hAnsi="方正仿宋_GBK" w:cs="方正仿宋_GBK"/>
          <w:sz w:val="28"/>
          <w:szCs w:val="28"/>
          <w:shd w:val="clear" w:color="auto" w:fill="FFFFFF"/>
        </w:rPr>
      </w:pPr>
      <w:r>
        <w:rPr>
          <w:rFonts w:ascii="方正仿宋_GBK" w:eastAsia="方正仿宋_GBK" w:hAnsi="方正仿宋_GBK" w:cs="方正仿宋_GBK" w:hint="eastAsia"/>
          <w:sz w:val="28"/>
          <w:szCs w:val="28"/>
          <w:shd w:val="clear" w:color="auto" w:fill="FFFFFF"/>
        </w:rPr>
        <w:lastRenderedPageBreak/>
        <w:t>详见附件3：项目绩效自评表。</w:t>
      </w:r>
    </w:p>
    <w:p w14:paraId="66274655" w14:textId="77777777" w:rsidR="0006137D" w:rsidRDefault="00000000">
      <w:pPr>
        <w:pStyle w:val="Char"/>
        <w:spacing w:before="0" w:beforeAutospacing="0" w:after="0" w:afterAutospacing="0" w:line="600" w:lineRule="exact"/>
        <w:ind w:firstLineChars="200" w:firstLine="480"/>
        <w:rPr>
          <w:rFonts w:ascii="方正仿宋_GBK" w:eastAsia="方正仿宋_GBK" w:hAnsi="方正仿宋_GBK" w:cs="方正仿宋_GBK"/>
          <w:sz w:val="28"/>
          <w:szCs w:val="28"/>
          <w:shd w:val="clear" w:color="auto" w:fill="FFFFFF"/>
        </w:rPr>
      </w:pPr>
      <w:r>
        <w:rPr>
          <w:noProof/>
        </w:rPr>
        <w:drawing>
          <wp:anchor distT="0" distB="0" distL="114300" distR="114300" simplePos="0" relativeHeight="251660288" behindDoc="0" locked="0" layoutInCell="1" allowOverlap="1" wp14:anchorId="4BBCA975" wp14:editId="1FBDD2F6">
            <wp:simplePos x="0" y="0"/>
            <wp:positionH relativeFrom="column">
              <wp:posOffset>342900</wp:posOffset>
            </wp:positionH>
            <wp:positionV relativeFrom="paragraph">
              <wp:posOffset>-4402455</wp:posOffset>
            </wp:positionV>
            <wp:extent cx="5574030" cy="2710815"/>
            <wp:effectExtent l="0" t="0" r="7620" b="1333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574030" cy="2710815"/>
                    </a:xfrm>
                    <a:prstGeom prst="rect">
                      <a:avLst/>
                    </a:prstGeom>
                    <a:noFill/>
                    <a:ln>
                      <a:noFill/>
                    </a:ln>
                  </pic:spPr>
                </pic:pic>
              </a:graphicData>
            </a:graphic>
          </wp:anchor>
        </w:drawing>
      </w:r>
      <w:r>
        <w:rPr>
          <w:rFonts w:ascii="方正仿宋_GBK" w:eastAsia="方正仿宋_GBK" w:hAnsi="方正仿宋_GBK" w:cs="方正仿宋_GBK" w:hint="eastAsia"/>
          <w:sz w:val="28"/>
          <w:szCs w:val="28"/>
          <w:shd w:val="clear" w:color="auto" w:fill="FFFFFF"/>
        </w:rPr>
        <w:t>2.关于绩效自评结果的说明。</w:t>
      </w:r>
    </w:p>
    <w:p w14:paraId="0BC2205F" w14:textId="77777777" w:rsidR="0006137D" w:rsidRDefault="00000000">
      <w:pPr>
        <w:pStyle w:val="Char"/>
        <w:spacing w:before="0" w:beforeAutospacing="0" w:after="0" w:afterAutospacing="0" w:line="600" w:lineRule="exact"/>
        <w:ind w:firstLineChars="200" w:firstLine="560"/>
        <w:rPr>
          <w:rFonts w:ascii="方正仿宋_GBK" w:eastAsia="方正仿宋_GBK" w:hAnsi="方正仿宋_GBK" w:cs="方正仿宋_GBK"/>
          <w:sz w:val="28"/>
          <w:szCs w:val="28"/>
          <w:shd w:val="clear" w:color="auto" w:fill="FFFFFF"/>
        </w:rPr>
      </w:pPr>
      <w:r>
        <w:rPr>
          <w:rFonts w:ascii="方正仿宋_GBK" w:eastAsia="方正仿宋_GBK" w:hAnsi="方正仿宋_GBK" w:cs="方正仿宋_GBK" w:hint="eastAsia"/>
          <w:sz w:val="28"/>
          <w:szCs w:val="28"/>
          <w:shd w:val="clear" w:color="auto" w:fill="FFFFFF"/>
        </w:rPr>
        <w:t>从评价情况来看，本部门绩效管理工作达到预定的绩效目标，组织管理明确，资金到位及时、使用合法合</w:t>
      </w:r>
      <w:proofErr w:type="gramStart"/>
      <w:r>
        <w:rPr>
          <w:rFonts w:ascii="方正仿宋_GBK" w:eastAsia="方正仿宋_GBK" w:hAnsi="方正仿宋_GBK" w:cs="方正仿宋_GBK" w:hint="eastAsia"/>
          <w:sz w:val="28"/>
          <w:szCs w:val="28"/>
          <w:shd w:val="clear" w:color="auto" w:fill="FFFFFF"/>
        </w:rPr>
        <w:t>规</w:t>
      </w:r>
      <w:proofErr w:type="gramEnd"/>
      <w:r>
        <w:rPr>
          <w:rFonts w:ascii="方正仿宋_GBK" w:eastAsia="方正仿宋_GBK" w:hAnsi="方正仿宋_GBK" w:cs="方正仿宋_GBK" w:hint="eastAsia"/>
          <w:sz w:val="28"/>
          <w:szCs w:val="28"/>
          <w:shd w:val="clear" w:color="auto" w:fill="FFFFFF"/>
        </w:rPr>
        <w:t>，财务管理和会计核算规范。</w:t>
      </w:r>
    </w:p>
    <w:p w14:paraId="316088CC" w14:textId="77777777" w:rsidR="0006137D" w:rsidRDefault="00000000">
      <w:pPr>
        <w:pStyle w:val="a7"/>
        <w:shd w:val="clear" w:color="auto" w:fill="FFFFFF"/>
        <w:spacing w:beforeAutospacing="0" w:after="0" w:afterAutospacing="0" w:line="600" w:lineRule="exact"/>
        <w:ind w:firstLineChars="200" w:firstLine="643"/>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六、专业名词解释</w:t>
      </w:r>
    </w:p>
    <w:p w14:paraId="5F6CBAFF" w14:textId="77777777"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694EAE03" w14:textId="77777777"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A76A014" w14:textId="77777777"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03E7E3D4" w14:textId="77777777"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w:t>
      </w:r>
      <w:r>
        <w:rPr>
          <w:rFonts w:ascii="方正仿宋_GBK" w:eastAsia="方正仿宋_GBK" w:hAnsi="方正仿宋_GBK" w:cs="方正仿宋_GBK"/>
          <w:sz w:val="32"/>
          <w:szCs w:val="32"/>
          <w:shd w:val="clear" w:color="auto" w:fill="FFFFFF"/>
        </w:rPr>
        <w:lastRenderedPageBreak/>
        <w:t>预付款项、无法偿付的应付及预收款项等。各单位从本级财政部门以外的同级单位取得的经费、从非本级财政部门取得的经费，以及行政单位收到的财政专户管理资金反映在本项内。</w:t>
      </w:r>
    </w:p>
    <w:p w14:paraId="721BF735" w14:textId="77777777"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5E79920" w14:textId="5F24FEBC"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10EA379F" w14:textId="294D5D25"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04647DD2" w14:textId="17FB2F08"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14:paraId="1E3B9777" w14:textId="1A48108A"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F2E7037" w14:textId="59AF2E4F"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6393F2D4" w14:textId="30908509"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lastRenderedPageBreak/>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3DD78ACE" w14:textId="334C792C"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14:paraId="10F4C7DF" w14:textId="17D14ABA"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9A470FC" w14:textId="532C8ED2"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14:paraId="548F2526" w14:textId="6F6FF28A"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lastRenderedPageBreak/>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12910616" w14:textId="34B899AF"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14:paraId="60A34751" w14:textId="28ECAAAA" w:rsidR="0006137D"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72F3D9A5" w14:textId="555172D2" w:rsidR="0006137D" w:rsidRDefault="00000000">
      <w:pPr>
        <w:pStyle w:val="a7"/>
        <w:shd w:val="clear" w:color="auto" w:fill="FFFFFF"/>
        <w:spacing w:beforeAutospacing="0" w:after="0" w:afterAutospacing="0" w:line="600" w:lineRule="exact"/>
        <w:ind w:firstLineChars="200" w:firstLine="643"/>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七、决算公开联系方式及信息反馈渠道</w:t>
      </w:r>
    </w:p>
    <w:p w14:paraId="0FF18C60" w14:textId="77777777" w:rsidR="0006137D" w:rsidRDefault="00000000">
      <w:pPr>
        <w:pStyle w:val="a7"/>
        <w:snapToGrid w:val="0"/>
        <w:spacing w:before="0" w:beforeAutospacing="0" w:after="0" w:afterAutospacing="0" w:line="600" w:lineRule="exact"/>
        <w:ind w:firstLineChars="200" w:firstLine="640"/>
        <w:jc w:val="both"/>
        <w:rPr>
          <w:rFonts w:hint="default"/>
        </w:rPr>
      </w:pPr>
      <w:r>
        <w:rPr>
          <w:rFonts w:ascii="方正仿宋_GBK" w:eastAsia="方正仿宋_GBK" w:hAnsi="方正仿宋_GBK" w:cs="方正仿宋_GBK"/>
          <w:sz w:val="32"/>
          <w:szCs w:val="32"/>
          <w:shd w:val="clear" w:color="auto" w:fill="FFFFFF"/>
        </w:rPr>
        <w:t>本部门决算公开信息反馈和联系方式：023-68601383。</w:t>
      </w:r>
    </w:p>
    <w:sectPr w:rsidR="0006137D">
      <w:headerReference w:type="default" r:id="rId11"/>
      <w:footerReference w:type="default" r:id="rId12"/>
      <w:pgSz w:w="11850" w:h="16783"/>
      <w:pgMar w:top="2098" w:right="1531" w:bottom="1984" w:left="1531" w:header="0" w:footer="1531"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CA161" w14:textId="77777777" w:rsidR="00033778" w:rsidRDefault="00033778">
      <w:pPr>
        <w:rPr>
          <w:rFonts w:hint="default"/>
        </w:rPr>
      </w:pPr>
      <w:r>
        <w:separator/>
      </w:r>
    </w:p>
  </w:endnote>
  <w:endnote w:type="continuationSeparator" w:id="0">
    <w:p w14:paraId="6B63C73C" w14:textId="77777777" w:rsidR="00033778" w:rsidRDefault="0003377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DF50D" w14:textId="77777777" w:rsidR="0006137D" w:rsidRDefault="00000000">
    <w:pPr>
      <w:pStyle w:val="a5"/>
      <w:jc w:val="both"/>
      <w:rPr>
        <w:rFonts w:hint="default"/>
      </w:rPr>
    </w:pPr>
    <w:r>
      <w:rPr>
        <w:rFonts w:hint="default"/>
      </w:rPr>
      <w:pict w14:anchorId="7DFE6646">
        <v:shapetype id="_x0000_t202" coordsize="21600,21600" o:spt="202" path="m,l,21600r21600,l21600,xe">
          <v:stroke joinstyle="miter"/>
          <v:path gradientshapeok="t" o:connecttype="rect"/>
        </v:shapetype>
        <v:shape id="_x0000_s1028" type="#_x0000_t202" style="position:absolute;left:0;text-align:left;margin-left:92.8pt;margin-top:0;width:2in;height:2in;z-index:251661312;mso-wrap-style:none;mso-position-horizontal:outside;mso-position-horizontal-relative:margin;mso-width-relative:page;mso-height-relative:page" o:allowoverlap="f" filled="f" stroked="f" strokeweight=".5pt">
          <v:textbox style="mso-fit-shape-to-text:t" inset="0,0,0,0">
            <w:txbxContent>
              <w:p w14:paraId="494D0052" w14:textId="77777777" w:rsidR="0006137D" w:rsidRDefault="00000000">
                <w:pPr>
                  <w:pStyle w:val="a5"/>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w10:wrap anchorx="margin"/>
        </v:shape>
      </w:pict>
    </w:r>
    <w:r>
      <w:rPr>
        <w:rFonts w:hint="default"/>
      </w:rPr>
      <w:pict w14:anchorId="23A6991F">
        <v:shape id="_x0000_s1027" type="#_x0000_t202" style="position:absolute;left:0;text-align:left;margin-left:0;margin-top:1160.4pt;width:2in;height:17.4pt;z-index:251660288;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13F95428" w14:textId="77777777" w:rsidR="0006137D" w:rsidRDefault="00000000">
                <w:pPr>
                  <w:pStyle w:val="a5"/>
                  <w:jc w:val="both"/>
                  <w:rPr>
                    <w:rFonts w:cs="宋体" w:hint="default"/>
                  </w:rPr>
                </w:pP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E9089" w14:textId="77777777" w:rsidR="00033778" w:rsidRDefault="00033778">
      <w:pPr>
        <w:rPr>
          <w:rFonts w:hint="default"/>
        </w:rPr>
      </w:pPr>
      <w:r>
        <w:separator/>
      </w:r>
    </w:p>
  </w:footnote>
  <w:footnote w:type="continuationSeparator" w:id="0">
    <w:p w14:paraId="4A03B533" w14:textId="77777777" w:rsidR="00033778" w:rsidRDefault="00033778">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979E3" w14:textId="77777777" w:rsidR="0006137D" w:rsidRDefault="0006137D">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42607D4"/>
    <w:multiLevelType w:val="singleLevel"/>
    <w:tmpl w:val="D42607D4"/>
    <w:lvl w:ilvl="0">
      <w:start w:val="5"/>
      <w:numFmt w:val="chineseCounting"/>
      <w:suff w:val="nothing"/>
      <w:lvlText w:val="%1、"/>
      <w:lvlJc w:val="left"/>
      <w:rPr>
        <w:rFonts w:hint="eastAsia"/>
      </w:rPr>
    </w:lvl>
  </w:abstractNum>
  <w:num w:numId="1" w16cid:durableId="73200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HorizontalSpacing w:val="120"/>
  <w:drawingGridVerticalSpacing w:val="163"/>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mExYjIwMzBjZTY5Yzk1ZTc0MWZjMDlmZWM5MDIxYjIifQ=="/>
  </w:docVars>
  <w:rsids>
    <w:rsidRoot w:val="00B03CCD"/>
    <w:rsid w:val="00033778"/>
    <w:rsid w:val="0006137D"/>
    <w:rsid w:val="000C01CC"/>
    <w:rsid w:val="000D7702"/>
    <w:rsid w:val="00102C9C"/>
    <w:rsid w:val="0022556A"/>
    <w:rsid w:val="002674A8"/>
    <w:rsid w:val="002D0E5A"/>
    <w:rsid w:val="002E5443"/>
    <w:rsid w:val="00390FAC"/>
    <w:rsid w:val="003D7D62"/>
    <w:rsid w:val="00454CE5"/>
    <w:rsid w:val="00473AD6"/>
    <w:rsid w:val="004C12FF"/>
    <w:rsid w:val="00550ABE"/>
    <w:rsid w:val="00583FE5"/>
    <w:rsid w:val="005B023C"/>
    <w:rsid w:val="005C031D"/>
    <w:rsid w:val="006137D7"/>
    <w:rsid w:val="00634FA8"/>
    <w:rsid w:val="0063613A"/>
    <w:rsid w:val="00650286"/>
    <w:rsid w:val="006814BD"/>
    <w:rsid w:val="00745740"/>
    <w:rsid w:val="00780227"/>
    <w:rsid w:val="00792285"/>
    <w:rsid w:val="007A0D2E"/>
    <w:rsid w:val="007A3314"/>
    <w:rsid w:val="007B419D"/>
    <w:rsid w:val="007C079C"/>
    <w:rsid w:val="00810F13"/>
    <w:rsid w:val="00825535"/>
    <w:rsid w:val="008C7E14"/>
    <w:rsid w:val="008D24FD"/>
    <w:rsid w:val="009114B7"/>
    <w:rsid w:val="00944711"/>
    <w:rsid w:val="00984852"/>
    <w:rsid w:val="00992E0D"/>
    <w:rsid w:val="009B67B8"/>
    <w:rsid w:val="00A03B1E"/>
    <w:rsid w:val="00A67739"/>
    <w:rsid w:val="00A820B7"/>
    <w:rsid w:val="00AC5566"/>
    <w:rsid w:val="00B03CCD"/>
    <w:rsid w:val="00B40138"/>
    <w:rsid w:val="00BF5A85"/>
    <w:rsid w:val="00C307F6"/>
    <w:rsid w:val="00C429AB"/>
    <w:rsid w:val="00C73ABB"/>
    <w:rsid w:val="00C96B11"/>
    <w:rsid w:val="00CC6B99"/>
    <w:rsid w:val="00DF7706"/>
    <w:rsid w:val="00E05175"/>
    <w:rsid w:val="00E30468"/>
    <w:rsid w:val="00E51A54"/>
    <w:rsid w:val="00E62008"/>
    <w:rsid w:val="00E654E2"/>
    <w:rsid w:val="00E76362"/>
    <w:rsid w:val="00F137D3"/>
    <w:rsid w:val="00F13C36"/>
    <w:rsid w:val="00F23C68"/>
    <w:rsid w:val="00F32C53"/>
    <w:rsid w:val="00F73F90"/>
    <w:rsid w:val="00F7623D"/>
    <w:rsid w:val="00F7790E"/>
    <w:rsid w:val="00F8598B"/>
    <w:rsid w:val="00FF1F66"/>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8220C8"/>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A873B6"/>
    <w:rsid w:val="1ECF0A66"/>
    <w:rsid w:val="1EF67CA4"/>
    <w:rsid w:val="1F020D3A"/>
    <w:rsid w:val="1F2C5189"/>
    <w:rsid w:val="1F4B0B02"/>
    <w:rsid w:val="1FBB35CD"/>
    <w:rsid w:val="1FCD26AF"/>
    <w:rsid w:val="20642787"/>
    <w:rsid w:val="21556F04"/>
    <w:rsid w:val="22403BD3"/>
    <w:rsid w:val="22CF5131"/>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59A7921"/>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B4D39AD"/>
    <w:rsid w:val="3C4F79B6"/>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2965C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6E972AC"/>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0CAF602"/>
  <w15:docId w15:val="{669F5F33-92C4-471C-BC91-2F1ADFA7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37</cp:revision>
  <dcterms:created xsi:type="dcterms:W3CDTF">2024-07-11T02:00:00Z</dcterms:created>
  <dcterms:modified xsi:type="dcterms:W3CDTF">2024-10-31T02:28:00Z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