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0E2E0">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重庆科学城实验一小西丰小学校</w:t>
      </w:r>
    </w:p>
    <w:p w14:paraId="01DC8C69">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2025年单位预算情况说明</w:t>
      </w:r>
    </w:p>
    <w:p w14:paraId="5D62E555">
      <w:pPr>
        <w:rPr>
          <w:rFonts w:hint="eastAsia"/>
        </w:rPr>
      </w:pPr>
    </w:p>
    <w:p w14:paraId="79866F9B">
      <w:pPr>
        <w:spacing w:line="600" w:lineRule="exact"/>
        <w:ind w:firstLine="640" w:firstLineChars="200"/>
        <w:rPr>
          <w:rFonts w:hint="eastAsia" w:ascii="方正黑体_GBK" w:hAnsi="方正黑体_GBK" w:eastAsia="方正黑体_GBK" w:cs="方正黑体_GBK"/>
          <w:sz w:val="32"/>
        </w:rPr>
      </w:pPr>
      <w:bookmarkStart w:id="2" w:name="_GoBack"/>
      <w:bookmarkEnd w:id="2"/>
      <w:r>
        <w:rPr>
          <w:rFonts w:hint="eastAsia" w:ascii="方正黑体_GBK" w:hAnsi="方正黑体_GBK" w:eastAsia="方正黑体_GBK" w:cs="方正黑体_GBK"/>
          <w:sz w:val="32"/>
        </w:rPr>
        <w:t>一、单位基本情况</w:t>
      </w:r>
    </w:p>
    <w:p w14:paraId="35747D41">
      <w:pPr>
        <w:spacing w:line="600" w:lineRule="exact"/>
        <w:ind w:firstLine="640" w:firstLineChars="200"/>
        <w:rPr>
          <w:rFonts w:hint="eastAsia" w:ascii="方正楷体_GBK" w:hAnsi="仿宋_GB2312" w:eastAsia="方正楷体_GBK" w:cs="仿宋_GB2312"/>
          <w:sz w:val="32"/>
        </w:rPr>
      </w:pPr>
      <w:r>
        <w:rPr>
          <w:rFonts w:hint="eastAsia" w:ascii="方正楷体_GBK" w:hAnsi="仿宋_GB2312" w:eastAsia="方正楷体_GBK" w:cs="仿宋_GB2312"/>
          <w:sz w:val="32"/>
        </w:rPr>
        <w:t>（一）职能职责</w:t>
      </w:r>
    </w:p>
    <w:p w14:paraId="50F5E879">
      <w:pPr>
        <w:spacing w:line="60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提高学生综合素养、促进小学教育发展，实施小学学历（义务）教育；为学生提供相关社会服务。</w:t>
      </w:r>
    </w:p>
    <w:p w14:paraId="04E45D33">
      <w:pPr>
        <w:spacing w:line="600" w:lineRule="exact"/>
        <w:ind w:firstLine="640" w:firstLineChars="200"/>
        <w:rPr>
          <w:rFonts w:hint="eastAsia" w:ascii="方正楷体_GBK" w:hAnsi="仿宋_GB2312" w:eastAsia="方正楷体_GBK" w:cs="仿宋_GB2312"/>
          <w:sz w:val="32"/>
        </w:rPr>
      </w:pPr>
      <w:r>
        <w:rPr>
          <w:rFonts w:hint="eastAsia" w:ascii="方正楷体_GBK" w:hAnsi="仿宋_GB2312" w:eastAsia="方正楷体_GBK" w:cs="仿宋_GB2312"/>
          <w:sz w:val="32"/>
        </w:rPr>
        <w:t>（二）单位构成</w:t>
      </w:r>
    </w:p>
    <w:p w14:paraId="47D82EF1">
      <w:pPr>
        <w:spacing w:line="600" w:lineRule="exact"/>
        <w:ind w:firstLine="640" w:firstLineChars="200"/>
        <w:rPr>
          <w:rFonts w:hint="eastAsia" w:ascii="方正楷体_GBK" w:hAnsi="仿宋_GB2312" w:eastAsia="方正楷体_GBK" w:cs="仿宋_GB2312"/>
          <w:sz w:val="32"/>
        </w:rPr>
      </w:pPr>
      <w:r>
        <w:rPr>
          <w:rFonts w:hint="eastAsia" w:ascii="方正仿宋_GBK" w:hAnsi="方正仿宋_GBK" w:eastAsia="方正仿宋_GBK" w:cs="方正仿宋_GBK"/>
          <w:sz w:val="32"/>
        </w:rPr>
        <w:t>单位内设机构：学生成长中心、教师发展中心、后勤保障中心、人力资源中心、信息媒体中心、文化品牌中心。</w:t>
      </w:r>
    </w:p>
    <w:p w14:paraId="4B8D9CFB">
      <w:pPr>
        <w:spacing w:line="600" w:lineRule="exact"/>
        <w:ind w:firstLine="640" w:firstLineChars="200"/>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二、单位收支总体情况</w:t>
      </w:r>
    </w:p>
    <w:p w14:paraId="12CC2353">
      <w:pPr>
        <w:spacing w:line="60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一）收入预算：2025年年初预算数995.50万元，其中：一般公共预算拨款995.50万元，政府性基金预算拨款0万元，国有资本经营预算收入0万元，事业收入0万元，事业单位经营收入0万元，其他收入0万元。收入较2024年增加</w:t>
      </w:r>
      <w:bookmarkStart w:id="0" w:name="OLE_LINK1"/>
      <w:r>
        <w:rPr>
          <w:rFonts w:hint="eastAsia" w:ascii="方正仿宋_GBK" w:hAnsi="方正仿宋_GBK" w:eastAsia="方正仿宋_GBK" w:cs="方正仿宋_GBK"/>
          <w:sz w:val="32"/>
        </w:rPr>
        <w:t>356.10</w:t>
      </w:r>
      <w:bookmarkEnd w:id="0"/>
      <w:r>
        <w:rPr>
          <w:rFonts w:hint="eastAsia" w:ascii="方正仿宋_GBK" w:hAnsi="方正仿宋_GBK" w:eastAsia="方正仿宋_GBK" w:cs="方正仿宋_GBK"/>
          <w:sz w:val="32"/>
        </w:rPr>
        <w:t>万元，主要是人员增加等导致相关经费拨款增加356.10万元。</w:t>
      </w:r>
    </w:p>
    <w:p w14:paraId="3C73EE56">
      <w:pPr>
        <w:spacing w:line="60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二）支出预算：2025年年初预算数995.50万元，其中：一般公共服务支出预算0万元，教育支出预算814.80万元，社会保障和就业支出预算105.06万元，卫生健康支出预算40.13万元，住房保障支出预算35.51万元。支出预算较2024年增加356.10万元，主要是基本支出预算增加243.15万元，项目支出预算增加112.95万元。</w:t>
      </w:r>
    </w:p>
    <w:p w14:paraId="468B2226">
      <w:pPr>
        <w:spacing w:line="600" w:lineRule="exact"/>
        <w:ind w:firstLine="640" w:firstLineChars="200"/>
        <w:rPr>
          <w:rFonts w:hint="eastAsia" w:ascii="黑体" w:hAnsi="黑体" w:eastAsia="黑体" w:cs="仿宋_GB2312"/>
          <w:sz w:val="32"/>
        </w:rPr>
      </w:pPr>
      <w:r>
        <w:rPr>
          <w:rFonts w:hint="eastAsia" w:ascii="黑体" w:hAnsi="黑体" w:eastAsia="黑体" w:cs="仿宋_GB2312"/>
          <w:sz w:val="32"/>
        </w:rPr>
        <w:t>三、单位预算情况说明</w:t>
      </w:r>
    </w:p>
    <w:p w14:paraId="62A9DB87">
      <w:pPr>
        <w:spacing w:line="60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2025年一般公共预算财政拨款收入995.50万元，一般公共预算财政拨款支出995.50万元，比2024年增加356.10万元。其中：基本支出644.10万元，比2024年增加243.15万元，主要原因是校学生人数和教师人数增加等，主要用于保障在职人员工资福利及社会保险缴费等，保障单位正常运转的各项商品服务支出；项目支出351.40万元，比2024年增加</w:t>
      </w:r>
      <w:bookmarkStart w:id="1" w:name="OLE_LINK2"/>
      <w:r>
        <w:rPr>
          <w:rFonts w:hint="eastAsia" w:ascii="方正仿宋_GBK" w:hAnsi="方正仿宋_GBK" w:eastAsia="方正仿宋_GBK" w:cs="方正仿宋_GBK"/>
          <w:sz w:val="32"/>
        </w:rPr>
        <w:t>112.95</w:t>
      </w:r>
      <w:bookmarkEnd w:id="1"/>
      <w:r>
        <w:rPr>
          <w:rFonts w:hint="eastAsia" w:ascii="方正仿宋_GBK" w:hAnsi="方正仿宋_GBK" w:eastAsia="方正仿宋_GBK" w:cs="方正仿宋_GBK"/>
          <w:sz w:val="32"/>
        </w:rPr>
        <w:t>万元，主要原因是非编人员经费增加等，主要用于非编人员工资福利及社会保险缴费等重点工作。</w:t>
      </w:r>
    </w:p>
    <w:p w14:paraId="2957AE13">
      <w:pPr>
        <w:spacing w:line="60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重庆科学城实验一小西丰小学校2025年无使用政府性基金预算拨款安排的支出。</w:t>
      </w:r>
    </w:p>
    <w:p w14:paraId="23BDD530">
      <w:pPr>
        <w:spacing w:line="600" w:lineRule="exact"/>
        <w:ind w:firstLine="640" w:firstLineChars="200"/>
        <w:rPr>
          <w:rFonts w:hint="eastAsia" w:ascii="黑体" w:hAnsi="黑体" w:eastAsia="黑体" w:cs="仿宋_GB2312"/>
          <w:sz w:val="32"/>
        </w:rPr>
      </w:pPr>
      <w:r>
        <w:rPr>
          <w:rFonts w:hint="eastAsia" w:ascii="黑体" w:hAnsi="黑体" w:eastAsia="黑体" w:cs="仿宋_GB2312"/>
          <w:sz w:val="32"/>
        </w:rPr>
        <w:t>四、“三公”经费情况说明</w:t>
      </w:r>
    </w:p>
    <w:p w14:paraId="44A85473">
      <w:pPr>
        <w:spacing w:line="60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西丰小学2024、2025年均无“三公”经费预算。</w:t>
      </w:r>
    </w:p>
    <w:p w14:paraId="08BC9A98">
      <w:pPr>
        <w:spacing w:line="600" w:lineRule="exact"/>
        <w:ind w:firstLine="640" w:firstLineChars="200"/>
        <w:rPr>
          <w:rFonts w:hint="eastAsia"/>
        </w:rPr>
      </w:pPr>
      <w:r>
        <w:rPr>
          <w:rFonts w:hint="eastAsia" w:ascii="黑体" w:hAnsi="黑体" w:eastAsia="黑体" w:cs="仿宋_GB2312"/>
          <w:sz w:val="32"/>
        </w:rPr>
        <w:t>五、其他重要事项的情况说明</w:t>
      </w:r>
    </w:p>
    <w:p w14:paraId="46837264">
      <w:pPr>
        <w:spacing w:line="60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1、我单位不在机关运行经费统计范围之内。</w:t>
      </w:r>
    </w:p>
    <w:p w14:paraId="3BC83082">
      <w:pPr>
        <w:spacing w:line="60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2、政府采购情况。本单位政府采购预算总额0元：政府采购货物预算0元、政府采购工程预算0元、政府采购服务预算0元；其中一般公共预算拨款政府采购0元：政府采购货物预算0万元、政府采购工程预算0元、政府采购服务预算0元。</w:t>
      </w:r>
    </w:p>
    <w:p w14:paraId="09F9BE53">
      <w:pPr>
        <w:spacing w:line="60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3、绩效目标设置情况。2025年项目支出均实行了绩效目标管理，涉及一般公共预算当年财政拨款351.40万元。</w:t>
      </w:r>
    </w:p>
    <w:p w14:paraId="4D073A7D">
      <w:pPr>
        <w:spacing w:line="60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4、国有资产占有使用情况。截至2024年12月，本单位共有车辆0，其中一般公务用车0、执勤执法用车0。202</w:t>
      </w:r>
      <w:r>
        <w:rPr>
          <w:rFonts w:hint="eastAsia" w:ascii="方正仿宋_GBK" w:hAnsi="方正仿宋_GBK" w:eastAsia="方正仿宋_GBK" w:cs="方正仿宋_GBK"/>
          <w:sz w:val="32"/>
          <w:lang w:val="en-US" w:eastAsia="zh-CN"/>
        </w:rPr>
        <w:t>5</w:t>
      </w:r>
      <w:r>
        <w:rPr>
          <w:rFonts w:hint="eastAsia" w:ascii="方正仿宋_GBK" w:hAnsi="方正仿宋_GBK" w:eastAsia="方正仿宋_GBK" w:cs="方正仿宋_GBK"/>
          <w:sz w:val="32"/>
        </w:rPr>
        <w:t>年一般公共预算安排购置车辆0，其中一般公务用车0、执勤执法用车0辆。</w:t>
      </w:r>
    </w:p>
    <w:p w14:paraId="295B9A10">
      <w:pPr>
        <w:spacing w:line="600" w:lineRule="exact"/>
        <w:ind w:firstLine="640" w:firstLineChars="200"/>
        <w:rPr>
          <w:rFonts w:hint="eastAsia"/>
        </w:rPr>
      </w:pPr>
      <w:r>
        <w:rPr>
          <w:rFonts w:hint="eastAsia" w:ascii="黑体" w:hAnsi="黑体" w:eastAsia="黑体" w:cs="仿宋_GB2312"/>
          <w:sz w:val="32"/>
        </w:rPr>
        <w:t>六、专业性名词解释</w:t>
      </w:r>
    </w:p>
    <w:p w14:paraId="3A322AAF">
      <w:pPr>
        <w:spacing w:line="60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（一）财政拨款收入：指本年度从本级财政部门取得的财政拨款，包括一般公共预算财政拨款和政府性基金预算财政拨款。</w:t>
      </w:r>
    </w:p>
    <w:p w14:paraId="319C515E">
      <w:pPr>
        <w:spacing w:line="60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（二）其他收入：指单位取得的除“财政拨款收入”、“事业收入”、“经营收入”等以外的收入。</w:t>
      </w:r>
    </w:p>
    <w:p w14:paraId="54EA5C2A">
      <w:pPr>
        <w:spacing w:line="60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（三）基本支出：指为保障机构正常运转、完成日常工作任务而发生的人员经费和公用经费。</w:t>
      </w:r>
    </w:p>
    <w:p w14:paraId="3DDE8901">
      <w:pPr>
        <w:spacing w:line="60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（四）项目支出：指在基本支出之外为完成特定行政任务和事业发展目标所发生的支出。</w:t>
      </w:r>
    </w:p>
    <w:p w14:paraId="1D3ACBB9">
      <w:pPr>
        <w:spacing w:line="60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3A6424F">
      <w:pPr>
        <w:spacing w:line="60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（部门预算公开联系人：刘柯妤，联系方式：023-65422672）</w:t>
      </w:r>
    </w:p>
    <w:p w14:paraId="2A8611EF">
      <w:pPr>
        <w:spacing w:line="600" w:lineRule="exact"/>
        <w:ind w:firstLine="640" w:firstLineChars="200"/>
        <w:rPr>
          <w:rFonts w:hint="eastAsia" w:ascii="方正仿宋_GBK" w:hAnsi="方正仿宋_GBK" w:eastAsia="方正仿宋_GBK" w:cs="方正仿宋_GBK"/>
          <w:sz w:val="32"/>
        </w:rPr>
      </w:pPr>
    </w:p>
    <w:sectPr>
      <w:pgSz w:w="11906" w:h="16838"/>
      <w:pgMar w:top="1440" w:right="1531"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SimHei">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E3C"/>
    <w:rsid w:val="00464F01"/>
    <w:rsid w:val="00693E3C"/>
    <w:rsid w:val="00850A10"/>
    <w:rsid w:val="008B185A"/>
    <w:rsid w:val="009E2B80"/>
    <w:rsid w:val="00A5092B"/>
    <w:rsid w:val="00A7214E"/>
    <w:rsid w:val="00B76E40"/>
    <w:rsid w:val="00B928B1"/>
    <w:rsid w:val="00C04012"/>
    <w:rsid w:val="00CE67B4"/>
    <w:rsid w:val="00EB2A90"/>
    <w:rsid w:val="65A91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szCs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1368</Words>
  <Characters>1523</Characters>
  <Lines>11</Lines>
  <Paragraphs>3</Paragraphs>
  <TotalTime>25</TotalTime>
  <ScaleCrop>false</ScaleCrop>
  <LinksUpToDate>false</LinksUpToDate>
  <CharactersWithSpaces>1523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2025-04-11T00:14:00Z</dcterms:created>
  <dc:creator>ASUS</dc:creator>
  <cp:lastModifiedBy>恩</cp:lastModifiedBy>
  <dcterms:modified xsi:type="dcterms:W3CDTF">2025-04-22T02:58:25Z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eyJoZGlkIjoiMDQ5NTJjMmViOTI4ZThkZTYxNWMzMTEwYmE2MDhkYzQiLCJ1c2VySWQiOiIzNTgzODk4MjcifQ==</vt:lpwstr>
  </property>
  <property fmtid="{D5CDD505-2E9C-101B-9397-08002B2CF9AE}" pid="3" name="KSOProductBuildVer">
    <vt:lpwstr>2052-12.1.0.20784</vt:lpwstr>
  </property>
  <property fmtid="{D5CDD505-2E9C-101B-9397-08002B2CF9AE}" pid="4" name="ICV">
    <vt:lpwstr>B6612B8D93194FCAA489FF19E06B6119_12</vt:lpwstr>
  </property>
</Properties>
</file>