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A10" w:rsidRDefault="00A40A10">
      <w:pPr>
        <w:spacing w:line="600" w:lineRule="exact"/>
        <w:rPr>
          <w:rFonts w:ascii="方正仿宋_GBK" w:hAnsi="华文中宋" w:cs="华文中宋"/>
          <w:color w:val="0D0D0D"/>
          <w:szCs w:val="32"/>
        </w:rPr>
      </w:pPr>
    </w:p>
    <w:p w:rsidR="00A40A10" w:rsidRDefault="00055A7A">
      <w:pPr>
        <w:spacing w:line="600" w:lineRule="exact"/>
        <w:jc w:val="center"/>
        <w:rPr>
          <w:rFonts w:eastAsia="方正小标宋_GBK"/>
          <w:color w:val="0D0D0D"/>
          <w:sz w:val="44"/>
          <w:szCs w:val="44"/>
        </w:rPr>
      </w:pPr>
      <w:r>
        <w:rPr>
          <w:rFonts w:eastAsia="方正小标宋_GBK"/>
          <w:color w:val="0D0D0D"/>
          <w:sz w:val="44"/>
          <w:szCs w:val="44"/>
        </w:rPr>
        <w:t>虎溪街道</w:t>
      </w:r>
      <w:r>
        <w:rPr>
          <w:rFonts w:eastAsia="方正小标宋_GBK" w:hint="eastAsia"/>
          <w:color w:val="0D0D0D"/>
          <w:sz w:val="44"/>
          <w:szCs w:val="44"/>
        </w:rPr>
        <w:t>便民服务中心（退役军人服务站）</w:t>
      </w:r>
    </w:p>
    <w:p w:rsidR="00A40A10" w:rsidRDefault="00055A7A">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color w:val="0D0D0D"/>
          <w:sz w:val="44"/>
          <w:szCs w:val="44"/>
        </w:rPr>
        <w:t>2026</w:t>
      </w:r>
      <w:r>
        <w:rPr>
          <w:rFonts w:ascii="方正小标宋_GBK" w:eastAsia="方正小标宋_GBK" w:hAnsi="华文中宋" w:cs="华文中宋" w:hint="eastAsia"/>
          <w:color w:val="0D0D0D"/>
          <w:sz w:val="44"/>
          <w:szCs w:val="44"/>
        </w:rPr>
        <w:t>年部门预算情况说明</w:t>
      </w:r>
    </w:p>
    <w:p w:rsidR="00A40A10" w:rsidRDefault="00A40A10">
      <w:pPr>
        <w:adjustRightInd w:val="0"/>
        <w:snapToGrid w:val="0"/>
        <w:spacing w:line="600" w:lineRule="exact"/>
        <w:ind w:left="640"/>
        <w:rPr>
          <w:rFonts w:ascii="方正黑体_GBK" w:eastAsia="方正黑体_GBK" w:hAnsi="黑体" w:cs="仿宋_GB2312"/>
          <w:color w:val="0D0D0D"/>
        </w:rPr>
      </w:pPr>
    </w:p>
    <w:p w:rsidR="00A40A10" w:rsidRDefault="00055A7A">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A40A10" w:rsidRDefault="00055A7A">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A40A10" w:rsidRDefault="00055A7A">
      <w:pPr>
        <w:spacing w:line="600" w:lineRule="exact"/>
        <w:ind w:firstLineChars="200" w:firstLine="640"/>
        <w:rPr>
          <w:color w:val="0D0D0D"/>
        </w:rPr>
      </w:pPr>
      <w:r>
        <w:rPr>
          <w:szCs w:val="32"/>
        </w:rPr>
        <w:t>负责社会救助、就业创业、劳动争议调解、社保、医保、退役军人等服务性工作</w:t>
      </w:r>
      <w:r>
        <w:rPr>
          <w:szCs w:val="32"/>
        </w:rPr>
        <w:t>，推进</w:t>
      </w:r>
      <w:r>
        <w:rPr>
          <w:szCs w:val="32"/>
        </w:rPr>
        <w:t>街道</w:t>
      </w:r>
      <w:r>
        <w:rPr>
          <w:szCs w:val="32"/>
        </w:rPr>
        <w:t>、</w:t>
      </w:r>
      <w:r>
        <w:rPr>
          <w:szCs w:val="32"/>
        </w:rPr>
        <w:t>村（居）</w:t>
      </w:r>
      <w:r>
        <w:rPr>
          <w:szCs w:val="32"/>
        </w:rPr>
        <w:t>服务窗口建设</w:t>
      </w:r>
      <w:r>
        <w:rPr>
          <w:szCs w:val="32"/>
        </w:rPr>
        <w:t>。</w:t>
      </w:r>
    </w:p>
    <w:p w:rsidR="00A40A10" w:rsidRDefault="00055A7A">
      <w:pPr>
        <w:pStyle w:val="a6"/>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A40A10" w:rsidRDefault="00055A7A">
      <w:pPr>
        <w:pStyle w:val="a6"/>
        <w:tabs>
          <w:tab w:val="center" w:pos="4153"/>
          <w:tab w:val="left" w:pos="7275"/>
        </w:tabs>
        <w:spacing w:line="600" w:lineRule="exact"/>
        <w:ind w:firstLine="640"/>
        <w:jc w:val="left"/>
        <w:rPr>
          <w:rFonts w:ascii="方正仿宋_GBK" w:hAnsi="仿宋_GB2312" w:cs="仿宋_GB2312"/>
          <w:color w:val="0D0D0D"/>
        </w:rPr>
      </w:pPr>
      <w:r>
        <w:rPr>
          <w:rFonts w:ascii="Times New Roman" w:eastAsia="方正仿宋_GBK" w:hAnsi="Times New Roman"/>
          <w:color w:val="0D0D0D"/>
          <w:sz w:val="32"/>
        </w:rPr>
        <w:t>本</w:t>
      </w:r>
      <w:r>
        <w:rPr>
          <w:rFonts w:ascii="Times New Roman" w:eastAsia="方正仿宋_GBK" w:hAnsi="Times New Roman"/>
          <w:color w:val="0D0D0D"/>
          <w:sz w:val="32"/>
        </w:rPr>
        <w:t>单位内设</w:t>
      </w:r>
      <w:r>
        <w:rPr>
          <w:rFonts w:ascii="Times New Roman" w:eastAsia="方正仿宋_GBK" w:hAnsi="Times New Roman"/>
          <w:color w:val="0D0D0D"/>
          <w:sz w:val="32"/>
        </w:rPr>
        <w:t>一</w:t>
      </w:r>
      <w:r>
        <w:rPr>
          <w:rFonts w:ascii="Times New Roman" w:eastAsia="方正仿宋_GBK" w:hAnsi="Times New Roman"/>
          <w:color w:val="0D0D0D"/>
          <w:sz w:val="32"/>
        </w:rPr>
        <w:t>个</w:t>
      </w:r>
      <w:r>
        <w:rPr>
          <w:rFonts w:ascii="Times New Roman" w:eastAsia="方正仿宋_GBK" w:hAnsi="Times New Roman"/>
          <w:color w:val="0D0D0D"/>
          <w:sz w:val="32"/>
        </w:rPr>
        <w:t>科</w:t>
      </w:r>
      <w:r>
        <w:rPr>
          <w:rFonts w:ascii="Times New Roman" w:eastAsia="方正仿宋_GBK" w:hAnsi="Times New Roman"/>
          <w:color w:val="0D0D0D"/>
          <w:sz w:val="32"/>
        </w:rPr>
        <w:t>室，</w:t>
      </w:r>
      <w:r>
        <w:rPr>
          <w:rFonts w:ascii="Times New Roman" w:eastAsia="方正仿宋_GBK" w:hAnsi="Times New Roman"/>
          <w:color w:val="0D0D0D"/>
          <w:sz w:val="32"/>
        </w:rPr>
        <w:t>为</w:t>
      </w:r>
      <w:r>
        <w:rPr>
          <w:rFonts w:ascii="Times New Roman" w:eastAsia="方正仿宋_GBK" w:hAnsi="Times New Roman"/>
          <w:color w:val="0D0D0D"/>
          <w:sz w:val="32"/>
        </w:rPr>
        <w:t>便民服务中心（退役军人服务站）</w:t>
      </w:r>
      <w:r>
        <w:rPr>
          <w:rFonts w:ascii="Times New Roman" w:eastAsia="方正仿宋_GBK" w:hAnsi="Times New Roman"/>
          <w:color w:val="0D0D0D"/>
          <w:sz w:val="32"/>
        </w:rPr>
        <w:t>。</w:t>
      </w:r>
    </w:p>
    <w:p w:rsidR="00A40A10" w:rsidRDefault="00055A7A">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二、部门收支总体情况</w:t>
      </w:r>
    </w:p>
    <w:p w:rsidR="00A40A10" w:rsidRDefault="00055A7A">
      <w:pPr>
        <w:adjustRightInd w:val="0"/>
        <w:snapToGrid w:val="0"/>
        <w:spacing w:line="600" w:lineRule="exact"/>
        <w:ind w:firstLineChars="200" w:firstLine="640"/>
        <w:rPr>
          <w:color w:val="0D0D0D"/>
        </w:rPr>
      </w:pPr>
      <w:r>
        <w:rPr>
          <w:color w:val="0D0D0D"/>
        </w:rPr>
        <w:t>（一）收入预算：</w:t>
      </w:r>
      <w:r>
        <w:rPr>
          <w:color w:val="0D0D0D"/>
        </w:rPr>
        <w:t>2026</w:t>
      </w:r>
      <w:r>
        <w:rPr>
          <w:color w:val="0D0D0D"/>
        </w:rPr>
        <w:t>年年初预算数</w:t>
      </w:r>
      <w:r>
        <w:rPr>
          <w:rFonts w:hint="eastAsia"/>
          <w:color w:val="0D0D0D"/>
        </w:rPr>
        <w:t>106.05</w:t>
      </w:r>
      <w:r>
        <w:rPr>
          <w:color w:val="0D0D0D"/>
        </w:rPr>
        <w:t>万元，其中：一般公共预算拨款</w:t>
      </w:r>
      <w:r>
        <w:rPr>
          <w:rFonts w:hint="eastAsia"/>
          <w:color w:val="0D0D0D"/>
        </w:rPr>
        <w:t>106.05</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年增加</w:t>
      </w:r>
      <w:r>
        <w:rPr>
          <w:rFonts w:hint="eastAsia"/>
          <w:color w:val="0D0D0D"/>
        </w:rPr>
        <w:t>3.54</w:t>
      </w:r>
      <w:r>
        <w:rPr>
          <w:color w:val="0D0D0D"/>
        </w:rPr>
        <w:t>万元，</w:t>
      </w:r>
      <w:r>
        <w:rPr>
          <w:color w:val="0D0D0D"/>
          <w:szCs w:val="22"/>
        </w:rPr>
        <w:t>主要是</w:t>
      </w:r>
      <w:r>
        <w:rPr>
          <w:rFonts w:hint="eastAsia"/>
          <w:color w:val="0D0D0D"/>
          <w:szCs w:val="22"/>
        </w:rPr>
        <w:t>在职人员正常晋升致使相关</w:t>
      </w:r>
      <w:r>
        <w:rPr>
          <w:color w:val="0D0D0D"/>
          <w:szCs w:val="22"/>
        </w:rPr>
        <w:t>经费拨款增加</w:t>
      </w:r>
      <w:r>
        <w:rPr>
          <w:rFonts w:hint="eastAsia"/>
          <w:color w:val="0D0D0D"/>
          <w:szCs w:val="22"/>
        </w:rPr>
        <w:t>3.54</w:t>
      </w:r>
      <w:r>
        <w:rPr>
          <w:color w:val="0D0D0D"/>
          <w:szCs w:val="22"/>
        </w:rPr>
        <w:t>万元。</w:t>
      </w:r>
    </w:p>
    <w:p w:rsidR="00A40A10" w:rsidRDefault="00055A7A">
      <w:pPr>
        <w:adjustRightInd w:val="0"/>
        <w:snapToGrid w:val="0"/>
        <w:spacing w:line="600" w:lineRule="exact"/>
        <w:ind w:firstLineChars="200" w:firstLine="640"/>
        <w:rPr>
          <w:rFonts w:ascii="方正仿宋_GBK" w:hAnsi="仿宋_GB2312" w:cs="仿宋_GB2312"/>
          <w:color w:val="0D0D0D"/>
        </w:rPr>
      </w:pPr>
      <w:r>
        <w:rPr>
          <w:color w:val="0D0D0D"/>
        </w:rPr>
        <w:t>（二）支出预算：</w:t>
      </w:r>
      <w:r>
        <w:rPr>
          <w:color w:val="0D0D0D"/>
        </w:rPr>
        <w:t>2026</w:t>
      </w:r>
      <w:r>
        <w:rPr>
          <w:color w:val="0D0D0D"/>
        </w:rPr>
        <w:t>年年初预算数</w:t>
      </w:r>
      <w:r>
        <w:rPr>
          <w:rFonts w:hint="eastAsia"/>
          <w:color w:val="0D0D0D"/>
        </w:rPr>
        <w:t>106.05</w:t>
      </w:r>
      <w:r>
        <w:rPr>
          <w:color w:val="0D0D0D"/>
        </w:rPr>
        <w:t>万元，其中：社会保障和就业支出预算</w:t>
      </w:r>
      <w:r>
        <w:rPr>
          <w:rFonts w:hint="eastAsia"/>
          <w:color w:val="0D0D0D"/>
        </w:rPr>
        <w:t>96.74</w:t>
      </w:r>
      <w:r>
        <w:rPr>
          <w:color w:val="0D0D0D"/>
        </w:rPr>
        <w:t>万元，卫生健康支出预算</w:t>
      </w:r>
      <w:r>
        <w:rPr>
          <w:rFonts w:hint="eastAsia"/>
          <w:color w:val="0D0D0D"/>
        </w:rPr>
        <w:t>4.91</w:t>
      </w:r>
      <w:r>
        <w:rPr>
          <w:color w:val="0D0D0D"/>
        </w:rPr>
        <w:t>万元</w:t>
      </w:r>
      <w:r>
        <w:rPr>
          <w:rFonts w:hint="eastAsia"/>
          <w:color w:val="0D0D0D"/>
        </w:rPr>
        <w:t>，</w:t>
      </w:r>
      <w:r>
        <w:rPr>
          <w:color w:val="0D0D0D"/>
        </w:rPr>
        <w:t>住房保障支出预算</w:t>
      </w:r>
      <w:r>
        <w:rPr>
          <w:rFonts w:hint="eastAsia"/>
          <w:color w:val="0D0D0D"/>
        </w:rPr>
        <w:t>4.4</w:t>
      </w:r>
      <w:r>
        <w:rPr>
          <w:color w:val="0D0D0D"/>
        </w:rPr>
        <w:t>万元。支出预算较</w:t>
      </w:r>
      <w:r>
        <w:rPr>
          <w:color w:val="0D0D0D"/>
        </w:rPr>
        <w:t>2025</w:t>
      </w:r>
      <w:r>
        <w:rPr>
          <w:color w:val="0D0D0D"/>
        </w:rPr>
        <w:t>年增加</w:t>
      </w:r>
      <w:r>
        <w:rPr>
          <w:rFonts w:hint="eastAsia"/>
          <w:color w:val="0D0D0D"/>
        </w:rPr>
        <w:t>3.54</w:t>
      </w:r>
      <w:r>
        <w:rPr>
          <w:color w:val="0D0D0D"/>
        </w:rPr>
        <w:t>万元，主要是基本支出预算增加</w:t>
      </w:r>
      <w:r>
        <w:rPr>
          <w:rFonts w:hint="eastAsia"/>
          <w:color w:val="0D0D0D"/>
        </w:rPr>
        <w:t>3.54</w:t>
      </w:r>
      <w:r>
        <w:rPr>
          <w:color w:val="0D0D0D"/>
        </w:rPr>
        <w:t>万元，项目支出预算增加</w:t>
      </w:r>
      <w:r>
        <w:rPr>
          <w:rFonts w:hint="eastAsia"/>
          <w:color w:val="0D0D0D"/>
        </w:rPr>
        <w:t>0</w:t>
      </w:r>
      <w:r>
        <w:rPr>
          <w:color w:val="0D0D0D"/>
        </w:rPr>
        <w:t>万元。</w:t>
      </w:r>
    </w:p>
    <w:p w:rsidR="00A40A10" w:rsidRDefault="00055A7A">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lastRenderedPageBreak/>
        <w:t>三、部门预算情况说明</w:t>
      </w:r>
    </w:p>
    <w:p w:rsidR="00A40A10" w:rsidRDefault="00055A7A">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rFonts w:hint="eastAsia"/>
          <w:color w:val="0D0D0D"/>
        </w:rPr>
        <w:t>106.05</w:t>
      </w:r>
      <w:r>
        <w:rPr>
          <w:color w:val="0D0D0D"/>
        </w:rPr>
        <w:t>万元，一般公共预算财政拨款支出</w:t>
      </w:r>
      <w:r>
        <w:rPr>
          <w:rFonts w:hint="eastAsia"/>
          <w:color w:val="0D0D0D"/>
        </w:rPr>
        <w:t>106.05</w:t>
      </w:r>
      <w:r>
        <w:rPr>
          <w:color w:val="0D0D0D"/>
        </w:rPr>
        <w:t>万元，比</w:t>
      </w:r>
      <w:r>
        <w:rPr>
          <w:color w:val="0D0D0D"/>
        </w:rPr>
        <w:t>2025</w:t>
      </w:r>
      <w:r>
        <w:rPr>
          <w:color w:val="0D0D0D"/>
        </w:rPr>
        <w:t>年增加</w:t>
      </w:r>
      <w:r>
        <w:rPr>
          <w:rFonts w:hint="eastAsia"/>
          <w:color w:val="0D0D0D"/>
        </w:rPr>
        <w:t>3.54</w:t>
      </w:r>
      <w:r>
        <w:rPr>
          <w:color w:val="0D0D0D"/>
        </w:rPr>
        <w:t>万元。其中：基本支出</w:t>
      </w:r>
      <w:r>
        <w:rPr>
          <w:rFonts w:hint="eastAsia"/>
          <w:color w:val="0D0D0D"/>
        </w:rPr>
        <w:t>106.05</w:t>
      </w:r>
      <w:r>
        <w:rPr>
          <w:color w:val="0D0D0D"/>
        </w:rPr>
        <w:t>万元，比</w:t>
      </w:r>
      <w:r>
        <w:rPr>
          <w:color w:val="0D0D0D"/>
        </w:rPr>
        <w:t>2025</w:t>
      </w:r>
      <w:r>
        <w:rPr>
          <w:color w:val="0D0D0D"/>
        </w:rPr>
        <w:t>年增加</w:t>
      </w:r>
      <w:r>
        <w:rPr>
          <w:rFonts w:hint="eastAsia"/>
          <w:color w:val="0D0D0D"/>
        </w:rPr>
        <w:t>3.54</w:t>
      </w:r>
      <w:r>
        <w:rPr>
          <w:color w:val="0D0D0D"/>
        </w:rPr>
        <w:t>万元，主要原因是</w:t>
      </w:r>
      <w:r>
        <w:rPr>
          <w:color w:val="0D0D0D"/>
        </w:rPr>
        <w:t>在职人员正常晋升</w:t>
      </w:r>
      <w:r>
        <w:rPr>
          <w:color w:val="0D0D0D"/>
        </w:rPr>
        <w:t>，主要用于保障在职人员工资福利及社会保险缴费，离休人员离休费，退休人员补助等，保障部门正常运转的各项商品服务支出；项目支出</w:t>
      </w:r>
      <w:r>
        <w:rPr>
          <w:color w:val="0D0D0D"/>
        </w:rPr>
        <w:t>0</w:t>
      </w:r>
      <w:r>
        <w:rPr>
          <w:color w:val="0D0D0D"/>
        </w:rPr>
        <w:t>万元。</w:t>
      </w:r>
    </w:p>
    <w:p w:rsidR="00A40A10" w:rsidRDefault="00055A7A">
      <w:pPr>
        <w:adjustRightInd w:val="0"/>
        <w:snapToGrid w:val="0"/>
        <w:spacing w:line="600" w:lineRule="exact"/>
        <w:ind w:firstLineChars="200" w:firstLine="640"/>
        <w:rPr>
          <w:color w:val="0D0D0D"/>
        </w:rPr>
      </w:pPr>
      <w:r>
        <w:rPr>
          <w:color w:val="0D0D0D"/>
        </w:rPr>
        <w:t>本单位</w:t>
      </w:r>
      <w:r>
        <w:rPr>
          <w:color w:val="0D0D0D"/>
        </w:rPr>
        <w:t>2026</w:t>
      </w:r>
      <w:r>
        <w:rPr>
          <w:color w:val="0D0D0D"/>
        </w:rPr>
        <w:t>年无使用政府性基金预算拨款安排的支出</w:t>
      </w:r>
      <w:r>
        <w:rPr>
          <w:color w:val="0D0D0D"/>
        </w:rPr>
        <w:t>。</w:t>
      </w:r>
    </w:p>
    <w:p w:rsidR="00A40A10" w:rsidRDefault="00055A7A">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A40A10" w:rsidRDefault="00055A7A">
      <w:pPr>
        <w:spacing w:line="600" w:lineRule="exact"/>
        <w:ind w:firstLineChars="200" w:firstLine="640"/>
        <w:rPr>
          <w:rFonts w:ascii="方正仿宋_GBK" w:hAnsi="仿宋_GB2312" w:cs="仿宋_GB2312"/>
          <w:color w:val="0D0D0D"/>
        </w:rPr>
      </w:pPr>
      <w:r>
        <w:t>本单位</w:t>
      </w:r>
      <w:r>
        <w:t>202</w:t>
      </w:r>
      <w:r>
        <w:rPr>
          <w:rFonts w:hint="eastAsia"/>
        </w:rPr>
        <w:t>6</w:t>
      </w:r>
      <w:r>
        <w:t>年未预算</w:t>
      </w:r>
      <w:r>
        <w:rPr>
          <w:rFonts w:hint="eastAsia"/>
        </w:rPr>
        <w:t>“</w:t>
      </w:r>
      <w:r>
        <w:t>三公</w:t>
      </w:r>
      <w:r>
        <w:rPr>
          <w:rFonts w:hint="eastAsia"/>
        </w:rPr>
        <w:t>”</w:t>
      </w:r>
      <w:r>
        <w:t>经费</w:t>
      </w:r>
      <w:r>
        <w:rPr>
          <w:color w:val="0D0D0D"/>
        </w:rPr>
        <w:t>。</w:t>
      </w:r>
    </w:p>
    <w:p w:rsidR="00A40A10" w:rsidRDefault="00055A7A">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A40A10" w:rsidRDefault="00055A7A">
      <w:pPr>
        <w:adjustRightInd w:val="0"/>
        <w:snapToGrid w:val="0"/>
        <w:spacing w:line="600" w:lineRule="exact"/>
        <w:ind w:firstLineChars="200" w:firstLine="640"/>
        <w:rPr>
          <w:color w:val="0D0D0D"/>
        </w:rPr>
      </w:pPr>
      <w:r>
        <w:rPr>
          <w:color w:val="0D0D0D"/>
        </w:rPr>
        <w:t>（一）我单位不在机关运行经费统计范围之内。</w:t>
      </w:r>
    </w:p>
    <w:p w:rsidR="00A40A10" w:rsidRDefault="00055A7A">
      <w:pPr>
        <w:adjustRightInd w:val="0"/>
        <w:snapToGrid w:val="0"/>
        <w:spacing w:line="600" w:lineRule="exact"/>
        <w:ind w:firstLineChars="200" w:firstLine="640"/>
        <w:rPr>
          <w:color w:val="0D0D0D"/>
        </w:rPr>
      </w:pPr>
      <w:r>
        <w:rPr>
          <w:color w:val="0D0D0D"/>
        </w:rPr>
        <w:t>（二）政府采购情况。本单位</w:t>
      </w:r>
      <w:r>
        <w:rPr>
          <w:color w:val="0D0D0D"/>
        </w:rPr>
        <w:t>202</w:t>
      </w:r>
      <w:r>
        <w:rPr>
          <w:color w:val="0D0D0D"/>
        </w:rPr>
        <w:t>6</w:t>
      </w:r>
      <w:r>
        <w:rPr>
          <w:color w:val="0D0D0D"/>
        </w:rPr>
        <w:t>年未编列政府采购预算。</w:t>
      </w:r>
    </w:p>
    <w:p w:rsidR="00A40A10" w:rsidRDefault="00055A7A">
      <w:pPr>
        <w:adjustRightInd w:val="0"/>
        <w:snapToGrid w:val="0"/>
        <w:spacing w:line="600" w:lineRule="exact"/>
        <w:ind w:firstLineChars="200" w:firstLine="640"/>
        <w:rPr>
          <w:color w:val="0D0D0D"/>
        </w:rPr>
      </w:pPr>
      <w:r>
        <w:rPr>
          <w:color w:val="0D0D0D"/>
        </w:rPr>
        <w:t>（三）绩效目标设置情况。</w:t>
      </w:r>
      <w:r>
        <w:rPr>
          <w:color w:val="0D0D0D"/>
        </w:rPr>
        <w:t>2026</w:t>
      </w:r>
      <w:r>
        <w:rPr>
          <w:color w:val="0D0D0D"/>
        </w:rPr>
        <w:t>年项目支出均实行了绩效目标管理，涉及一般公共预算当年财政拨款</w:t>
      </w:r>
      <w:r>
        <w:rPr>
          <w:color w:val="0D0D0D"/>
        </w:rPr>
        <w:t>0</w:t>
      </w:r>
      <w:r>
        <w:rPr>
          <w:color w:val="0D0D0D"/>
        </w:rPr>
        <w:t>万元。</w:t>
      </w:r>
    </w:p>
    <w:p w:rsidR="00A40A10" w:rsidRDefault="00055A7A">
      <w:pPr>
        <w:adjustRightInd w:val="0"/>
        <w:snapToGrid w:val="0"/>
        <w:spacing w:line="600" w:lineRule="exact"/>
        <w:ind w:firstLineChars="200" w:firstLine="640"/>
        <w:rPr>
          <w:color w:val="0D0D0D"/>
        </w:rPr>
      </w:pPr>
      <w:r>
        <w:rPr>
          <w:color w:val="0D0D0D"/>
        </w:rPr>
        <w:t>（四）国有资产占有使用情况。</w:t>
      </w:r>
      <w:r>
        <w:rPr>
          <w:rFonts w:hint="eastAsia"/>
          <w:color w:val="0D0D0D"/>
        </w:rPr>
        <w:t>截至</w:t>
      </w:r>
      <w:r>
        <w:rPr>
          <w:color w:val="0D0D0D"/>
        </w:rPr>
        <w:t>2025</w:t>
      </w:r>
      <w:r>
        <w:rPr>
          <w:color w:val="0D0D0D"/>
        </w:rPr>
        <w:t>年</w:t>
      </w:r>
      <w:r>
        <w:rPr>
          <w:color w:val="0D0D0D"/>
        </w:rPr>
        <w:t>12</w:t>
      </w:r>
      <w:r>
        <w:rPr>
          <w:color w:val="0D0D0D"/>
        </w:rPr>
        <w:t>月，所属各预算单位</w:t>
      </w:r>
      <w:r>
        <w:rPr>
          <w:rFonts w:hint="eastAsia"/>
          <w:color w:val="0D0D0D"/>
        </w:rPr>
        <w:t>无</w:t>
      </w:r>
      <w:r>
        <w:rPr>
          <w:color w:val="0D0D0D"/>
        </w:rPr>
        <w:t>车辆。</w:t>
      </w:r>
      <w:r>
        <w:rPr>
          <w:color w:val="0D0D0D"/>
        </w:rPr>
        <w:t>2026</w:t>
      </w:r>
      <w:r>
        <w:rPr>
          <w:color w:val="0D0D0D"/>
        </w:rPr>
        <w:t>年一般公共预算</w:t>
      </w:r>
      <w:r>
        <w:rPr>
          <w:rFonts w:hint="eastAsia"/>
          <w:color w:val="0D0D0D"/>
        </w:rPr>
        <w:t>未</w:t>
      </w:r>
      <w:r>
        <w:rPr>
          <w:color w:val="0D0D0D"/>
        </w:rPr>
        <w:t>安排购置车辆。</w:t>
      </w:r>
    </w:p>
    <w:p w:rsidR="00A40A10" w:rsidRDefault="00055A7A">
      <w:pPr>
        <w:adjustRightInd w:val="0"/>
        <w:snapToGrid w:val="0"/>
        <w:spacing w:line="600" w:lineRule="exact"/>
        <w:ind w:firstLineChars="200" w:firstLine="640"/>
        <w:rPr>
          <w:color w:val="0D0D0D"/>
        </w:rPr>
      </w:pPr>
      <w:r>
        <w:rPr>
          <w:color w:val="0D0D0D"/>
        </w:rPr>
        <w:t>（五）委托业务费情况。</w:t>
      </w:r>
      <w:r>
        <w:rPr>
          <w:color w:val="0D0D0D"/>
        </w:rPr>
        <w:t>2026</w:t>
      </w:r>
      <w:r>
        <w:rPr>
          <w:color w:val="0D0D0D"/>
        </w:rPr>
        <w:t>年委托业务费涉及财拨资金</w:t>
      </w:r>
      <w:r>
        <w:rPr>
          <w:rFonts w:hint="eastAsia"/>
          <w:color w:val="0D0D0D"/>
        </w:rPr>
        <w:t>8.3</w:t>
      </w:r>
      <w:r>
        <w:rPr>
          <w:color w:val="0D0D0D"/>
        </w:rPr>
        <w:t>万元，主要</w:t>
      </w:r>
      <w:r>
        <w:rPr>
          <w:color w:val="0D0D0D"/>
          <w:szCs w:val="22"/>
        </w:rPr>
        <w:t>用于委托三方</w:t>
      </w:r>
      <w:r>
        <w:rPr>
          <w:color w:val="0D0D0D"/>
          <w:szCs w:val="22"/>
        </w:rPr>
        <w:t>实施</w:t>
      </w:r>
      <w:r>
        <w:rPr>
          <w:rFonts w:hint="eastAsia"/>
          <w:color w:val="0D0D0D"/>
          <w:szCs w:val="22"/>
        </w:rPr>
        <w:t>后勤</w:t>
      </w:r>
      <w:r>
        <w:rPr>
          <w:color w:val="0D0D0D"/>
          <w:szCs w:val="22"/>
        </w:rPr>
        <w:t>服务</w:t>
      </w:r>
      <w:r>
        <w:rPr>
          <w:rFonts w:hint="eastAsia"/>
          <w:color w:val="0D0D0D"/>
          <w:szCs w:val="22"/>
        </w:rPr>
        <w:t>等</w:t>
      </w:r>
      <w:r>
        <w:rPr>
          <w:color w:val="0D0D0D"/>
          <w:szCs w:val="22"/>
        </w:rPr>
        <w:t>支</w:t>
      </w:r>
      <w:r>
        <w:rPr>
          <w:color w:val="0D0D0D"/>
        </w:rPr>
        <w:t>出。</w:t>
      </w:r>
    </w:p>
    <w:p w:rsidR="00A40A10" w:rsidRDefault="00055A7A">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六、专业性名词解释</w:t>
      </w:r>
    </w:p>
    <w:p w:rsidR="00A40A10" w:rsidRDefault="00055A7A">
      <w:pPr>
        <w:pStyle w:val="a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w:t>
      </w:r>
      <w:r>
        <w:rPr>
          <w:rFonts w:ascii="方正仿宋_GBK" w:eastAsia="方正仿宋_GBK" w:hint="eastAsia"/>
          <w:color w:val="0D0D0D"/>
          <w:sz w:val="32"/>
          <w:szCs w:val="32"/>
        </w:rPr>
        <w:lastRenderedPageBreak/>
        <w:t>拨款，包括一般公共预算财政拨款和政府性基金预算财政拨款。</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w:t>
      </w:r>
      <w:r>
        <w:rPr>
          <w:rFonts w:ascii="方正仿宋_GBK" w:hAnsi="仿宋" w:hint="eastAsia"/>
          <w:color w:val="0D0D0D"/>
          <w:szCs w:val="32"/>
        </w:rPr>
        <w:t>指本单位所属下级单位上缴给本单位的全部收入（包括下级事业单位上缴的事业收入、其他收入和下级企业单位上缴的利润等）。单位结合上年度附属单位上缴收入等情况商附属单位进行预计。</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w:t>
      </w:r>
      <w:r>
        <w:rPr>
          <w:rFonts w:ascii="方正仿宋_GBK" w:hAnsi="仿宋" w:hint="eastAsia"/>
          <w:color w:val="0D0D0D"/>
          <w:szCs w:val="32"/>
        </w:rPr>
        <w:lastRenderedPageBreak/>
        <w:t>情况合理预计，全部编入预算。</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w:t>
      </w:r>
      <w:r>
        <w:rPr>
          <w:rFonts w:ascii="方正仿宋_GBK" w:hAnsi="仿宋" w:hint="eastAsia"/>
          <w:color w:val="0D0D0D"/>
          <w:szCs w:val="32"/>
        </w:rPr>
        <w:t>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w:t>
      </w:r>
      <w:r>
        <w:rPr>
          <w:rFonts w:ascii="方正仿宋_GBK" w:hAnsi="仿宋" w:hint="eastAsia"/>
          <w:color w:val="0D0D0D"/>
          <w:szCs w:val="32"/>
        </w:rPr>
        <w:t>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方正仿宋_GBK" w:hAnsi="仿宋" w:hint="eastAsia"/>
          <w:color w:val="0D0D0D"/>
          <w:szCs w:val="32"/>
        </w:rPr>
        <w:t>；</w:t>
      </w:r>
      <w:r>
        <w:rPr>
          <w:rFonts w:ascii="方正仿宋_GBK" w:hAnsi="仿宋" w:hint="eastAsia"/>
          <w:color w:val="0D0D0D"/>
          <w:szCs w:val="32"/>
        </w:rPr>
        <w:t>公务用车运行维</w:t>
      </w:r>
      <w:r>
        <w:rPr>
          <w:rFonts w:ascii="方正仿宋_GBK" w:hAnsi="仿宋" w:hint="eastAsia"/>
          <w:color w:val="0D0D0D"/>
          <w:szCs w:val="32"/>
        </w:rPr>
        <w:lastRenderedPageBreak/>
        <w:t>护费反映单位按规定保留的公务用车燃料费、维修费、过路过桥费</w:t>
      </w:r>
      <w:r>
        <w:rPr>
          <w:rFonts w:ascii="方正仿宋_GBK" w:hAnsi="仿宋" w:hint="eastAsia"/>
          <w:color w:val="0D0D0D"/>
          <w:szCs w:val="32"/>
        </w:rPr>
        <w:t>、保险费、安全奖励费用等支出；公务接待费反映单位按规定开支的各类公务接待（含外宾接待）支出。</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（十三）工资福利支出（支出经济分类科目类级）：反映单位开支的在职职工和编制外长期聘用人员的各类劳动报酬，以及为上述人员缴纳的各项社会保险费等。</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w:t>
      </w:r>
      <w:r>
        <w:rPr>
          <w:rFonts w:ascii="方正仿宋_GBK" w:hAnsi="仿宋" w:hint="eastAsia"/>
          <w:color w:val="0D0D0D"/>
          <w:szCs w:val="32"/>
        </w:rPr>
        <w:t>商品和服务支出（支出经济分类科目类级）：反映单位购买商品和服务的支出（不包括用于购置固定资产的支出、战略性和应急储备支出）。</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（十五）对个人和家庭的补助（支出经济分类科目类级）：反映用于对个人和家庭的补助支出。</w:t>
      </w:r>
    </w:p>
    <w:p w:rsidR="00A40A10" w:rsidRDefault="00055A7A">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A40A10" w:rsidRDefault="00A40A10">
      <w:pPr>
        <w:adjustRightInd w:val="0"/>
        <w:snapToGrid w:val="0"/>
        <w:spacing w:line="600" w:lineRule="exact"/>
        <w:ind w:firstLineChars="200" w:firstLine="640"/>
        <w:rPr>
          <w:rFonts w:ascii="方正仿宋_GBK" w:hAnsi="仿宋_GB2312" w:cs="仿宋_GB2312"/>
          <w:color w:val="0D0D0D"/>
        </w:rPr>
      </w:pPr>
    </w:p>
    <w:p w:rsidR="00A40A10" w:rsidRDefault="00055A7A">
      <w:pPr>
        <w:adjustRightInd w:val="0"/>
        <w:snapToGrid w:val="0"/>
        <w:spacing w:line="600" w:lineRule="exact"/>
        <w:ind w:firstLineChars="200" w:firstLine="640"/>
        <w:rPr>
          <w:rFonts w:ascii="方正仿宋_GBK"/>
          <w:color w:val="0D0D0D"/>
        </w:rPr>
      </w:pPr>
      <w:r>
        <w:rPr>
          <w:rFonts w:ascii="方正仿宋_GBK" w:hAnsi="仿宋_GB2312" w:cs="仿宋_GB2312" w:hint="eastAsia"/>
          <w:color w:val="0D0D0D"/>
        </w:rPr>
        <w:lastRenderedPageBreak/>
        <w:t>部门预算公开联系人：</w:t>
      </w:r>
      <w:r>
        <w:rPr>
          <w:rFonts w:ascii="方正仿宋_GBK" w:hAnsi="仿宋_GB2312" w:cs="仿宋_GB2312" w:hint="eastAsia"/>
          <w:color w:val="0D0D0D"/>
        </w:rPr>
        <w:t>石文</w:t>
      </w:r>
      <w:r>
        <w:rPr>
          <w:color w:val="0D0D0D"/>
        </w:rPr>
        <w:t>静</w:t>
      </w:r>
      <w:r w:rsidR="00DD2D0D">
        <w:rPr>
          <w:rFonts w:hint="eastAsia"/>
          <w:color w:val="0D0D0D"/>
        </w:rPr>
        <w:t>，</w:t>
      </w:r>
      <w:bookmarkStart w:id="0" w:name="_GoBack"/>
      <w:bookmarkEnd w:id="0"/>
      <w:r>
        <w:rPr>
          <w:color w:val="0D0D0D"/>
        </w:rPr>
        <w:t>联系方式：</w:t>
      </w:r>
      <w:r>
        <w:rPr>
          <w:color w:val="0D0D0D"/>
        </w:rPr>
        <w:t>023-61691708</w:t>
      </w:r>
    </w:p>
    <w:p w:rsidR="00A40A10" w:rsidRDefault="00A40A10"/>
    <w:sectPr w:rsidR="00A40A10">
      <w:footerReference w:type="even" r:id="rId8"/>
      <w:footerReference w:type="default" r:id="rId9"/>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7A" w:rsidRDefault="00055A7A">
      <w:r>
        <w:separator/>
      </w:r>
    </w:p>
  </w:endnote>
  <w:endnote w:type="continuationSeparator" w:id="0">
    <w:p w:rsidR="00055A7A" w:rsidRDefault="0005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A10" w:rsidRDefault="00055A7A">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A40A10" w:rsidRDefault="00A40A10">
    <w:pPr>
      <w:pStyle w:val="a4"/>
      <w:framePr w:wrap="around" w:vAnchor="text" w:hAnchor="margin" w:xAlign="outside" w:y="1"/>
      <w:ind w:leftChars="200" w:left="640" w:rightChars="200" w:right="640" w:firstLine="360"/>
      <w:rPr>
        <w:rStyle w:val="a5"/>
        <w:rFonts w:ascii="宋体" w:eastAsia="宋体" w:hAnsi="宋体"/>
        <w:sz w:val="28"/>
        <w:szCs w:val="28"/>
      </w:rPr>
    </w:pPr>
  </w:p>
  <w:p w:rsidR="00A40A10" w:rsidRDefault="00A40A1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A10" w:rsidRDefault="00055A7A">
    <w:pPr>
      <w:pStyle w:val="a4"/>
      <w:framePr w:wrap="around" w:vAnchor="text" w:hAnchor="margin" w:xAlign="outside" w:y="1"/>
      <w:ind w:rightChars="100" w:righ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DD2D0D">
      <w:rPr>
        <w:rStyle w:val="a5"/>
        <w:rFonts w:eastAsia="宋体"/>
        <w:noProof/>
        <w:sz w:val="28"/>
        <w:szCs w:val="28"/>
      </w:rPr>
      <w:t>5</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A40A10" w:rsidRDefault="00A40A1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7A" w:rsidRDefault="00055A7A">
      <w:r>
        <w:separator/>
      </w:r>
    </w:p>
  </w:footnote>
  <w:footnote w:type="continuationSeparator" w:id="0">
    <w:p w:rsidR="00055A7A" w:rsidRDefault="00055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773A6"/>
    <w:rsid w:val="00055A7A"/>
    <w:rsid w:val="00A40A10"/>
    <w:rsid w:val="00DD2D0D"/>
    <w:rsid w:val="155D2B67"/>
    <w:rsid w:val="1FBA1096"/>
    <w:rsid w:val="261B0071"/>
    <w:rsid w:val="2AAC083E"/>
    <w:rsid w:val="2D3A2C62"/>
    <w:rsid w:val="2D980D6C"/>
    <w:rsid w:val="34ED0B19"/>
    <w:rsid w:val="35637DFD"/>
    <w:rsid w:val="599D2F15"/>
    <w:rsid w:val="6A37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2110</Characters>
  <Application>Microsoft Office Word</Application>
  <DocSecurity>0</DocSecurity>
  <Lines>17</Lines>
  <Paragraphs>4</Paragraphs>
  <ScaleCrop>false</ScaleCrop>
  <Company>其他</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cp:revision>
  <dcterms:created xsi:type="dcterms:W3CDTF">2026-04-01T15:10:00Z</dcterms:created>
  <dcterms:modified xsi:type="dcterms:W3CDTF">2026-05-12T10:54:00Z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eyJoZGlkIjoiODEyNzIyNThjNWRiZTRhOGZmYmUyNzBiOWEyNWE2NDIiLCJ1c2VySWQiOiIzNDU0NTIyNTYifQ==</vt:lpwstr>
  </property>
  <property fmtid="{D5CDD505-2E9C-101B-9397-08002B2CF9AE}" pid="4" name="ICV">
    <vt:lpwstr>72A6C95ACB89480DBF425ECBFE05FD40_12</vt:lpwstr>
  </property>
</Properties>
</file>