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122BC">
      <w:pPr>
        <w:spacing w:line="600" w:lineRule="exact"/>
        <w:jc w:val="center"/>
        <w:rPr>
          <w:rFonts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重庆高新区政务服务和社会事务中心（本级）</w:t>
      </w:r>
    </w:p>
    <w:p w14:paraId="51EB4B53">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2025年预算公开情况说明</w:t>
      </w:r>
    </w:p>
    <w:p w14:paraId="06600907">
      <w:pPr>
        <w:spacing w:line="600" w:lineRule="exact"/>
        <w:ind w:firstLine="880" w:firstLineChars="200"/>
        <w:jc w:val="center"/>
        <w:rPr>
          <w:rFonts w:ascii="华文中宋" w:hAnsi="华文中宋" w:eastAsia="华文中宋" w:cs="华文中宋"/>
          <w:sz w:val="44"/>
          <w:szCs w:val="44"/>
        </w:rPr>
      </w:pPr>
    </w:p>
    <w:p w14:paraId="04E5620A">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7F833F2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3D6F5912">
      <w:pPr>
        <w:tabs>
          <w:tab w:val="center" w:pos="4153"/>
          <w:tab w:val="left" w:pos="7275"/>
        </w:tabs>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承担高新区行政审批事项和服务事项集中办理服务；承担高新区体育、劳动就业、社会保障、医疗保障、残联等方面的具体事务性工作。负责人力社保工作中除专业技术人员管理、事业单位人事管理、工资福利和表彰奖励工作以外的事务性工作。</w:t>
      </w:r>
    </w:p>
    <w:p w14:paraId="2FBD4F7D">
      <w:pPr>
        <w:tabs>
          <w:tab w:val="center" w:pos="4153"/>
          <w:tab w:val="left" w:pos="7275"/>
        </w:tabs>
        <w:spacing w:line="600" w:lineRule="exact"/>
        <w:ind w:left="640"/>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47A6B410">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内设综合部、社会保障事务部、医疗保障事务部、劳动就业事务部、体育帮扶事务部、政务服务管理部、劳动人事争议仲裁院。</w:t>
      </w:r>
    </w:p>
    <w:p w14:paraId="132678D3">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35E80AF3">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18938.23万元，其中：一般公共预算拨款17650.03万元，政府性基金预算拨款1284.2万元，国有资本经营预算收入4万元，无事业收入、事业单位经营收入及其他收入。收入较2024年减少3553.87万元，主要是一般公共预算拨款减少3619.67万元，政府性基金预算拨款增加65.8万元。</w:t>
      </w:r>
    </w:p>
    <w:p w14:paraId="5251AB30">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18938.23万元，其中：社会保障和就业支出预算12999.6万元，卫生健康支出预算4309.23万元，农林水支出300万元，住房保障支出预算41.2万元，国有资本经营预算支出4万元，其他支出1284.2万元。支出预算较2024年减少3553.87万元，主要是基本支出预算增加72.7万元，项目支出预算减少3692.37万元，政府性基金预算财政拨款支出增加65.8万元。</w:t>
      </w:r>
    </w:p>
    <w:p w14:paraId="20640C6E">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0B6BCA9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17650.03万元，一般公共预算财政拨款支出17650.03万元，比2024年减少3619.67万元。其中：基本支出1582.47万元，比2024年增加72.7万元，主要原因是在职人数增加，主要用于保障在职人员工资福利及社会保险缴费等，保障单位正常运转的各项商品服务支出；项目支出16067.56万元，比2024年减少3692.37万元，主要原因是部分项目编报口径发生变化，本年度不在本单位编报，同时厉行节约，全力压减中心运行类支出预算。</w:t>
      </w:r>
    </w:p>
    <w:p w14:paraId="3EF4AD4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2025年政府性基金预算收入1284.2万元，政府性基金预算支出1284.2万元，比2024年增加65.8万元，主要原因是2025年体彩公益金区级分成增加，主要用于发展群众体育和竞技体育事业，开展体育设施建设等工作。</w:t>
      </w:r>
    </w:p>
    <w:p w14:paraId="36127B4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2025年国有资本经营预算收入4万元，国有资本经营预算支出4万元，与2024年持平，主要用于国有企业退休人员社会化管理服务，让企业退休人员老有所养、老有所医</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老有所教</w:t>
      </w:r>
      <w:r>
        <w:rPr>
          <w:rFonts w:ascii="方正仿宋_GBK" w:hAnsi="仿宋_GB2312" w:eastAsia="方正仿宋_GBK" w:cs="仿宋_GB2312"/>
          <w:sz w:val="32"/>
          <w:szCs w:val="20"/>
        </w:rPr>
        <w:t xml:space="preserve">、 </w:t>
      </w:r>
    </w:p>
    <w:p w14:paraId="5D8FA652">
      <w:pPr>
        <w:spacing w:line="600" w:lineRule="exact"/>
        <w:jc w:val="left"/>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老有所学</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老有所为</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老有所乐。</w:t>
      </w:r>
    </w:p>
    <w:p w14:paraId="61785C0B">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83F9CF9">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2025年“三公”经费预算18万元，比2024年减少25万元。其中：因公出国（境）费用0万元，与2024年持平；公务接待费0万元，较2024年减少5万元；公务用车运行维护费18万元，较2024年减少2万元。</w:t>
      </w:r>
    </w:p>
    <w:p w14:paraId="4D0702C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194A95A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1、我单位不在机关运行经费统计范围之内。</w:t>
      </w:r>
    </w:p>
    <w:p w14:paraId="0E402FC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2、政府采购情况。本单位政府采购预算总额310.76万元：政府采购服务预算310.76万元。</w:t>
      </w:r>
    </w:p>
    <w:p w14:paraId="5D57B3FE">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w:t>
      </w:r>
      <w:r>
        <w:rPr>
          <w:rFonts w:hint="eastAsia" w:ascii="方正仿宋_GBK" w:hAnsi="仿宋_GB2312" w:eastAsia="方正仿宋_GBK" w:cs="仿宋_GB2312"/>
          <w:sz w:val="32"/>
          <w:szCs w:val="20"/>
        </w:rPr>
        <w:t>17650.03</w:t>
      </w:r>
      <w:r>
        <w:rPr>
          <w:rFonts w:hint="eastAsia" w:ascii="方正仿宋_GBK" w:hAnsi="仿宋_GB2312" w:eastAsia="方正仿宋_GBK" w:cs="仿宋_GB2312"/>
          <w:color w:val="000000"/>
          <w:sz w:val="32"/>
          <w:szCs w:val="20"/>
        </w:rPr>
        <w:t>万元。</w:t>
      </w:r>
    </w:p>
    <w:p w14:paraId="14CED7D0">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2024年12月，本单位共有车辆4辆，其中一般公务用车4辆、执勤执法用车0辆。2025年一般公共预算未安排购置车辆。</w:t>
      </w:r>
    </w:p>
    <w:p w14:paraId="537B592B">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0B4D575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21CB4B8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7B76CE98">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7226B20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474775A6">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E2B661">
      <w:pPr>
        <w:spacing w:line="600" w:lineRule="exact"/>
        <w:ind w:firstLine="640" w:firstLineChars="200"/>
        <w:rPr>
          <w:rFonts w:ascii="方正仿宋_GBK" w:hAnsi="Times New Roman" w:eastAsia="方正仿宋_GBK" w:cs="Times New Roman"/>
          <w:sz w:val="32"/>
          <w:szCs w:val="20"/>
        </w:rPr>
      </w:pPr>
    </w:p>
    <w:p w14:paraId="4EAA3731">
      <w:pPr>
        <w:spacing w:line="600" w:lineRule="exact"/>
        <w:ind w:firstLine="640" w:firstLineChars="200"/>
        <w:rPr>
          <w:rFonts w:ascii="方正仿宋_GBK" w:eastAsia="方正仿宋_GBK"/>
          <w:sz w:val="32"/>
          <w:szCs w:val="32"/>
        </w:rPr>
      </w:pPr>
      <w:r>
        <w:rPr>
          <w:rFonts w:hint="eastAsia" w:ascii="方正仿宋_GBK" w:hAnsi="Times New Roman" w:eastAsia="方正仿宋_GBK" w:cs="Times New Roman"/>
          <w:sz w:val="32"/>
          <w:szCs w:val="20"/>
        </w:rPr>
        <w:t>（</w:t>
      </w:r>
      <w:r>
        <w:rPr>
          <w:rFonts w:hint="eastAsia" w:ascii="方正仿宋_GBK" w:hAnsi="仿宋_GB2312" w:eastAsia="方正仿宋_GBK" w:cs="仿宋_GB2312"/>
          <w:sz w:val="32"/>
          <w:szCs w:val="20"/>
        </w:rPr>
        <w:t>预算公开联系人：</w:t>
      </w:r>
      <w:r>
        <w:rPr>
          <w:rFonts w:hint="eastAsia" w:ascii="方正仿宋_GBK" w:hAnsi="Times New Roman" w:eastAsia="方正仿宋_GBK" w:cs="Times New Roman"/>
          <w:sz w:val="32"/>
          <w:szCs w:val="20"/>
        </w:rPr>
        <w:t>兰爽，联系方式：023-68680179）</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28BE27-C718-431E-814A-607C465F0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D82D8FD-B8C9-483C-9C6C-F4AD97C422D7}"/>
  </w:font>
  <w:font w:name="方正小标宋_GBK">
    <w:panose1 w:val="02000000000000000000"/>
    <w:charset w:val="86"/>
    <w:family w:val="script"/>
    <w:pitch w:val="default"/>
    <w:sig w:usb0="A00002BF" w:usb1="38CF7CFA" w:usb2="00082016" w:usb3="00000000" w:csb0="00040001" w:csb1="00000000"/>
    <w:embedRegular r:id="rId3" w:fontKey="{7E15E6B5-322C-4020-BF15-839BBD8C7B3D}"/>
  </w:font>
  <w:font w:name="华文中宋">
    <w:altName w:val="宋体"/>
    <w:panose1 w:val="02010600040101010101"/>
    <w:charset w:val="86"/>
    <w:family w:val="auto"/>
    <w:pitch w:val="default"/>
    <w:sig w:usb0="00000000" w:usb1="00000000" w:usb2="00000010" w:usb3="00000000" w:csb0="0004009F" w:csb1="00000000"/>
    <w:embedRegular r:id="rId4" w:fontKey="{C6D9BBCA-225B-49A4-8194-20565D2925AF}"/>
  </w:font>
  <w:font w:name="方正黑体_GBK">
    <w:panose1 w:val="02010600010101010101"/>
    <w:charset w:val="86"/>
    <w:family w:val="script"/>
    <w:pitch w:val="default"/>
    <w:sig w:usb0="00000001" w:usb1="080E0000" w:usb2="00000000" w:usb3="00000000" w:csb0="00040000" w:csb1="00000000"/>
    <w:embedRegular r:id="rId5" w:fontKey="{A511B013-06F4-4C9E-9CBC-14DA90A356A7}"/>
  </w:font>
  <w:font w:name="方正仿宋_GBK">
    <w:panose1 w:val="03000509000000000000"/>
    <w:charset w:val="86"/>
    <w:family w:val="script"/>
    <w:pitch w:val="default"/>
    <w:sig w:usb0="00000001" w:usb1="080E0000" w:usb2="00000000" w:usb3="00000000" w:csb0="00040000" w:csb1="00000000"/>
    <w:embedRegular r:id="rId6" w:fontKey="{EA40F572-332A-473B-8619-6294FD10BD7A}"/>
  </w:font>
  <w:font w:name="仿宋">
    <w:panose1 w:val="02010609060101010101"/>
    <w:charset w:val="86"/>
    <w:family w:val="modern"/>
    <w:pitch w:val="default"/>
    <w:sig w:usb0="800002BF" w:usb1="38CF7CFA" w:usb2="00000016" w:usb3="00000000" w:csb0="00040001" w:csb1="00000000"/>
    <w:embedRegular r:id="rId7" w:fontKey="{2159FEEA-31BD-42E8-83D8-B435761963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EndPr>
      <w:rPr>
        <w:rFonts w:hint="eastAsia" w:asciiTheme="majorEastAsia" w:hAnsiTheme="majorEastAsia" w:eastAsiaTheme="majorEastAsia" w:cstheme="majorEastAsia"/>
        <w:sz w:val="28"/>
        <w:szCs w:val="28"/>
      </w:rPr>
    </w:sdtEndPr>
    <w:sdtContent>
      <w:p w14:paraId="3B4C650E">
        <w:pPr>
          <w:pStyle w:val="6"/>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sdtContent>
  </w:sdt>
  <w:p w14:paraId="4E02F468">
    <w:pPr>
      <w:pStyle w:val="6"/>
    </w:pPr>
  </w:p>
  <w:p w14:paraId="383EE0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123F2F47">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73B85D39">
    <w:pPr>
      <w:pStyle w:val="6"/>
    </w:pPr>
  </w:p>
  <w:p w14:paraId="17A9183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TkyMTQyNzFjN2E5ZmFhNmY4ZGRiOTA0YmQ4N2M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01CF0"/>
    <w:rsid w:val="00312560"/>
    <w:rsid w:val="00325FD3"/>
    <w:rsid w:val="00331522"/>
    <w:rsid w:val="00357DD5"/>
    <w:rsid w:val="003625C5"/>
    <w:rsid w:val="0039593E"/>
    <w:rsid w:val="00395FFC"/>
    <w:rsid w:val="00397AEA"/>
    <w:rsid w:val="003A69E3"/>
    <w:rsid w:val="003B2F4B"/>
    <w:rsid w:val="003B680C"/>
    <w:rsid w:val="003C171E"/>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901"/>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E68F3"/>
    <w:rsid w:val="00BF3090"/>
    <w:rsid w:val="00C05D20"/>
    <w:rsid w:val="00C15F8C"/>
    <w:rsid w:val="00C42C32"/>
    <w:rsid w:val="00C43658"/>
    <w:rsid w:val="00C51C46"/>
    <w:rsid w:val="00C57659"/>
    <w:rsid w:val="00C72FDA"/>
    <w:rsid w:val="00C768CD"/>
    <w:rsid w:val="00C77E28"/>
    <w:rsid w:val="00C839E8"/>
    <w:rsid w:val="00C92B04"/>
    <w:rsid w:val="00CA45F2"/>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1421AD5"/>
    <w:rsid w:val="02ED581F"/>
    <w:rsid w:val="0AB37C41"/>
    <w:rsid w:val="0BCB6AF9"/>
    <w:rsid w:val="0DDE4FD5"/>
    <w:rsid w:val="0E4A08BC"/>
    <w:rsid w:val="0F796797"/>
    <w:rsid w:val="10581601"/>
    <w:rsid w:val="142459B5"/>
    <w:rsid w:val="155838BF"/>
    <w:rsid w:val="16135A37"/>
    <w:rsid w:val="218E0668"/>
    <w:rsid w:val="25C66622"/>
    <w:rsid w:val="278C526B"/>
    <w:rsid w:val="28BE7A85"/>
    <w:rsid w:val="2C030012"/>
    <w:rsid w:val="2D151E83"/>
    <w:rsid w:val="2F0D7855"/>
    <w:rsid w:val="2FD761B1"/>
    <w:rsid w:val="315A2315"/>
    <w:rsid w:val="318B25BA"/>
    <w:rsid w:val="32195D2C"/>
    <w:rsid w:val="331F3816"/>
    <w:rsid w:val="36A06A70"/>
    <w:rsid w:val="374B6987"/>
    <w:rsid w:val="39003892"/>
    <w:rsid w:val="396430B4"/>
    <w:rsid w:val="3D0A4BEF"/>
    <w:rsid w:val="3F8E5FAB"/>
    <w:rsid w:val="40C06C58"/>
    <w:rsid w:val="45162DE9"/>
    <w:rsid w:val="468B4FF2"/>
    <w:rsid w:val="4B903FA6"/>
    <w:rsid w:val="4E4F4B57"/>
    <w:rsid w:val="4E636855"/>
    <w:rsid w:val="4E7E543D"/>
    <w:rsid w:val="4EFC16B4"/>
    <w:rsid w:val="53E43018"/>
    <w:rsid w:val="546D3F89"/>
    <w:rsid w:val="547E00EE"/>
    <w:rsid w:val="58586CFE"/>
    <w:rsid w:val="585A65D3"/>
    <w:rsid w:val="5B9C5154"/>
    <w:rsid w:val="5C377348"/>
    <w:rsid w:val="60430294"/>
    <w:rsid w:val="60733116"/>
    <w:rsid w:val="61630BEE"/>
    <w:rsid w:val="62734ADF"/>
    <w:rsid w:val="63043D0B"/>
    <w:rsid w:val="653348AC"/>
    <w:rsid w:val="65DC2D1D"/>
    <w:rsid w:val="676F7BC1"/>
    <w:rsid w:val="6B1B7E43"/>
    <w:rsid w:val="6C8B750A"/>
    <w:rsid w:val="6D2D20B0"/>
    <w:rsid w:val="704B0888"/>
    <w:rsid w:val="70BC0E22"/>
    <w:rsid w:val="74E97204"/>
    <w:rsid w:val="78FC193B"/>
    <w:rsid w:val="7A862E00"/>
    <w:rsid w:val="7EB4618D"/>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jc w:val="left"/>
    </w:pPr>
    <w:rPr>
      <w:rFonts w:ascii="Calibri" w:hAnsi="Calibri" w:eastAsia="宋体" w:cs="宋体"/>
      <w:szCs w:val="22"/>
    </w:rPr>
  </w:style>
  <w:style w:type="paragraph" w:styleId="4">
    <w:name w:val="Date"/>
    <w:basedOn w:val="1"/>
    <w:next w:val="1"/>
    <w:link w:val="21"/>
    <w:autoRedefine/>
    <w:qFormat/>
    <w:uiPriority w:val="0"/>
    <w:pPr>
      <w:ind w:left="100" w:leftChars="2500"/>
    </w:pPr>
  </w:style>
  <w:style w:type="paragraph" w:styleId="5">
    <w:name w:val="Balloon Text"/>
    <w:basedOn w:val="1"/>
    <w:link w:val="19"/>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99"/>
    <w:rPr>
      <w:sz w:val="21"/>
      <w:szCs w:val="21"/>
    </w:rPr>
  </w:style>
  <w:style w:type="paragraph" w:customStyle="1" w:styleId="13">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autoRedefine/>
    <w:qFormat/>
    <w:uiPriority w:val="0"/>
    <w:rPr>
      <w:kern w:val="2"/>
      <w:sz w:val="18"/>
      <w:szCs w:val="18"/>
    </w:rPr>
  </w:style>
  <w:style w:type="character" w:customStyle="1" w:styleId="15">
    <w:name w:val="页脚 字符"/>
    <w:basedOn w:val="11"/>
    <w:link w:val="6"/>
    <w:autoRedefine/>
    <w:qFormat/>
    <w:uiPriority w:val="0"/>
    <w:rPr>
      <w:kern w:val="2"/>
      <w:sz w:val="18"/>
      <w:szCs w:val="18"/>
    </w:rPr>
  </w:style>
  <w:style w:type="paragraph" w:customStyle="1" w:styleId="16">
    <w:name w:val="UserStyle_0"/>
    <w:basedOn w:val="1"/>
    <w:autoRedefine/>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autoRedefine/>
    <w:qFormat/>
    <w:uiPriority w:val="0"/>
    <w:rPr>
      <w:rFonts w:ascii="宋体" w:hAnsi="宋体" w:cs="宋体"/>
      <w:sz w:val="30"/>
      <w:szCs w:val="30"/>
      <w:lang w:val="zh-TW" w:eastAsia="zh-TW" w:bidi="zh-TW"/>
    </w:rPr>
  </w:style>
  <w:style w:type="paragraph" w:customStyle="1" w:styleId="18">
    <w:name w:val="Body text|1"/>
    <w:basedOn w:val="1"/>
    <w:link w:val="17"/>
    <w:autoRedefine/>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autoRedefine/>
    <w:qFormat/>
    <w:uiPriority w:val="0"/>
    <w:rPr>
      <w:kern w:val="2"/>
      <w:sz w:val="18"/>
      <w:szCs w:val="18"/>
    </w:rPr>
  </w:style>
  <w:style w:type="character" w:customStyle="1" w:styleId="20">
    <w:name w:val="批注文字 字符"/>
    <w:basedOn w:val="11"/>
    <w:link w:val="3"/>
    <w:autoRedefine/>
    <w:qFormat/>
    <w:uiPriority w:val="99"/>
    <w:rPr>
      <w:rFonts w:ascii="Calibri" w:hAnsi="Calibri" w:eastAsia="宋体" w:cs="宋体"/>
      <w:kern w:val="2"/>
      <w:sz w:val="21"/>
      <w:szCs w:val="22"/>
    </w:rPr>
  </w:style>
  <w:style w:type="character" w:customStyle="1" w:styleId="21">
    <w:name w:val="日期 字符"/>
    <w:basedOn w:val="11"/>
    <w:link w:val="4"/>
    <w:autoRedefine/>
    <w:qFormat/>
    <w:uiPriority w:val="0"/>
    <w:rPr>
      <w:kern w:val="2"/>
      <w:sz w:val="21"/>
      <w:szCs w:val="24"/>
    </w:rPr>
  </w:style>
  <w:style w:type="character" w:customStyle="1" w:styleId="22">
    <w:name w:val="标题 1 字符"/>
    <w:basedOn w:val="11"/>
    <w:link w:val="2"/>
    <w:autoRedefine/>
    <w:qFormat/>
    <w:uiPriority w:val="0"/>
    <w:rPr>
      <w:rFonts w:ascii="宋体" w:hAnsi="宋体" w:eastAsia="宋体"/>
      <w:b/>
      <w:kern w:val="44"/>
      <w:sz w:val="48"/>
      <w:szCs w:val="48"/>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D41AC-C89D-404F-815E-CCDE6103FE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1576</Words>
  <Characters>1810</Characters>
  <Lines>13</Lines>
  <Paragraphs>3</Paragraphs>
  <TotalTime>8</TotalTime>
  <ScaleCrop>false</ScaleCrop>
  <LinksUpToDate>false</LinksUpToDate>
  <CharactersWithSpaces>1811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silence</cp:lastModifiedBy>
  <cp:lastPrinted>2024-02-26T06:23:00Z</cp:lastPrinted>
  <dcterms:modified xsi:type="dcterms:W3CDTF">2025-05-06T09:19:54Z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224826A4BF91458CAD17A5ADD808FBDE_13</vt:lpwstr>
  </property>
  <property fmtid="{D5CDD505-2E9C-101B-9397-08002B2CF9AE}" pid="4" name="KSOTemplateDocerSaveRecord">
    <vt:lpwstr>eyJoZGlkIjoiZjRmYWUxOWJhMWE5OGFmZGQyNzA0NjBkZTNhOGRjMDEiLCJ1c2VySWQiOiIyNDg4ODMzNzUifQ==</vt:lpwstr>
  </property>
</Properties>
</file>