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1DE04">
      <w:pPr>
        <w:spacing w:line="600" w:lineRule="exact"/>
        <w:jc w:val="center"/>
        <w:rPr>
          <w:rFonts w:hint="eastAsia" w:ascii="方正小标宋_GBK" w:hAnsi="华文中宋" w:eastAsia="方正小标宋_GBK" w:cs="华文中宋"/>
          <w:color w:val="0D0D0D"/>
          <w:sz w:val="44"/>
          <w:szCs w:val="44"/>
          <w:highlight w:val="none"/>
        </w:rPr>
      </w:pPr>
      <w:r>
        <w:rPr>
          <w:rFonts w:hint="eastAsia" w:ascii="方正小标宋_GBK" w:hAnsi="华文中宋" w:eastAsia="方正小标宋_GBK" w:cs="华文中宋"/>
          <w:color w:val="0D0D0D"/>
          <w:sz w:val="44"/>
          <w:szCs w:val="44"/>
          <w:highlight w:val="none"/>
          <w:lang w:val="en-US" w:eastAsia="zh-CN"/>
        </w:rPr>
        <w:t>西永综合保税区管理委员会</w:t>
      </w:r>
      <w:r>
        <w:rPr>
          <w:rFonts w:hint="eastAsia" w:ascii="方正小标宋_GBK" w:hAnsi="华文中宋" w:eastAsia="方正小标宋_GBK" w:cs="华文中宋"/>
          <w:color w:val="0D0D0D"/>
          <w:sz w:val="44"/>
          <w:szCs w:val="44"/>
          <w:highlight w:val="none"/>
        </w:rPr>
        <w:t>2026年</w:t>
      </w:r>
    </w:p>
    <w:p w14:paraId="5B0EE453">
      <w:pPr>
        <w:spacing w:line="600" w:lineRule="exact"/>
        <w:jc w:val="center"/>
        <w:rPr>
          <w:rFonts w:hint="eastAsia" w:ascii="方正小标宋_GBK" w:hAnsi="华文中宋" w:eastAsia="方正小标宋_GBK" w:cs="华文中宋"/>
          <w:color w:val="0D0D0D"/>
          <w:sz w:val="44"/>
          <w:szCs w:val="44"/>
          <w:highlight w:val="none"/>
        </w:rPr>
      </w:pPr>
      <w:r>
        <w:rPr>
          <w:rFonts w:hint="eastAsia" w:ascii="方正小标宋_GBK" w:hAnsi="华文中宋" w:eastAsia="方正小标宋_GBK" w:cs="华文中宋"/>
          <w:color w:val="0D0D0D"/>
          <w:sz w:val="44"/>
          <w:szCs w:val="44"/>
          <w:highlight w:val="none"/>
        </w:rPr>
        <w:t>部门预算情况说明</w:t>
      </w:r>
    </w:p>
    <w:p w14:paraId="0D52C040">
      <w:pPr>
        <w:adjustRightInd w:val="0"/>
        <w:snapToGrid w:val="0"/>
        <w:spacing w:line="600" w:lineRule="exact"/>
        <w:ind w:left="640"/>
        <w:rPr>
          <w:rFonts w:hint="eastAsia" w:ascii="方正黑体_GBK" w:hAnsi="黑体" w:eastAsia="方正黑体_GBK" w:cs="仿宋_GB2312"/>
          <w:color w:val="0D0D0D"/>
          <w:highlight w:val="none"/>
        </w:rPr>
      </w:pPr>
      <w:r>
        <w:rPr>
          <w:rFonts w:hint="eastAsia" w:ascii="方正黑体_GBK" w:hAnsi="黑体" w:eastAsia="方正黑体_GBK" w:cs="仿宋_GB2312"/>
          <w:color w:val="0D0D0D"/>
          <w:highlight w:val="none"/>
        </w:rPr>
        <w:t>一、</w:t>
      </w:r>
      <w:r>
        <w:rPr>
          <w:rFonts w:hint="eastAsia" w:ascii="方正黑体_GBK" w:hAnsi="黑体" w:eastAsia="方正黑体_GBK" w:cs="仿宋_GB2312"/>
          <w:color w:val="0D0D0D"/>
          <w:highlight w:val="none"/>
          <w:lang w:eastAsia="zh-CN"/>
        </w:rPr>
        <w:t>部门</w:t>
      </w:r>
      <w:r>
        <w:rPr>
          <w:rFonts w:hint="eastAsia" w:ascii="方正黑体_GBK" w:hAnsi="黑体" w:eastAsia="方正黑体_GBK" w:cs="仿宋_GB2312"/>
          <w:color w:val="0D0D0D"/>
          <w:highlight w:val="none"/>
        </w:rPr>
        <w:t>基本情况</w:t>
      </w:r>
    </w:p>
    <w:p w14:paraId="049C67D3">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楷体_GBK" w:hAnsi="仿宋_GB2312" w:eastAsia="方正楷体_GBK" w:cs="仿宋_GB2312"/>
          <w:color w:val="0D0D0D"/>
          <w:highlight w:val="none"/>
        </w:rPr>
        <w:t>（一）职能职责</w:t>
      </w:r>
    </w:p>
    <w:p w14:paraId="6521C13F">
      <w:pPr>
        <w:pStyle w:val="6"/>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600" w:lineRule="exact"/>
        <w:ind w:left="0" w:firstLine="640" w:firstLineChars="200"/>
        <w:jc w:val="left"/>
        <w:textAlignment w:val="auto"/>
        <w:rPr>
          <w:rFonts w:hint="eastAsia" w:ascii="方正仿宋_GBK" w:hAnsi="仿宋_GB2312" w:eastAsia="方正仿宋_GBK" w:cs="仿宋_GB2312"/>
          <w:color w:val="0D0D0D"/>
          <w:sz w:val="32"/>
          <w:highlight w:val="none"/>
          <w:lang w:val="en-US" w:eastAsia="zh-CN"/>
        </w:rPr>
      </w:pPr>
      <w:r>
        <w:rPr>
          <w:rFonts w:hint="eastAsia" w:ascii="方正仿宋_GBK" w:hAnsi="仿宋_GB2312" w:eastAsia="方正仿宋_GBK" w:cs="仿宋_GB2312"/>
          <w:color w:val="0D0D0D"/>
          <w:sz w:val="32"/>
          <w:highlight w:val="none"/>
          <w:lang w:val="en-US" w:eastAsia="zh-CN"/>
        </w:rPr>
        <w:t>贯彻执行党和国家及重庆市、重庆高新区党工委管委会有关综合保税区管理的方针、政策、法律、规章。负责综保区有关管理规定制定、发布和组织实施；研究制定和监督实施综保区经济发展计划和建设发</w:t>
      </w:r>
      <w:bookmarkStart w:id="0" w:name="_GoBack"/>
      <w:bookmarkEnd w:id="0"/>
      <w:r>
        <w:rPr>
          <w:rFonts w:hint="eastAsia" w:ascii="方正仿宋_GBK" w:hAnsi="仿宋_GB2312" w:eastAsia="方正仿宋_GBK" w:cs="仿宋_GB2312"/>
          <w:color w:val="0D0D0D"/>
          <w:sz w:val="32"/>
          <w:highlight w:val="none"/>
          <w:lang w:val="en-US" w:eastAsia="zh-CN"/>
        </w:rPr>
        <w:t>展规划、总体规划、分区规划和重要专项规划；统一规划区域内基础设施、公共设施和产业载体。拟定综保区重点产业发展扶持政策、措施；负责西永综合保税区建设规划，协调审批审核综保区内投资项目；协调审批基建、土地、房产、外经外贸、口岸物流、服务贸易、劳动、人事、外事、环保和公用事业等方面的行政手续。</w:t>
      </w:r>
    </w:p>
    <w:p w14:paraId="061A96B7">
      <w:pPr>
        <w:pStyle w:val="6"/>
        <w:tabs>
          <w:tab w:val="center" w:pos="4153"/>
          <w:tab w:val="left" w:pos="7275"/>
        </w:tabs>
        <w:adjustRightInd w:val="0"/>
        <w:snapToGrid w:val="0"/>
        <w:spacing w:line="600" w:lineRule="exact"/>
        <w:ind w:left="640" w:firstLine="0" w:firstLineChars="0"/>
        <w:jc w:val="left"/>
        <w:rPr>
          <w:rFonts w:hint="eastAsia" w:ascii="方正楷体_GBK" w:hAnsi="仿宋_GB2312" w:eastAsia="方正楷体_GBK" w:cs="仿宋_GB2312"/>
          <w:color w:val="0D0D0D"/>
          <w:sz w:val="32"/>
          <w:highlight w:val="none"/>
        </w:rPr>
      </w:pPr>
      <w:r>
        <w:rPr>
          <w:rFonts w:hint="eastAsia" w:ascii="方正楷体_GBK" w:hAnsi="仿宋_GB2312" w:eastAsia="方正楷体_GBK" w:cs="仿宋_GB2312"/>
          <w:color w:val="0D0D0D"/>
          <w:sz w:val="32"/>
          <w:highlight w:val="none"/>
        </w:rPr>
        <w:t>（二）</w:t>
      </w:r>
      <w:r>
        <w:rPr>
          <w:rFonts w:hint="eastAsia" w:ascii="方正楷体_GBK" w:hAnsi="仿宋_GB2312" w:eastAsia="方正楷体_GBK" w:cs="仿宋_GB2312"/>
          <w:color w:val="0D0D0D"/>
          <w:sz w:val="32"/>
          <w:highlight w:val="none"/>
          <w:lang w:eastAsia="zh-CN"/>
        </w:rPr>
        <w:t>部门</w:t>
      </w:r>
      <w:r>
        <w:rPr>
          <w:rFonts w:hint="eastAsia" w:ascii="方正楷体_GBK" w:hAnsi="仿宋_GB2312" w:eastAsia="方正楷体_GBK" w:cs="仿宋_GB2312"/>
          <w:color w:val="0D0D0D"/>
          <w:sz w:val="32"/>
          <w:highlight w:val="none"/>
        </w:rPr>
        <w:t>构成</w:t>
      </w:r>
    </w:p>
    <w:p w14:paraId="521B75D6">
      <w:pPr>
        <w:pStyle w:val="6"/>
        <w:tabs>
          <w:tab w:val="center" w:pos="4153"/>
          <w:tab w:val="left" w:pos="7275"/>
        </w:tabs>
        <w:adjustRightInd w:val="0"/>
        <w:snapToGrid w:val="0"/>
        <w:spacing w:line="600" w:lineRule="exact"/>
        <w:ind w:firstLine="640"/>
        <w:jc w:val="left"/>
        <w:rPr>
          <w:rFonts w:hint="eastAsia" w:ascii="方正仿宋_GBK" w:hAnsi="仿宋_GB2312" w:eastAsia="方正仿宋_GBK" w:cs="仿宋_GB2312"/>
          <w:color w:val="0D0D0D"/>
          <w:sz w:val="32"/>
          <w:highlight w:val="none"/>
          <w:lang w:eastAsia="zh-CN"/>
        </w:rPr>
      </w:pPr>
      <w:r>
        <w:rPr>
          <w:rFonts w:hint="eastAsia" w:ascii="方正仿宋_GBK" w:hAnsi="仿宋_GB2312" w:eastAsia="方正仿宋_GBK" w:cs="仿宋_GB2312"/>
          <w:color w:val="0D0D0D"/>
          <w:sz w:val="32"/>
          <w:highlight w:val="none"/>
          <w:lang w:val="en-US" w:eastAsia="zh-CN"/>
        </w:rPr>
        <w:t>西永综合保税区管理委员会正在机构改革，内设机构暂未明确</w:t>
      </w:r>
      <w:r>
        <w:rPr>
          <w:rFonts w:hint="eastAsia" w:ascii="方正仿宋_GBK" w:hAnsi="仿宋_GB2312" w:eastAsia="方正仿宋_GBK" w:cs="仿宋_GB2312"/>
          <w:color w:val="0D0D0D"/>
          <w:sz w:val="32"/>
          <w:highlight w:val="none"/>
          <w:lang w:eastAsia="zh-CN"/>
        </w:rPr>
        <w:t>，</w:t>
      </w:r>
      <w:r>
        <w:rPr>
          <w:rFonts w:hint="eastAsia" w:ascii="方正仿宋_GBK" w:hAnsi="仿宋_GB2312" w:eastAsia="方正仿宋_GBK" w:cs="仿宋_GB2312"/>
          <w:color w:val="0D0D0D"/>
          <w:sz w:val="32"/>
          <w:highlight w:val="none"/>
          <w:lang w:val="en-US" w:eastAsia="zh-CN"/>
        </w:rPr>
        <w:t>无</w:t>
      </w:r>
      <w:r>
        <w:rPr>
          <w:rFonts w:ascii="方正仿宋_GBK" w:hAnsi="仿宋_GB2312" w:eastAsia="方正仿宋_GBK" w:cs="仿宋_GB2312"/>
          <w:color w:val="0D0D0D"/>
          <w:sz w:val="32"/>
          <w:highlight w:val="none"/>
        </w:rPr>
        <w:t>下属</w:t>
      </w:r>
      <w:r>
        <w:rPr>
          <w:rFonts w:hint="eastAsia" w:ascii="方正仿宋_GBK" w:hAnsi="仿宋_GB2312" w:eastAsia="方正仿宋_GBK" w:cs="仿宋_GB2312"/>
          <w:color w:val="0D0D0D"/>
          <w:sz w:val="32"/>
          <w:highlight w:val="none"/>
        </w:rPr>
        <w:t>二级</w:t>
      </w:r>
      <w:r>
        <w:rPr>
          <w:rFonts w:ascii="方正仿宋_GBK" w:hAnsi="仿宋_GB2312" w:eastAsia="方正仿宋_GBK" w:cs="仿宋_GB2312"/>
          <w:color w:val="0D0D0D"/>
          <w:sz w:val="32"/>
          <w:highlight w:val="none"/>
        </w:rPr>
        <w:t>预算单位</w:t>
      </w:r>
      <w:r>
        <w:rPr>
          <w:rFonts w:hint="eastAsia" w:ascii="方正仿宋_GBK" w:hAnsi="仿宋_GB2312" w:eastAsia="方正仿宋_GBK" w:cs="仿宋_GB2312"/>
          <w:color w:val="0D0D0D"/>
          <w:sz w:val="32"/>
          <w:highlight w:val="none"/>
          <w:lang w:eastAsia="zh-CN"/>
        </w:rPr>
        <w:t>。</w:t>
      </w:r>
    </w:p>
    <w:p w14:paraId="015230CB">
      <w:pPr>
        <w:adjustRightInd w:val="0"/>
        <w:snapToGrid w:val="0"/>
        <w:spacing w:line="600" w:lineRule="exact"/>
        <w:ind w:left="640"/>
        <w:rPr>
          <w:rFonts w:hint="eastAsia" w:ascii="方正仿宋_GBK" w:hAnsi="黑体" w:cs="仿宋_GB2312"/>
          <w:color w:val="0D0D0D"/>
          <w:highlight w:val="none"/>
        </w:rPr>
      </w:pPr>
      <w:r>
        <w:rPr>
          <w:rFonts w:hint="eastAsia" w:ascii="方正黑体_GBK" w:hAnsi="黑体" w:eastAsia="方正黑体_GBK" w:cs="仿宋_GB2312"/>
          <w:color w:val="0D0D0D"/>
          <w:highlight w:val="none"/>
        </w:rPr>
        <w:t>二、部门收支总体情况</w:t>
      </w:r>
    </w:p>
    <w:p w14:paraId="34FF4579">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仿宋_GBK" w:hAnsi="仿宋_GB2312" w:cs="仿宋_GB2312"/>
          <w:color w:val="0D0D0D"/>
          <w:highlight w:val="none"/>
        </w:rPr>
        <w:t>（一）收入预算：2026年年初预算数</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万元，其中：一般公共预算拨款</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万元，政府性基金预算拨款</w:t>
      </w:r>
      <w:r>
        <w:rPr>
          <w:rFonts w:hint="eastAsia" w:ascii="方正仿宋_GBK" w:hAnsi="仿宋_GB2312" w:cs="仿宋_GB2312"/>
          <w:color w:val="0D0D0D"/>
          <w:highlight w:val="none"/>
          <w:lang w:val="en-US" w:eastAsia="zh-CN"/>
        </w:rPr>
        <w:t>0</w:t>
      </w:r>
      <w:r>
        <w:rPr>
          <w:rFonts w:hint="eastAsia" w:ascii="方正仿宋_GBK" w:hAnsi="仿宋_GB2312" w:cs="仿宋_GB2312"/>
          <w:color w:val="0D0D0D"/>
          <w:highlight w:val="none"/>
        </w:rPr>
        <w:t>万元，国有资本经营预算收入</w:t>
      </w:r>
      <w:r>
        <w:rPr>
          <w:rFonts w:hint="eastAsia" w:ascii="方正仿宋_GBK" w:hAnsi="仿宋_GB2312" w:cs="仿宋_GB2312"/>
          <w:color w:val="0D0D0D"/>
          <w:highlight w:val="none"/>
          <w:lang w:val="en-US" w:eastAsia="zh-CN"/>
        </w:rPr>
        <w:t>0</w:t>
      </w:r>
      <w:r>
        <w:rPr>
          <w:rFonts w:hint="eastAsia" w:ascii="方正仿宋_GBK" w:hAnsi="仿宋_GB2312" w:cs="仿宋_GB2312"/>
          <w:color w:val="0D0D0D"/>
          <w:highlight w:val="none"/>
        </w:rPr>
        <w:t>万元，事业收入</w:t>
      </w:r>
      <w:r>
        <w:rPr>
          <w:rFonts w:hint="eastAsia" w:ascii="方正仿宋_GBK" w:hAnsi="仿宋_GB2312" w:cs="仿宋_GB2312"/>
          <w:color w:val="0D0D0D"/>
          <w:highlight w:val="none"/>
          <w:lang w:val="en-US" w:eastAsia="zh-CN"/>
        </w:rPr>
        <w:t>0</w:t>
      </w:r>
      <w:r>
        <w:rPr>
          <w:rFonts w:hint="eastAsia" w:ascii="方正仿宋_GBK" w:hAnsi="仿宋_GB2312" w:cs="仿宋_GB2312"/>
          <w:color w:val="0D0D0D"/>
          <w:highlight w:val="none"/>
        </w:rPr>
        <w:t>万元，事业单位经营收入</w:t>
      </w:r>
      <w:r>
        <w:rPr>
          <w:rFonts w:hint="eastAsia" w:ascii="方正仿宋_GBK" w:hAnsi="仿宋_GB2312" w:cs="仿宋_GB2312"/>
          <w:color w:val="0D0D0D"/>
          <w:highlight w:val="none"/>
          <w:lang w:val="en-US" w:eastAsia="zh-CN"/>
        </w:rPr>
        <w:t>0</w:t>
      </w:r>
      <w:r>
        <w:rPr>
          <w:rFonts w:hint="eastAsia" w:ascii="方正仿宋_GBK" w:hAnsi="仿宋_GB2312" w:cs="仿宋_GB2312"/>
          <w:color w:val="0D0D0D"/>
          <w:highlight w:val="none"/>
        </w:rPr>
        <w:t>万元，其他收入</w:t>
      </w:r>
      <w:r>
        <w:rPr>
          <w:rFonts w:hint="eastAsia" w:ascii="方正仿宋_GBK" w:hAnsi="仿宋_GB2312" w:cs="仿宋_GB2312"/>
          <w:color w:val="0D0D0D"/>
          <w:highlight w:val="none"/>
          <w:lang w:val="en-US" w:eastAsia="zh-CN"/>
        </w:rPr>
        <w:t>0</w:t>
      </w:r>
      <w:r>
        <w:rPr>
          <w:rFonts w:hint="eastAsia" w:ascii="方正仿宋_GBK" w:hAnsi="仿宋_GB2312" w:cs="仿宋_GB2312"/>
          <w:color w:val="0D0D0D"/>
          <w:highlight w:val="none"/>
        </w:rPr>
        <w:t>万元。收入较2025年增加</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万元，主要是</w:t>
      </w:r>
      <w:r>
        <w:rPr>
          <w:rFonts w:hint="eastAsia" w:ascii="方正仿宋_GBK" w:hAnsi="仿宋_GB2312" w:cs="仿宋_GB2312"/>
          <w:color w:val="0D0D0D"/>
          <w:highlight w:val="none"/>
          <w:lang w:val="en-US" w:eastAsia="zh-CN"/>
        </w:rPr>
        <w:t>本单位为新增预算单位，</w:t>
      </w:r>
      <w:r>
        <w:rPr>
          <w:rFonts w:hint="eastAsia" w:ascii="方正仿宋_GBK" w:hAnsi="仿宋_GB2312" w:cs="仿宋_GB2312"/>
          <w:color w:val="0D0D0D"/>
          <w:highlight w:val="none"/>
        </w:rPr>
        <w:t>一般公共预算经费拨款增加</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w:t>
      </w:r>
    </w:p>
    <w:p w14:paraId="6B272370">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仿宋_GBK" w:hAnsi="仿宋_GB2312" w:cs="仿宋_GB2312"/>
          <w:color w:val="0D0D0D"/>
          <w:highlight w:val="none"/>
        </w:rPr>
        <w:t>（二）支出预算：2026年年初预算数</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万元，一般公共服务支出预算</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万元。支出预算较2025年增加</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万元，主要是</w:t>
      </w:r>
      <w:r>
        <w:rPr>
          <w:rFonts w:hint="eastAsia" w:ascii="方正仿宋_GBK" w:hAnsi="仿宋_GB2312" w:cs="仿宋_GB2312"/>
          <w:color w:val="0D0D0D"/>
          <w:highlight w:val="none"/>
          <w:lang w:val="en-US" w:eastAsia="zh-CN"/>
        </w:rPr>
        <w:t>本单位为新增预算单位，</w:t>
      </w:r>
      <w:r>
        <w:rPr>
          <w:rFonts w:hint="eastAsia" w:ascii="方正仿宋_GBK" w:hAnsi="仿宋_GB2312" w:cs="仿宋_GB2312"/>
          <w:color w:val="0D0D0D"/>
          <w:highlight w:val="none"/>
        </w:rPr>
        <w:t>项目支出预算增加</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w:t>
      </w:r>
    </w:p>
    <w:p w14:paraId="58D7E213">
      <w:pPr>
        <w:adjustRightInd w:val="0"/>
        <w:snapToGrid w:val="0"/>
        <w:spacing w:line="600" w:lineRule="exact"/>
        <w:ind w:left="640"/>
        <w:rPr>
          <w:rFonts w:hint="eastAsia" w:ascii="方正黑体_GBK" w:hAnsi="黑体" w:eastAsia="方正黑体_GBK" w:cs="仿宋_GB2312"/>
          <w:color w:val="0D0D0D"/>
          <w:highlight w:val="none"/>
        </w:rPr>
      </w:pPr>
      <w:r>
        <w:rPr>
          <w:rFonts w:hint="eastAsia" w:ascii="方正黑体_GBK" w:hAnsi="黑体" w:eastAsia="方正黑体_GBK" w:cs="仿宋_GB2312"/>
          <w:color w:val="0D0D0D"/>
          <w:highlight w:val="none"/>
        </w:rPr>
        <w:t>三、部门预算情况说明</w:t>
      </w:r>
    </w:p>
    <w:p w14:paraId="01859125">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仿宋_GBK" w:hAnsi="仿宋_GB2312" w:cs="仿宋_GB2312"/>
          <w:color w:val="0D0D0D"/>
          <w:highlight w:val="none"/>
        </w:rPr>
        <w:t>2026年一般公共预算财政拨款收入</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万元，一般公共预算财政拨款支出</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万元，比2025年增加</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万元。其中：基本支出</w:t>
      </w:r>
      <w:r>
        <w:rPr>
          <w:rFonts w:hint="eastAsia" w:ascii="方正仿宋_GBK" w:hAnsi="仿宋_GB2312" w:cs="仿宋_GB2312"/>
          <w:color w:val="0D0D0D"/>
          <w:highlight w:val="none"/>
          <w:lang w:val="en-US" w:eastAsia="zh-CN"/>
        </w:rPr>
        <w:t>0</w:t>
      </w:r>
      <w:r>
        <w:rPr>
          <w:rFonts w:hint="eastAsia" w:ascii="方正仿宋_GBK" w:hAnsi="仿宋_GB2312" w:cs="仿宋_GB2312"/>
          <w:color w:val="0D0D0D"/>
          <w:highlight w:val="none"/>
        </w:rPr>
        <w:t>万元，</w:t>
      </w:r>
      <w:r>
        <w:rPr>
          <w:rFonts w:hint="eastAsia" w:ascii="方正仿宋_GBK" w:hAnsi="仿宋_GB2312" w:cs="仿宋_GB2312"/>
          <w:color w:val="0D0D0D"/>
          <w:highlight w:val="none"/>
          <w:lang w:val="en-US" w:eastAsia="zh-CN"/>
        </w:rPr>
        <w:t>与2025年相比无变化</w:t>
      </w:r>
      <w:r>
        <w:rPr>
          <w:rFonts w:hint="eastAsia" w:ascii="方正仿宋_GBK" w:hAnsi="仿宋_GB2312" w:cs="仿宋_GB2312"/>
          <w:color w:val="0D0D0D"/>
          <w:highlight w:val="none"/>
        </w:rPr>
        <w:t>，</w:t>
      </w:r>
      <w:r>
        <w:rPr>
          <w:rFonts w:hint="eastAsia" w:ascii="方正仿宋_GBK" w:hAnsi="仿宋_GB2312" w:cs="仿宋_GB2312"/>
          <w:color w:val="0D0D0D"/>
          <w:highlight w:val="none"/>
          <w:lang w:val="en-US" w:eastAsia="zh-CN"/>
        </w:rPr>
        <w:t>主要原因是本单位为新增预算单位，目前正在机构改革，通过临时工作专班运行，未预算基本支出</w:t>
      </w:r>
      <w:r>
        <w:rPr>
          <w:rFonts w:hint="eastAsia" w:ascii="方正仿宋_GBK" w:hAnsi="仿宋_GB2312" w:cs="仿宋_GB2312"/>
          <w:color w:val="0D0D0D"/>
          <w:highlight w:val="none"/>
        </w:rPr>
        <w:t>；项目支出</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万元，比2025年增加</w:t>
      </w:r>
      <w:r>
        <w:rPr>
          <w:rFonts w:hint="eastAsia" w:ascii="方正仿宋_GBK" w:hAnsi="仿宋_GB2312" w:cs="仿宋_GB2312"/>
          <w:color w:val="0D0D0D"/>
          <w:highlight w:val="none"/>
          <w:lang w:val="en-US" w:eastAsia="zh-CN"/>
        </w:rPr>
        <w:t>8572</w:t>
      </w:r>
      <w:r>
        <w:rPr>
          <w:rFonts w:hint="eastAsia" w:ascii="方正仿宋_GBK" w:hAnsi="仿宋_GB2312" w:cs="仿宋_GB2312"/>
          <w:color w:val="0D0D0D"/>
          <w:highlight w:val="none"/>
        </w:rPr>
        <w:t>万元，主要原因是</w:t>
      </w:r>
      <w:r>
        <w:rPr>
          <w:rFonts w:hint="eastAsia" w:ascii="方正仿宋_GBK" w:hAnsi="仿宋_GB2312" w:cs="仿宋_GB2312"/>
          <w:color w:val="0D0D0D"/>
          <w:highlight w:val="none"/>
          <w:lang w:val="en-US" w:eastAsia="zh-CN"/>
        </w:rPr>
        <w:t>本单位为新增预算单位，</w:t>
      </w:r>
      <w:r>
        <w:rPr>
          <w:rFonts w:hint="eastAsia" w:ascii="方正仿宋_GBK" w:hAnsi="仿宋_GB2312" w:cs="仿宋_GB2312"/>
          <w:color w:val="0D0D0D"/>
          <w:highlight w:val="none"/>
        </w:rPr>
        <w:t>主要用于保障综保区</w:t>
      </w:r>
      <w:r>
        <w:rPr>
          <w:rFonts w:hint="eastAsia" w:ascii="方正仿宋_GBK" w:hAnsi="仿宋_GB2312" w:cs="仿宋_GB2312"/>
          <w:color w:val="0D0D0D"/>
          <w:highlight w:val="none"/>
          <w:lang w:val="en-US" w:eastAsia="zh-CN"/>
        </w:rPr>
        <w:t>运行</w:t>
      </w:r>
      <w:r>
        <w:rPr>
          <w:rFonts w:hint="eastAsia" w:ascii="方正仿宋_GBK" w:hAnsi="仿宋_GB2312" w:cs="仿宋_GB2312"/>
          <w:color w:val="0D0D0D"/>
          <w:highlight w:val="none"/>
        </w:rPr>
        <w:t>、信息化运维、</w:t>
      </w:r>
      <w:r>
        <w:rPr>
          <w:rFonts w:hint="eastAsia" w:ascii="方正仿宋_GBK" w:hAnsi="仿宋_GB2312" w:cs="仿宋_GB2312"/>
          <w:color w:val="0D0D0D"/>
          <w:highlight w:val="none"/>
          <w:lang w:val="en-US" w:eastAsia="zh-CN"/>
        </w:rPr>
        <w:t>办公场地租赁</w:t>
      </w:r>
      <w:r>
        <w:rPr>
          <w:rFonts w:hint="eastAsia" w:ascii="方正仿宋_GBK" w:hAnsi="仿宋_GB2312" w:cs="仿宋_GB2312"/>
          <w:color w:val="0D0D0D"/>
          <w:highlight w:val="none"/>
        </w:rPr>
        <w:t>等。</w:t>
      </w:r>
    </w:p>
    <w:p w14:paraId="5DF232E6">
      <w:pPr>
        <w:adjustRightInd w:val="0"/>
        <w:snapToGrid w:val="0"/>
        <w:spacing w:line="600" w:lineRule="exact"/>
        <w:ind w:firstLine="640" w:firstLineChars="200"/>
        <w:rPr>
          <w:rFonts w:ascii="方正仿宋_GBK" w:hAnsi="仿宋_GB2312" w:cs="仿宋_GB2312"/>
          <w:color w:val="0D0D0D"/>
          <w:highlight w:val="none"/>
        </w:rPr>
      </w:pPr>
      <w:r>
        <w:rPr>
          <w:rFonts w:hint="eastAsia" w:ascii="方正仿宋_GBK" w:hAnsi="仿宋_GB2312" w:cs="仿宋_GB2312"/>
          <w:color w:val="0D0D0D"/>
          <w:highlight w:val="none"/>
          <w:lang w:val="en-US" w:eastAsia="zh-CN"/>
        </w:rPr>
        <w:t>西永综合保税区管理委员会</w:t>
      </w:r>
      <w:r>
        <w:rPr>
          <w:rFonts w:hint="eastAsia" w:ascii="方正仿宋_GBK" w:hAnsi="仿宋_GB2312" w:cs="仿宋_GB2312"/>
          <w:color w:val="0D0D0D"/>
          <w:highlight w:val="none"/>
        </w:rPr>
        <w:t>2026年无政府性基金预算拨款安排的支出。</w:t>
      </w:r>
    </w:p>
    <w:p w14:paraId="61206629">
      <w:pPr>
        <w:adjustRightInd w:val="0"/>
        <w:snapToGrid w:val="0"/>
        <w:spacing w:line="600" w:lineRule="exact"/>
        <w:ind w:left="640"/>
        <w:rPr>
          <w:rFonts w:hint="eastAsia" w:ascii="方正仿宋_GBK" w:hAnsi="黑体" w:cs="仿宋_GB2312"/>
          <w:color w:val="0D0D0D"/>
          <w:highlight w:val="none"/>
        </w:rPr>
      </w:pPr>
      <w:r>
        <w:rPr>
          <w:rFonts w:hint="eastAsia" w:ascii="方正黑体_GBK" w:hAnsi="黑体" w:eastAsia="方正黑体_GBK" w:cs="仿宋_GB2312"/>
          <w:color w:val="0D0D0D"/>
          <w:highlight w:val="none"/>
        </w:rPr>
        <w:t>四、“三公”经费情况说明</w:t>
      </w:r>
    </w:p>
    <w:p w14:paraId="5F1895FC">
      <w:pPr>
        <w:adjustRightInd w:val="0"/>
        <w:snapToGrid w:val="0"/>
        <w:spacing w:line="600" w:lineRule="exact"/>
        <w:ind w:firstLine="640" w:firstLineChars="200"/>
        <w:rPr>
          <w:rFonts w:hint="default" w:ascii="方正仿宋_GBK" w:hAnsi="仿宋_GB2312" w:eastAsia="方正仿宋_GBK" w:cs="仿宋_GB2312"/>
          <w:color w:val="0D0D0D"/>
          <w:highlight w:val="none"/>
          <w:lang w:val="en-US" w:eastAsia="zh-CN"/>
        </w:rPr>
      </w:pPr>
      <w:r>
        <w:rPr>
          <w:rFonts w:hint="eastAsia" w:ascii="方正仿宋_GBK" w:hAnsi="仿宋_GB2312" w:cs="仿宋_GB2312"/>
          <w:color w:val="0D0D0D"/>
          <w:sz w:val="32"/>
          <w:highlight w:val="none"/>
          <w:lang w:val="en-US" w:eastAsia="zh-CN"/>
        </w:rPr>
        <w:t>2026年无</w:t>
      </w:r>
      <w:r>
        <w:rPr>
          <w:rFonts w:hint="eastAsia" w:ascii="方正仿宋_GBK" w:hAnsi="仿宋_GB2312" w:cs="仿宋_GB2312"/>
          <w:color w:val="0D0D0D"/>
          <w:highlight w:val="none"/>
        </w:rPr>
        <w:t>“三公”经费</w:t>
      </w:r>
      <w:r>
        <w:rPr>
          <w:rFonts w:hint="eastAsia" w:ascii="方正仿宋_GBK" w:hAnsi="仿宋_GB2312" w:cs="仿宋_GB2312"/>
          <w:color w:val="0D0D0D"/>
          <w:highlight w:val="none"/>
          <w:lang w:eastAsia="zh-CN"/>
        </w:rPr>
        <w:t>，</w:t>
      </w:r>
      <w:r>
        <w:rPr>
          <w:rFonts w:hint="eastAsia" w:ascii="方正仿宋_GBK" w:hAnsi="仿宋_GB2312" w:cs="仿宋_GB2312"/>
          <w:color w:val="0D0D0D"/>
          <w:highlight w:val="none"/>
          <w:lang w:val="en-US" w:eastAsia="zh-CN"/>
        </w:rPr>
        <w:t>主要原因是</w:t>
      </w:r>
      <w:r>
        <w:rPr>
          <w:rFonts w:hint="eastAsia" w:ascii="方正仿宋_GBK" w:hAnsi="仿宋_GB2312" w:cs="仿宋_GB2312"/>
          <w:color w:val="0D0D0D"/>
          <w:sz w:val="32"/>
          <w:highlight w:val="none"/>
          <w:lang w:val="en-US" w:eastAsia="zh-CN"/>
        </w:rPr>
        <w:t>本单位</w:t>
      </w:r>
      <w:r>
        <w:rPr>
          <w:rFonts w:hint="eastAsia" w:ascii="方正仿宋_GBK" w:hAnsi="仿宋_GB2312" w:eastAsia="方正仿宋_GBK" w:cs="仿宋_GB2312"/>
          <w:color w:val="0D0D0D"/>
          <w:sz w:val="32"/>
          <w:highlight w:val="none"/>
          <w:lang w:val="en-US" w:eastAsia="zh-CN"/>
        </w:rPr>
        <w:t>正在机构改革，</w:t>
      </w:r>
      <w:r>
        <w:rPr>
          <w:rFonts w:hint="eastAsia" w:ascii="方正仿宋_GBK" w:hAnsi="仿宋_GB2312" w:cs="仿宋_GB2312"/>
          <w:color w:val="0D0D0D"/>
          <w:sz w:val="32"/>
          <w:highlight w:val="none"/>
          <w:lang w:val="en-US" w:eastAsia="zh-CN"/>
        </w:rPr>
        <w:t>具体</w:t>
      </w:r>
      <w:r>
        <w:rPr>
          <w:rFonts w:hint="eastAsia" w:ascii="方正仿宋_GBK" w:hAnsi="仿宋_GB2312" w:cs="仿宋_GB2312"/>
          <w:color w:val="0D0D0D"/>
          <w:highlight w:val="none"/>
        </w:rPr>
        <w:t>职能职责</w:t>
      </w:r>
      <w:r>
        <w:rPr>
          <w:rFonts w:hint="eastAsia" w:ascii="方正仿宋_GBK" w:hAnsi="仿宋_GB2312" w:cs="仿宋_GB2312"/>
          <w:color w:val="0D0D0D"/>
          <w:highlight w:val="none"/>
          <w:lang w:eastAsia="zh-CN"/>
        </w:rPr>
        <w:t>、</w:t>
      </w:r>
      <w:r>
        <w:rPr>
          <w:rFonts w:hint="eastAsia" w:ascii="方正仿宋_GBK" w:hAnsi="仿宋_GB2312" w:cs="仿宋_GB2312"/>
          <w:color w:val="0D0D0D"/>
          <w:highlight w:val="none"/>
          <w:lang w:val="en-US" w:eastAsia="zh-CN"/>
        </w:rPr>
        <w:t>内设机构、人员等暂未明确，未安排</w:t>
      </w:r>
      <w:r>
        <w:rPr>
          <w:rFonts w:hint="eastAsia" w:ascii="方正仿宋_GBK" w:hAnsi="仿宋_GB2312" w:cs="仿宋_GB2312"/>
          <w:color w:val="0D0D0D"/>
          <w:highlight w:val="none"/>
        </w:rPr>
        <w:t>“三公”经费</w:t>
      </w:r>
      <w:r>
        <w:rPr>
          <w:rFonts w:hint="eastAsia" w:ascii="方正仿宋_GBK" w:hAnsi="仿宋_GB2312" w:cs="仿宋_GB2312"/>
          <w:color w:val="0D0D0D"/>
          <w:highlight w:val="none"/>
          <w:lang w:val="en-US" w:eastAsia="zh-CN"/>
        </w:rPr>
        <w:t>预算。</w:t>
      </w:r>
    </w:p>
    <w:p w14:paraId="5FD2D587">
      <w:pPr>
        <w:adjustRightInd w:val="0"/>
        <w:snapToGrid w:val="0"/>
        <w:spacing w:line="600" w:lineRule="exact"/>
        <w:ind w:left="640"/>
        <w:rPr>
          <w:rFonts w:hint="eastAsia" w:ascii="方正黑体_GBK" w:hAnsi="黑体" w:eastAsia="方正黑体_GBK" w:cs="仿宋_GB2312"/>
          <w:color w:val="0D0D0D"/>
          <w:highlight w:val="none"/>
        </w:rPr>
      </w:pPr>
      <w:r>
        <w:rPr>
          <w:rFonts w:hint="eastAsia" w:ascii="方正黑体_GBK" w:hAnsi="黑体" w:eastAsia="方正黑体_GBK" w:cs="仿宋_GB2312"/>
          <w:color w:val="0D0D0D"/>
          <w:highlight w:val="none"/>
        </w:rPr>
        <w:t>五、其他重要事项的情况说明</w:t>
      </w:r>
    </w:p>
    <w:p w14:paraId="6AC1C910">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仿宋_GBK" w:hAnsi="仿宋_GB2312" w:cs="仿宋_GB2312"/>
          <w:color w:val="0D0D0D"/>
          <w:highlight w:val="none"/>
        </w:rPr>
        <w:t>（一）机关运行经费。2026年一般公共预算财政拨款运行经费</w:t>
      </w:r>
      <w:r>
        <w:rPr>
          <w:rFonts w:hint="eastAsia" w:ascii="方正仿宋_GBK" w:hAnsi="仿宋_GB2312" w:cs="仿宋_GB2312"/>
          <w:color w:val="0D0D0D"/>
          <w:highlight w:val="none"/>
          <w:lang w:val="en-US" w:eastAsia="zh-CN"/>
        </w:rPr>
        <w:t>0</w:t>
      </w:r>
      <w:r>
        <w:rPr>
          <w:rFonts w:hint="eastAsia" w:ascii="方正仿宋_GBK" w:hAnsi="仿宋_GB2312" w:cs="仿宋_GB2312"/>
          <w:color w:val="0D0D0D"/>
          <w:highlight w:val="none"/>
        </w:rPr>
        <w:t>万元，比上年</w:t>
      </w:r>
      <w:r>
        <w:rPr>
          <w:rFonts w:hint="eastAsia" w:ascii="方正仿宋_GBK" w:hAnsi="仿宋_GB2312" w:cs="仿宋_GB2312"/>
          <w:color w:val="0D0D0D"/>
          <w:highlight w:val="none"/>
          <w:lang w:val="en-US" w:eastAsia="zh-CN"/>
        </w:rPr>
        <w:t>相比无变化</w:t>
      </w:r>
      <w:r>
        <w:rPr>
          <w:rFonts w:hint="eastAsia" w:ascii="方正仿宋_GBK" w:hAnsi="仿宋_GB2312" w:cs="仿宋_GB2312"/>
          <w:color w:val="0D0D0D"/>
          <w:highlight w:val="none"/>
        </w:rPr>
        <w:t>，</w:t>
      </w:r>
      <w:r>
        <w:rPr>
          <w:rFonts w:hint="eastAsia" w:ascii="方正仿宋_GBK" w:hAnsi="仿宋_GB2312" w:cs="仿宋_GB2312"/>
          <w:color w:val="0D0D0D"/>
          <w:highlight w:val="none"/>
          <w:lang w:val="en-US" w:eastAsia="zh-CN"/>
        </w:rPr>
        <w:t>主要原因是</w:t>
      </w:r>
      <w:r>
        <w:rPr>
          <w:rFonts w:hint="eastAsia" w:ascii="方正仿宋_GBK" w:hAnsi="仿宋_GB2312" w:cs="仿宋_GB2312"/>
          <w:color w:val="0D0D0D"/>
          <w:sz w:val="32"/>
          <w:highlight w:val="none"/>
          <w:lang w:val="en-US" w:eastAsia="zh-CN"/>
        </w:rPr>
        <w:t>本单位</w:t>
      </w:r>
      <w:r>
        <w:rPr>
          <w:rFonts w:hint="eastAsia" w:ascii="方正仿宋_GBK" w:hAnsi="仿宋_GB2312" w:eastAsia="方正仿宋_GBK" w:cs="仿宋_GB2312"/>
          <w:color w:val="0D0D0D"/>
          <w:sz w:val="32"/>
          <w:highlight w:val="none"/>
          <w:lang w:val="en-US" w:eastAsia="zh-CN"/>
        </w:rPr>
        <w:t>正在机构改革，</w:t>
      </w:r>
      <w:r>
        <w:rPr>
          <w:rFonts w:hint="eastAsia" w:ascii="方正仿宋_GBK" w:hAnsi="仿宋_GB2312" w:cs="仿宋_GB2312"/>
          <w:color w:val="0D0D0D"/>
          <w:sz w:val="32"/>
          <w:highlight w:val="none"/>
          <w:lang w:val="en-US" w:eastAsia="zh-CN"/>
        </w:rPr>
        <w:t>具体</w:t>
      </w:r>
      <w:r>
        <w:rPr>
          <w:rFonts w:hint="eastAsia" w:ascii="方正仿宋_GBK" w:hAnsi="仿宋_GB2312" w:cs="仿宋_GB2312"/>
          <w:color w:val="0D0D0D"/>
          <w:highlight w:val="none"/>
        </w:rPr>
        <w:t>职能职责</w:t>
      </w:r>
      <w:r>
        <w:rPr>
          <w:rFonts w:hint="eastAsia" w:ascii="方正仿宋_GBK" w:hAnsi="仿宋_GB2312" w:cs="仿宋_GB2312"/>
          <w:color w:val="0D0D0D"/>
          <w:highlight w:val="none"/>
          <w:lang w:eastAsia="zh-CN"/>
        </w:rPr>
        <w:t>、</w:t>
      </w:r>
      <w:r>
        <w:rPr>
          <w:rFonts w:hint="eastAsia" w:ascii="方正仿宋_GBK" w:hAnsi="仿宋_GB2312" w:cs="仿宋_GB2312"/>
          <w:color w:val="0D0D0D"/>
          <w:highlight w:val="none"/>
          <w:lang w:val="en-US" w:eastAsia="zh-CN"/>
        </w:rPr>
        <w:t>内设机构、人员等暂未明确，通过临时工作专班运行</w:t>
      </w:r>
      <w:r>
        <w:rPr>
          <w:rFonts w:hint="eastAsia" w:ascii="方正仿宋_GBK" w:hAnsi="仿宋_GB2312" w:cs="仿宋_GB2312"/>
          <w:color w:val="0D0D0D"/>
          <w:highlight w:val="none"/>
        </w:rPr>
        <w:t>。</w:t>
      </w:r>
    </w:p>
    <w:p w14:paraId="3402D82E">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仿宋_GBK" w:hAnsi="仿宋_GB2312" w:cs="仿宋_GB2312"/>
          <w:color w:val="0D0D0D"/>
          <w:highlight w:val="none"/>
        </w:rPr>
        <w:t xml:space="preserve">（二）政府采购情况。所属各预算单位政府采购预算总额  </w:t>
      </w:r>
      <w:r>
        <w:rPr>
          <w:rFonts w:hint="default" w:ascii="方正仿宋_GBK" w:hAnsi="仿宋_GB2312" w:cs="仿宋_GB2312"/>
          <w:color w:val="0D0D0D"/>
          <w:highlight w:val="none"/>
        </w:rPr>
        <w:t>132</w:t>
      </w:r>
      <w:r>
        <w:rPr>
          <w:rFonts w:hint="eastAsia" w:ascii="方正仿宋_GBK" w:hAnsi="仿宋_GB2312" w:cs="仿宋_GB2312"/>
          <w:color w:val="0D0D0D"/>
          <w:highlight w:val="none"/>
        </w:rPr>
        <w:t>万元，其中，政府采购货物预算</w:t>
      </w:r>
      <w:r>
        <w:rPr>
          <w:rFonts w:hint="default" w:ascii="方正仿宋_GBK" w:hAnsi="仿宋_GB2312" w:cs="仿宋_GB2312"/>
          <w:color w:val="0D0D0D"/>
          <w:highlight w:val="none"/>
        </w:rPr>
        <w:t>0</w:t>
      </w:r>
      <w:r>
        <w:rPr>
          <w:rFonts w:hint="eastAsia" w:ascii="方正仿宋_GBK" w:hAnsi="仿宋_GB2312" w:cs="仿宋_GB2312"/>
          <w:color w:val="0D0D0D"/>
          <w:highlight w:val="none"/>
        </w:rPr>
        <w:t xml:space="preserve">万元、政府采购工程预算  </w:t>
      </w:r>
      <w:r>
        <w:rPr>
          <w:rFonts w:hint="default" w:ascii="方正仿宋_GBK" w:hAnsi="仿宋_GB2312" w:cs="仿宋_GB2312"/>
          <w:color w:val="0D0D0D"/>
          <w:highlight w:val="none"/>
        </w:rPr>
        <w:t>0</w:t>
      </w:r>
      <w:r>
        <w:rPr>
          <w:rFonts w:hint="eastAsia" w:ascii="方正仿宋_GBK" w:hAnsi="仿宋_GB2312" w:cs="仿宋_GB2312"/>
          <w:color w:val="0D0D0D"/>
          <w:highlight w:val="none"/>
        </w:rPr>
        <w:t>万元、政府采购服务预算</w:t>
      </w:r>
      <w:r>
        <w:rPr>
          <w:rFonts w:hint="default" w:ascii="方正仿宋_GBK" w:hAnsi="仿宋_GB2312" w:cs="仿宋_GB2312"/>
          <w:color w:val="0D0D0D"/>
          <w:highlight w:val="none"/>
        </w:rPr>
        <w:t>132</w:t>
      </w:r>
      <w:r>
        <w:rPr>
          <w:rFonts w:hint="eastAsia" w:ascii="方正仿宋_GBK" w:hAnsi="仿宋_GB2312" w:cs="仿宋_GB2312"/>
          <w:color w:val="0D0D0D"/>
          <w:highlight w:val="none"/>
        </w:rPr>
        <w:t>万元；一般公共预算拨款政府采购</w:t>
      </w:r>
      <w:r>
        <w:rPr>
          <w:rFonts w:hint="default" w:ascii="方正仿宋_GBK" w:hAnsi="仿宋_GB2312" w:cs="仿宋_GB2312"/>
          <w:color w:val="0D0D0D"/>
          <w:highlight w:val="none"/>
        </w:rPr>
        <w:t>132</w:t>
      </w:r>
      <w:r>
        <w:rPr>
          <w:rFonts w:hint="eastAsia" w:ascii="方正仿宋_GBK" w:hAnsi="仿宋_GB2312" w:cs="仿宋_GB2312"/>
          <w:color w:val="0D0D0D"/>
          <w:highlight w:val="none"/>
        </w:rPr>
        <w:t>万元，其中，政府采购货物预算</w:t>
      </w:r>
      <w:r>
        <w:rPr>
          <w:rFonts w:hint="default" w:ascii="方正仿宋_GBK" w:hAnsi="仿宋_GB2312" w:cs="仿宋_GB2312"/>
          <w:color w:val="0D0D0D"/>
          <w:highlight w:val="none"/>
        </w:rPr>
        <w:t>0</w:t>
      </w:r>
      <w:r>
        <w:rPr>
          <w:rFonts w:hint="eastAsia" w:ascii="方正仿宋_GBK" w:hAnsi="仿宋_GB2312" w:cs="仿宋_GB2312"/>
          <w:color w:val="0D0D0D"/>
          <w:highlight w:val="none"/>
        </w:rPr>
        <w:t>万元、政府采购工程预算</w:t>
      </w:r>
      <w:r>
        <w:rPr>
          <w:rFonts w:hint="default" w:ascii="方正仿宋_GBK" w:hAnsi="仿宋_GB2312" w:cs="仿宋_GB2312"/>
          <w:color w:val="0D0D0D"/>
          <w:highlight w:val="none"/>
        </w:rPr>
        <w:t>0</w:t>
      </w:r>
      <w:r>
        <w:rPr>
          <w:rFonts w:hint="eastAsia" w:ascii="方正仿宋_GBK" w:hAnsi="仿宋_GB2312" w:cs="仿宋_GB2312"/>
          <w:color w:val="0D0D0D"/>
          <w:highlight w:val="none"/>
        </w:rPr>
        <w:t>万元、政府采购服务预算</w:t>
      </w:r>
      <w:r>
        <w:rPr>
          <w:rFonts w:hint="default" w:ascii="方正仿宋_GBK" w:hAnsi="仿宋_GB2312" w:cs="仿宋_GB2312"/>
          <w:color w:val="0D0D0D"/>
          <w:highlight w:val="none"/>
        </w:rPr>
        <w:t>132</w:t>
      </w:r>
      <w:r>
        <w:rPr>
          <w:rFonts w:hint="eastAsia" w:ascii="方正仿宋_GBK" w:hAnsi="仿宋_GB2312" w:cs="仿宋_GB2312"/>
          <w:color w:val="0D0D0D"/>
          <w:highlight w:val="none"/>
        </w:rPr>
        <w:t>万元。</w:t>
      </w:r>
    </w:p>
    <w:p w14:paraId="66E1EAED">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仿宋_GBK" w:hAnsi="仿宋_GB2312" w:cs="仿宋_GB2312"/>
          <w:color w:val="0D0D0D"/>
          <w:highlight w:val="none"/>
        </w:rPr>
        <w:t>（三）绩效目标设置情况。2026年项目支出均实行了绩效目标管理，涉及一般公共预算当年财政拨款</w:t>
      </w:r>
      <w:r>
        <w:rPr>
          <w:rFonts w:hint="default" w:ascii="方正仿宋_GBK" w:hAnsi="仿宋_GB2312" w:cs="仿宋_GB2312"/>
          <w:color w:val="0D0D0D"/>
          <w:highlight w:val="none"/>
        </w:rPr>
        <w:t>8572</w:t>
      </w:r>
      <w:r>
        <w:rPr>
          <w:rFonts w:hint="eastAsia" w:ascii="方正仿宋_GBK" w:hAnsi="仿宋_GB2312" w:cs="仿宋_GB2312"/>
          <w:color w:val="0D0D0D"/>
          <w:highlight w:val="none"/>
        </w:rPr>
        <w:t>万元。</w:t>
      </w:r>
    </w:p>
    <w:p w14:paraId="0FCF67B3">
      <w:pPr>
        <w:adjustRightInd w:val="0"/>
        <w:snapToGrid w:val="0"/>
        <w:spacing w:line="600" w:lineRule="exact"/>
        <w:ind w:firstLine="640" w:firstLineChars="200"/>
        <w:rPr>
          <w:rFonts w:ascii="方正仿宋_GBK" w:hAnsi="仿宋_GB2312" w:cs="仿宋_GB2312"/>
          <w:color w:val="0D0D0D"/>
          <w:highlight w:val="none"/>
        </w:rPr>
      </w:pPr>
      <w:r>
        <w:rPr>
          <w:rFonts w:hint="eastAsia" w:ascii="方正仿宋_GBK" w:hAnsi="仿宋_GB2312" w:cs="仿宋_GB2312"/>
          <w:color w:val="0D0D0D"/>
          <w:highlight w:val="none"/>
        </w:rPr>
        <w:t>（四）国有资产占有使用情况。</w:t>
      </w:r>
      <w:r>
        <w:rPr>
          <w:rFonts w:hint="eastAsia" w:ascii="方正仿宋_GBK" w:hAnsi="仿宋_GB2312" w:cs="仿宋_GB2312"/>
          <w:color w:val="0D0D0D"/>
          <w:highlight w:val="none"/>
          <w:lang w:eastAsia="zh-CN"/>
        </w:rPr>
        <w:t>截至</w:t>
      </w:r>
      <w:r>
        <w:rPr>
          <w:rFonts w:hint="eastAsia" w:ascii="方正仿宋_GBK" w:hAnsi="仿宋_GB2312" w:cs="仿宋_GB2312"/>
          <w:color w:val="0D0D0D"/>
          <w:highlight w:val="none"/>
        </w:rPr>
        <w:t>2025年12月，所属各预算单位共有车辆</w:t>
      </w:r>
      <w:r>
        <w:rPr>
          <w:rFonts w:hint="default" w:ascii="方正仿宋_GBK" w:hAnsi="仿宋_GB2312" w:cs="仿宋_GB2312"/>
          <w:color w:val="0D0D0D"/>
          <w:highlight w:val="none"/>
        </w:rPr>
        <w:t>0</w:t>
      </w:r>
      <w:r>
        <w:rPr>
          <w:rFonts w:hint="eastAsia" w:ascii="方正仿宋_GBK" w:hAnsi="仿宋_GB2312" w:cs="仿宋_GB2312"/>
          <w:color w:val="0D0D0D"/>
          <w:highlight w:val="none"/>
        </w:rPr>
        <w:t>辆。2026年一般公共预算</w:t>
      </w:r>
      <w:r>
        <w:rPr>
          <w:rFonts w:hint="eastAsia" w:ascii="方正仿宋_GBK" w:hAnsi="仿宋_GB2312" w:cs="仿宋_GB2312"/>
          <w:color w:val="0D0D0D"/>
          <w:highlight w:val="none"/>
          <w:lang w:eastAsia="zh-CN"/>
        </w:rPr>
        <w:t>未</w:t>
      </w:r>
      <w:r>
        <w:rPr>
          <w:rFonts w:hint="eastAsia" w:ascii="方正仿宋_GBK" w:hAnsi="仿宋_GB2312" w:cs="仿宋_GB2312"/>
          <w:color w:val="0D0D0D"/>
          <w:highlight w:val="none"/>
        </w:rPr>
        <w:t>安排购置车辆。</w:t>
      </w:r>
    </w:p>
    <w:p w14:paraId="263CC407">
      <w:pPr>
        <w:adjustRightInd w:val="0"/>
        <w:snapToGrid w:val="0"/>
        <w:spacing w:line="600" w:lineRule="exact"/>
        <w:ind w:firstLine="640" w:firstLineChars="200"/>
        <w:rPr>
          <w:rFonts w:hint="eastAsia" w:ascii="方正仿宋_GBK" w:hAnsi="仿宋_GB2312" w:cs="仿宋_GB2312"/>
          <w:color w:val="0D0D0D"/>
          <w:highlight w:val="none"/>
        </w:rPr>
      </w:pPr>
      <w:r>
        <w:rPr>
          <w:rFonts w:hint="eastAsia" w:ascii="方正仿宋_GBK" w:hAnsi="仿宋_GB2312" w:cs="仿宋_GB2312"/>
          <w:color w:val="0D0D0D"/>
          <w:highlight w:val="none"/>
        </w:rPr>
        <w:t>（五）委托业务费情况。2026年委托业务费涉及财拨资金</w:t>
      </w:r>
      <w:r>
        <w:rPr>
          <w:rFonts w:hint="eastAsia" w:ascii="方正仿宋_GBK" w:hAnsi="仿宋_GB2312" w:cs="仿宋_GB2312"/>
          <w:color w:val="0D0D0D"/>
          <w:highlight w:val="none"/>
          <w:lang w:val="en-US" w:eastAsia="zh-CN"/>
        </w:rPr>
        <w:t>6003</w:t>
      </w:r>
      <w:r>
        <w:rPr>
          <w:rFonts w:hint="eastAsia" w:ascii="方正仿宋_GBK" w:hAnsi="仿宋_GB2312" w:cs="仿宋_GB2312"/>
          <w:color w:val="0D0D0D"/>
          <w:highlight w:val="none"/>
        </w:rPr>
        <w:t>万元，主要用于</w:t>
      </w:r>
      <w:r>
        <w:rPr>
          <w:rFonts w:hint="eastAsia" w:ascii="方正仿宋_GBK" w:hAnsi="仿宋_GB2312" w:cs="仿宋_GB2312"/>
          <w:color w:val="0D0D0D"/>
          <w:highlight w:val="none"/>
          <w:lang w:val="en-US" w:eastAsia="zh-CN"/>
        </w:rPr>
        <w:t>综保区区划</w:t>
      </w:r>
      <w:r>
        <w:rPr>
          <w:rFonts w:hint="eastAsia" w:ascii="方正仿宋_GBK" w:hAnsi="仿宋_GB2312" w:cs="仿宋_GB2312"/>
          <w:color w:val="0D0D0D"/>
          <w:highlight w:val="none"/>
        </w:rPr>
        <w:t>调整</w:t>
      </w:r>
      <w:r>
        <w:rPr>
          <w:rFonts w:hint="eastAsia" w:ascii="方正仿宋_GBK" w:hAnsi="仿宋_GB2312" w:cs="仿宋_GB2312"/>
          <w:color w:val="0D0D0D"/>
          <w:highlight w:val="none"/>
          <w:lang w:eastAsia="zh-CN"/>
        </w:rPr>
        <w:t>、</w:t>
      </w:r>
      <w:r>
        <w:rPr>
          <w:rFonts w:hint="eastAsia" w:ascii="方正仿宋_GBK" w:hAnsi="仿宋_GB2312" w:cs="仿宋_GB2312"/>
          <w:color w:val="0D0D0D"/>
          <w:highlight w:val="none"/>
          <w:lang w:val="en-US" w:eastAsia="zh-CN"/>
        </w:rPr>
        <w:t>信息化运维服务、</w:t>
      </w:r>
      <w:r>
        <w:rPr>
          <w:rFonts w:hint="eastAsia" w:ascii="方正仿宋_GBK" w:hAnsi="仿宋_GB2312" w:cs="仿宋_GB2312"/>
          <w:color w:val="0D0D0D"/>
          <w:highlight w:val="none"/>
          <w:lang w:eastAsia="zh-CN"/>
        </w:rPr>
        <w:t>红火蚁治理、</w:t>
      </w:r>
      <w:r>
        <w:rPr>
          <w:rFonts w:hint="eastAsia" w:ascii="方正仿宋_GBK" w:hAnsi="仿宋_GB2312" w:cs="仿宋_GB2312"/>
          <w:color w:val="0D0D0D"/>
          <w:highlight w:val="none"/>
          <w:lang w:val="en-US" w:eastAsia="zh-CN"/>
        </w:rPr>
        <w:t>综保区协管员外包服务</w:t>
      </w:r>
      <w:r>
        <w:rPr>
          <w:rFonts w:hint="eastAsia" w:ascii="方正仿宋_GBK" w:hAnsi="仿宋_GB2312" w:cs="仿宋_GB2312"/>
          <w:color w:val="0D0D0D"/>
          <w:highlight w:val="none"/>
        </w:rPr>
        <w:t>等支出。</w:t>
      </w:r>
    </w:p>
    <w:p w14:paraId="46D35C31">
      <w:pPr>
        <w:adjustRightInd w:val="0"/>
        <w:snapToGrid w:val="0"/>
        <w:spacing w:line="600" w:lineRule="exact"/>
        <w:ind w:left="640"/>
        <w:rPr>
          <w:rFonts w:hint="eastAsia" w:ascii="方正黑体_GBK" w:hAnsi="黑体" w:eastAsia="方正黑体_GBK" w:cs="仿宋_GB2312"/>
          <w:color w:val="0D0D0D"/>
          <w:highlight w:val="none"/>
        </w:rPr>
      </w:pPr>
      <w:r>
        <w:rPr>
          <w:rFonts w:hint="eastAsia" w:ascii="方正黑体_GBK" w:hAnsi="黑体" w:eastAsia="方正黑体_GBK" w:cs="仿宋_GB2312"/>
          <w:color w:val="0D0D0D"/>
          <w:highlight w:val="none"/>
        </w:rPr>
        <w:t>六、专业性名词解释</w:t>
      </w:r>
    </w:p>
    <w:p w14:paraId="7BD3A72F">
      <w:pPr>
        <w:pStyle w:val="6"/>
        <w:tabs>
          <w:tab w:val="center" w:pos="4153"/>
          <w:tab w:val="left" w:pos="7275"/>
        </w:tabs>
        <w:adjustRightInd w:val="0"/>
        <w:snapToGrid w:val="0"/>
        <w:spacing w:line="600" w:lineRule="exact"/>
        <w:ind w:firstLine="640"/>
        <w:jc w:val="left"/>
        <w:rPr>
          <w:rFonts w:hint="eastAsia" w:ascii="方正仿宋_GBK" w:eastAsia="方正仿宋_GBK"/>
          <w:color w:val="0D0D0D"/>
          <w:sz w:val="32"/>
          <w:szCs w:val="32"/>
          <w:highlight w:val="none"/>
        </w:rPr>
      </w:pPr>
      <w:r>
        <w:rPr>
          <w:rFonts w:hint="eastAsia" w:ascii="方正仿宋_GBK" w:eastAsia="方正仿宋_GBK"/>
          <w:color w:val="0D0D0D"/>
          <w:sz w:val="32"/>
          <w:szCs w:val="32"/>
          <w:highlight w:val="none"/>
        </w:rPr>
        <w:t>（一）财政拨款收入：指本年度从本级财政部门取得的财政拨款，包括一般公共预算财政拨款和政府性基金预算财政拨款。</w:t>
      </w:r>
    </w:p>
    <w:p w14:paraId="3829CAEA">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（二）财政专户管理资金收入：指缴入财政专户、实行专项管理的高中以上学费、住宿费、高校委托培养费、函大、电大、夜大及短训班培训费等教育收费。单位根据教育收费标准、学生人数等合理预计。</w:t>
      </w:r>
    </w:p>
    <w:p w14:paraId="23776F3D">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（三）事业收入（不含教育收费）：指事业单位开展专业业务活动及其辅助活动取得的收入，不包括教育收费。单位根据本年度事业单位开展专业业务活动及其辅助活动计划，结合上年度收入等情况进行预计。</w:t>
      </w:r>
    </w:p>
    <w:p w14:paraId="270324C5">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（四）上级补助收入：指从主管部门或上级单位取得的财政拨款以外的其他补助收入。单位结合上年度上级补助收入等情况进行预计。</w:t>
      </w:r>
    </w:p>
    <w:p w14:paraId="4E739E12">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29534E5D">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1410DC90">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（七）其他收入：指债务收入、投资收益等收入，单位根据情况合理预计，全部编入预算。</w:t>
      </w:r>
    </w:p>
    <w:p w14:paraId="2B6104E8">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090018B3">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44FB223">
      <w:pPr>
        <w:adjustRightInd w:val="0"/>
        <w:snapToGrid w:val="0"/>
        <w:spacing w:line="600" w:lineRule="exact"/>
        <w:ind w:firstLine="640" w:firstLineChars="200"/>
        <w:rPr>
          <w:rFonts w:ascii="方正仿宋_GBK" w:hAnsi="仿宋"/>
          <w:color w:val="0D0D0D"/>
          <w:szCs w:val="32"/>
          <w:highlight w:val="none"/>
        </w:rPr>
      </w:pPr>
      <w:r>
        <w:rPr>
          <w:rFonts w:hint="eastAsia" w:ascii="方正仿宋_GBK" w:hAnsi="仿宋"/>
          <w:color w:val="0D0D0D"/>
          <w:szCs w:val="32"/>
          <w:highlight w:val="none"/>
        </w:rPr>
        <w:t>（十）项目支出：指在基本支出之外为完成特定行政任务和事业发展目标所发生的支出。</w:t>
      </w:r>
    </w:p>
    <w:p w14:paraId="65972B12">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BFB1EF8">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C4B294B">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（十三）工资福利支出（支出经济分类科目类级）：反映单位开支的在职职工和编制外长期聘用人员的各类劳动报酬，以及为上述人员缴纳的各项社会保险费等。</w:t>
      </w:r>
    </w:p>
    <w:p w14:paraId="4A71FDEF">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（十四）商品和服务支出（支出经济分类科目类级）：反映单位购买商品和服务的支出（不包括用于购置固定资产的支出、战略性和应急储备支出）。</w:t>
      </w:r>
    </w:p>
    <w:p w14:paraId="3FD89D86">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（十五）对个人和家庭的补助（支出经济分类科目类级）：反映用于对个人和家庭的补助支出。</w:t>
      </w:r>
    </w:p>
    <w:p w14:paraId="3D5E3635">
      <w:pPr>
        <w:adjustRightInd w:val="0"/>
        <w:snapToGrid w:val="0"/>
        <w:spacing w:line="600" w:lineRule="exact"/>
        <w:ind w:firstLine="640" w:firstLineChars="200"/>
        <w:rPr>
          <w:rFonts w:hint="eastAsia" w:ascii="方正仿宋_GBK" w:hAnsi="仿宋"/>
          <w:color w:val="0D0D0D"/>
          <w:szCs w:val="32"/>
          <w:highlight w:val="none"/>
        </w:rPr>
      </w:pPr>
      <w:r>
        <w:rPr>
          <w:rFonts w:hint="eastAsia" w:ascii="方正仿宋_GBK" w:hAnsi="仿宋"/>
          <w:color w:val="0D0D0D"/>
          <w:szCs w:val="32"/>
          <w:highlight w:val="none"/>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2B63A220">
      <w:pPr>
        <w:adjustRightInd w:val="0"/>
        <w:snapToGrid w:val="0"/>
        <w:spacing w:line="600" w:lineRule="exact"/>
        <w:ind w:firstLine="640" w:firstLineChars="200"/>
        <w:rPr>
          <w:rFonts w:hint="eastAsia" w:ascii="方正仿宋_GBK" w:hAnsi="仿宋_GB2312" w:cs="仿宋_GB2312"/>
          <w:color w:val="0D0D0D"/>
          <w:highlight w:val="none"/>
        </w:rPr>
      </w:pPr>
    </w:p>
    <w:p w14:paraId="6405ED46">
      <w:pPr>
        <w:ind w:firstLine="640" w:firstLineChars="200"/>
        <w:rPr>
          <w:highlight w:val="none"/>
        </w:rPr>
      </w:pPr>
      <w:r>
        <w:rPr>
          <w:rFonts w:hint="eastAsia" w:ascii="方正仿宋_GBK" w:hAnsi="仿宋_GB2312" w:cs="仿宋_GB2312"/>
          <w:color w:val="0D0D0D"/>
          <w:highlight w:val="none"/>
        </w:rPr>
        <w:t>部门预算公开联系人</w:t>
      </w:r>
      <w:r>
        <w:rPr>
          <w:rFonts w:hint="eastAsia" w:ascii="方正仿宋_GBK" w:hAnsi="仿宋_GB2312" w:cs="仿宋_GB2312"/>
          <w:color w:val="0D0D0D"/>
          <w:highlight w:val="none"/>
          <w:lang w:eastAsia="zh-CN"/>
        </w:rPr>
        <w:t>：</w:t>
      </w:r>
      <w:r>
        <w:rPr>
          <w:rFonts w:hint="eastAsia" w:ascii="方正仿宋_GBK" w:hAnsi="仿宋_GB2312" w:eastAsia="方正仿宋_GBK" w:cs="仿宋_GB2312"/>
          <w:sz w:val="32"/>
          <w:szCs w:val="20"/>
          <w:highlight w:val="none"/>
          <w:lang w:val="en-US" w:eastAsia="zh-CN"/>
        </w:rPr>
        <w:t>徐老师；</w:t>
      </w:r>
      <w:r>
        <w:rPr>
          <w:rFonts w:hint="eastAsia" w:ascii="方正仿宋_GBK" w:hAnsi="仿宋_GB2312" w:eastAsia="方正仿宋_GBK" w:cs="仿宋_GB2312"/>
          <w:sz w:val="32"/>
          <w:szCs w:val="20"/>
          <w:highlight w:val="none"/>
        </w:rPr>
        <w:t>联系方式：</w:t>
      </w:r>
      <w:r>
        <w:rPr>
          <w:rFonts w:hint="eastAsia" w:ascii="方正仿宋_GBK" w:hAnsi="Times New Roman" w:eastAsia="方正仿宋_GBK" w:cs="Times New Roman"/>
          <w:sz w:val="32"/>
          <w:szCs w:val="20"/>
          <w:highlight w:val="none"/>
        </w:rPr>
        <w:t>023-</w:t>
      </w:r>
      <w:r>
        <w:rPr>
          <w:rFonts w:hint="eastAsia" w:ascii="方正仿宋_GBK" w:hAnsi="Times New Roman" w:eastAsia="方正仿宋_GBK" w:cs="Times New Roman"/>
          <w:sz w:val="32"/>
          <w:szCs w:val="20"/>
          <w:highlight w:val="none"/>
          <w:lang w:val="en-US" w:eastAsia="zh-CN"/>
        </w:rPr>
        <w:t>68820592</w:t>
      </w:r>
      <w:r>
        <w:rPr>
          <w:rFonts w:hint="eastAsia" w:ascii="方正仿宋_GBK" w:hAnsi="Times New Roman" w:cs="Times New Roman"/>
          <w:sz w:val="32"/>
          <w:szCs w:val="20"/>
          <w:highlight w:val="none"/>
          <w:lang w:val="en-US" w:eastAsia="zh-CN"/>
        </w:rPr>
        <w:t>。</w:t>
      </w:r>
    </w:p>
    <w:p w14:paraId="2DBD84D2">
      <w:pPr>
        <w:adjustRightInd w:val="0"/>
        <w:snapToGrid w:val="0"/>
        <w:spacing w:line="600" w:lineRule="exact"/>
        <w:ind w:firstLine="640" w:firstLineChars="200"/>
        <w:rPr>
          <w:rFonts w:hint="eastAsia" w:ascii="方正仿宋_GBK"/>
          <w:color w:val="0D0D0D"/>
          <w:highlight w:val="none"/>
        </w:rPr>
      </w:pPr>
      <w:r>
        <w:rPr>
          <w:rFonts w:hint="eastAsia" w:ascii="方正仿宋_GBK" w:hAnsi="仿宋_GB2312" w:cs="仿宋_GB2312"/>
          <w:color w:val="0D0D0D"/>
          <w:highlight w:val="none"/>
        </w:rPr>
        <w:t xml:space="preserve">  </w:t>
      </w:r>
    </w:p>
    <w:p w14:paraId="0A35C559">
      <w:pPr>
        <w:rPr>
          <w:highlight w:val="none"/>
        </w:rPr>
      </w:pPr>
    </w:p>
    <w:sectPr>
      <w:footerReference r:id="rId3" w:type="default"/>
      <w:footerReference r:id="rId4" w:type="even"/>
      <w:pgSz w:w="11906" w:h="16838"/>
      <w:pgMar w:top="2098"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459E36-B1AF-4F83-8599-D134EB2DF6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69A45D8-FEA9-4249-BF02-DA747F6000FE}"/>
  </w:font>
  <w:font w:name="方正仿宋_GBK">
    <w:panose1 w:val="03000509000000000000"/>
    <w:charset w:val="86"/>
    <w:family w:val="script"/>
    <w:pitch w:val="default"/>
    <w:sig w:usb0="00000001" w:usb1="080E0000" w:usb2="00000000" w:usb3="00000000" w:csb0="00040000" w:csb1="00000000"/>
    <w:embedRegular r:id="rId3" w:fontKey="{38FBCF27-FC39-469B-9126-9C457EC2C782}"/>
  </w:font>
  <w:font w:name="仿宋">
    <w:panose1 w:val="02010609060101010101"/>
    <w:charset w:val="86"/>
    <w:family w:val="modern"/>
    <w:pitch w:val="default"/>
    <w:sig w:usb0="800002BF" w:usb1="38CF7CFA" w:usb2="00000016" w:usb3="00000000" w:csb0="00040001" w:csb1="00000000"/>
    <w:embedRegular r:id="rId4" w:fontKey="{19F4FE83-A89C-4797-80CD-D63438B35190}"/>
  </w:font>
  <w:font w:name="方正小标宋_GBK">
    <w:panose1 w:val="02000000000000000000"/>
    <w:charset w:val="86"/>
    <w:family w:val="auto"/>
    <w:pitch w:val="default"/>
    <w:sig w:usb0="A00002BF" w:usb1="38CF7CFA" w:usb2="00082016" w:usb3="00000000" w:csb0="00040001" w:csb1="00000000"/>
    <w:embedRegular r:id="rId5" w:fontKey="{F292CAF9-C39B-4FEA-82D4-B09445D00549}"/>
  </w:font>
  <w:font w:name="华文中宋">
    <w:altName w:val="宋体"/>
    <w:panose1 w:val="02010600040101010101"/>
    <w:charset w:val="86"/>
    <w:family w:val="auto"/>
    <w:pitch w:val="default"/>
    <w:sig w:usb0="00000000" w:usb1="00000000" w:usb2="00000010" w:usb3="00000000" w:csb0="0004009F" w:csb1="00000000"/>
    <w:embedRegular r:id="rId6" w:fontKey="{99DD2CF0-F03A-4097-B66F-0E7E574FB620}"/>
  </w:font>
  <w:font w:name="汉仪中宋简">
    <w:altName w:val="宋体"/>
    <w:panose1 w:val="02010600000101010101"/>
    <w:charset w:val="86"/>
    <w:family w:val="auto"/>
    <w:pitch w:val="default"/>
    <w:sig w:usb0="00000000" w:usb1="00000000" w:usb2="00000002" w:usb3="00000000" w:csb0="00040000" w:csb1="00000000"/>
  </w:font>
  <w:font w:name="方正黑体_GBK">
    <w:panose1 w:val="02010600010101010101"/>
    <w:charset w:val="86"/>
    <w:family w:val="auto"/>
    <w:pitch w:val="default"/>
    <w:sig w:usb0="00000001" w:usb1="080E0000" w:usb2="00000000" w:usb3="00000000" w:csb0="00040000" w:csb1="00000000"/>
    <w:embedRegular r:id="rId7" w:fontKey="{9A49B591-A416-4D70-A545-2C0F0F65E181}"/>
  </w:font>
  <w:font w:name="仿宋_GB2312">
    <w:altName w:val="仿宋"/>
    <w:panose1 w:val="02010609030101010101"/>
    <w:charset w:val="86"/>
    <w:family w:val="modern"/>
    <w:pitch w:val="default"/>
    <w:sig w:usb0="00000000" w:usb1="00000000" w:usb2="00000010" w:usb3="00000000" w:csb0="00040000" w:csb1="00000000"/>
    <w:embedRegular r:id="rId8" w:fontKey="{F52CF4DC-5C3E-4C6C-A81F-365CFF2164DC}"/>
  </w:font>
  <w:font w:name="方正楷体_GBK">
    <w:panose1 w:val="02000000000000000000"/>
    <w:charset w:val="86"/>
    <w:family w:val="auto"/>
    <w:pitch w:val="default"/>
    <w:sig w:usb0="800002BF" w:usb1="38CF7CFA" w:usb2="00000016" w:usb3="00000000" w:csb0="00040000" w:csb1="00000000"/>
    <w:embedRegular r:id="rId9" w:fontKey="{70CB5F51-87E0-480F-9A54-D77A3DF42B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E268">
    <w:pPr>
      <w:pStyle w:val="2"/>
      <w:framePr w:wrap="around" w:vAnchor="text" w:hAnchor="margin" w:xAlign="outside" w:y="1"/>
      <w:ind w:right="320" w:rightChars="100"/>
      <w:rPr>
        <w:rStyle w:val="5"/>
        <w:rFonts w:hint="eastAsia" w:ascii="宋体" w:hAnsi="宋体" w:eastAsia="宋体"/>
        <w:sz w:val="28"/>
        <w:szCs w:val="28"/>
      </w:rPr>
    </w:pPr>
    <w:r>
      <w:rPr>
        <w:rStyle w:val="5"/>
        <w:rFonts w:hint="eastAsia" w:ascii="宋体" w:hAnsi="宋体" w:eastAsia="宋体"/>
        <w:sz w:val="28"/>
        <w:szCs w:val="28"/>
      </w:rPr>
      <w:t xml:space="preserve">— </w:t>
    </w:r>
    <w:r>
      <w:rPr>
        <w:rStyle w:val="5"/>
        <w:rFonts w:eastAsia="宋体"/>
        <w:sz w:val="28"/>
        <w:szCs w:val="28"/>
      </w:rPr>
      <w:fldChar w:fldCharType="begin"/>
    </w:r>
    <w:r>
      <w:rPr>
        <w:rStyle w:val="5"/>
        <w:rFonts w:eastAsia="宋体"/>
        <w:sz w:val="28"/>
        <w:szCs w:val="28"/>
      </w:rPr>
      <w:instrText xml:space="preserve">PAGE  </w:instrText>
    </w:r>
    <w:r>
      <w:rPr>
        <w:rStyle w:val="5"/>
        <w:rFonts w:eastAsia="宋体"/>
        <w:sz w:val="28"/>
        <w:szCs w:val="28"/>
      </w:rPr>
      <w:fldChar w:fldCharType="separate"/>
    </w:r>
    <w:r>
      <w:rPr>
        <w:rStyle w:val="5"/>
        <w:rFonts w:eastAsia="宋体"/>
        <w:sz w:val="28"/>
        <w:szCs w:val="28"/>
      </w:rPr>
      <w:t>15</w:t>
    </w:r>
    <w:r>
      <w:rPr>
        <w:rStyle w:val="5"/>
        <w:rFonts w:eastAsia="宋体"/>
        <w:sz w:val="28"/>
        <w:szCs w:val="28"/>
      </w:rPr>
      <w:fldChar w:fldCharType="end"/>
    </w:r>
    <w:r>
      <w:rPr>
        <w:rStyle w:val="5"/>
        <w:rFonts w:hint="eastAsia" w:ascii="宋体" w:hAnsi="宋体" w:eastAsia="宋体"/>
        <w:sz w:val="28"/>
        <w:szCs w:val="28"/>
      </w:rPr>
      <w:t xml:space="preserve"> —</w:t>
    </w:r>
  </w:p>
  <w:p w14:paraId="7E2A9A56">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F3F5">
    <w:pPr>
      <w:pStyle w:val="2"/>
      <w:framePr w:wrap="around" w:vAnchor="text" w:hAnchor="margin" w:xAlign="outside" w:y="1"/>
      <w:ind w:left="320" w:leftChars="100"/>
      <w:rPr>
        <w:rStyle w:val="5"/>
        <w:rFonts w:hint="eastAsia" w:ascii="宋体" w:hAnsi="宋体" w:eastAsia="宋体"/>
        <w:sz w:val="28"/>
        <w:szCs w:val="28"/>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10</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14:paraId="45D2DF61">
    <w:pPr>
      <w:pStyle w:val="2"/>
      <w:framePr w:wrap="around" w:vAnchor="text" w:hAnchor="margin" w:xAlign="outside" w:y="1"/>
      <w:ind w:left="640" w:leftChars="200" w:right="640" w:rightChars="200" w:firstLine="360"/>
      <w:rPr>
        <w:rStyle w:val="5"/>
        <w:rFonts w:hint="eastAsia" w:ascii="宋体" w:hAnsi="宋体" w:eastAsia="宋体"/>
        <w:sz w:val="28"/>
        <w:szCs w:val="28"/>
      </w:rPr>
    </w:pPr>
  </w:p>
  <w:p w14:paraId="76525B90">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A7266"/>
    <w:rsid w:val="26377ABF"/>
    <w:rsid w:val="2D0F4D53"/>
    <w:rsid w:val="2E6242F8"/>
    <w:rsid w:val="2EAA1985"/>
    <w:rsid w:val="32EC2EF8"/>
    <w:rsid w:val="3638478E"/>
    <w:rsid w:val="3A4678DA"/>
    <w:rsid w:val="3C8841DA"/>
    <w:rsid w:val="3EDEF532"/>
    <w:rsid w:val="40587260"/>
    <w:rsid w:val="453847BB"/>
    <w:rsid w:val="56633896"/>
    <w:rsid w:val="57133321"/>
    <w:rsid w:val="62287742"/>
    <w:rsid w:val="652C43FE"/>
    <w:rsid w:val="67D903BA"/>
    <w:rsid w:val="746F1200"/>
    <w:rsid w:val="76C1367D"/>
    <w:rsid w:val="7E8D522D"/>
    <w:rsid w:val="99CF2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qFormat/>
    <w:uiPriority w:val="0"/>
  </w:style>
  <w:style w:type="paragraph" w:styleId="6">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2745</Words>
  <Characters>2858</Characters>
  <Lines>0</Lines>
  <Paragraphs>0</Paragraphs>
  <TotalTime>1</TotalTime>
  <ScaleCrop>false</ScaleCrop>
  <LinksUpToDate>false</LinksUpToDate>
  <CharactersWithSpaces>2864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2026-04-09T09:37:00Z</dcterms:created>
  <dc:creator>Administrator</dc:creator>
  <cp:lastModifiedBy>silence</cp:lastModifiedBy>
  <dcterms:modified xsi:type="dcterms:W3CDTF">2026-07-06T07:33:20Z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3D7AC577BC3B473091041B44D6A59369_12</vt:lpwstr>
  </property>
</Properties>
</file>