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46" w:rsidRPr="005C20F1" w:rsidRDefault="005C20F1" w:rsidP="005C20F1">
      <w:pPr>
        <w:pStyle w:val="a3"/>
        <w:widowControl/>
        <w:spacing w:beforeAutospacing="0" w:afterAutospacing="0" w:line="600" w:lineRule="exact"/>
        <w:jc w:val="center"/>
        <w:rPr>
          <w:rFonts w:ascii="方正小标宋_GBK" w:eastAsia="方正小标宋_GBK" w:hAnsi="仿宋_GB2312" w:cs="仿宋_GB2312"/>
          <w:bCs/>
          <w:sz w:val="44"/>
          <w:szCs w:val="44"/>
        </w:rPr>
      </w:pPr>
      <w:proofErr w:type="gramStart"/>
      <w:r w:rsidRPr="005C20F1">
        <w:rPr>
          <w:rFonts w:ascii="方正小标宋_GBK" w:eastAsia="方正小标宋_GBK" w:hAnsi="仿宋_GB2312" w:cs="仿宋_GB2312" w:hint="eastAsia"/>
          <w:bCs/>
          <w:sz w:val="44"/>
          <w:szCs w:val="44"/>
        </w:rPr>
        <w:t>走马镇</w:t>
      </w:r>
      <w:proofErr w:type="gramEnd"/>
      <w:r w:rsidRPr="005C20F1">
        <w:rPr>
          <w:rFonts w:ascii="方正小标宋_GBK" w:eastAsia="方正小标宋_GBK" w:hAnsi="仿宋_GB2312" w:cs="仿宋_GB2312" w:hint="eastAsia"/>
          <w:bCs/>
          <w:sz w:val="44"/>
          <w:szCs w:val="44"/>
        </w:rPr>
        <w:t>人民政府2022年度部门决算情况说明</w:t>
      </w:r>
    </w:p>
    <w:p w:rsidR="005C20F1" w:rsidRPr="005C20F1" w:rsidRDefault="005C20F1" w:rsidP="005C20F1">
      <w:pPr>
        <w:pStyle w:val="a3"/>
        <w:widowControl/>
        <w:spacing w:beforeAutospacing="0" w:afterAutospacing="0" w:line="600" w:lineRule="exact"/>
        <w:ind w:firstLineChars="200" w:firstLine="643"/>
        <w:jc w:val="both"/>
        <w:rPr>
          <w:rStyle w:val="a4"/>
          <w:rFonts w:ascii="方正仿宋_GBK" w:eastAsia="方正仿宋_GBK" w:hAnsi="仿宋_GB2312" w:cs="仿宋_GB2312"/>
          <w:sz w:val="32"/>
          <w:szCs w:val="32"/>
        </w:rPr>
      </w:pPr>
    </w:p>
    <w:p w:rsidR="000D0D46" w:rsidRPr="005C20F1" w:rsidRDefault="005C20F1" w:rsidP="005C20F1">
      <w:pPr>
        <w:pStyle w:val="a3"/>
        <w:widowControl/>
        <w:spacing w:beforeAutospacing="0" w:afterAutospacing="0" w:line="600" w:lineRule="exact"/>
        <w:ind w:firstLineChars="200" w:firstLine="640"/>
        <w:jc w:val="both"/>
        <w:rPr>
          <w:rFonts w:ascii="方正黑体_GBK" w:eastAsia="方正黑体_GBK" w:hAnsi="仿宋_GB2312" w:cs="仿宋_GB2312"/>
          <w:b/>
          <w:sz w:val="32"/>
          <w:szCs w:val="32"/>
        </w:rPr>
      </w:pPr>
      <w:r w:rsidRPr="005C20F1">
        <w:rPr>
          <w:rStyle w:val="a4"/>
          <w:rFonts w:ascii="方正黑体_GBK" w:eastAsia="方正黑体_GBK" w:hAnsi="仿宋_GB2312" w:cs="仿宋_GB2312" w:hint="eastAsia"/>
          <w:b w:val="0"/>
          <w:sz w:val="32"/>
          <w:szCs w:val="32"/>
        </w:rPr>
        <w:t>一、部门基本情况</w:t>
      </w:r>
    </w:p>
    <w:p w:rsidR="000D0D46" w:rsidRPr="005C20F1" w:rsidRDefault="005C20F1" w:rsidP="005C20F1">
      <w:pPr>
        <w:pStyle w:val="a3"/>
        <w:widowControl/>
        <w:numPr>
          <w:ilvl w:val="0"/>
          <w:numId w:val="1"/>
        </w:numPr>
        <w:spacing w:beforeAutospacing="0" w:afterAutospacing="0" w:line="600" w:lineRule="exact"/>
        <w:ind w:left="0" w:firstLineChars="200" w:firstLine="643"/>
        <w:jc w:val="both"/>
        <w:rPr>
          <w:rStyle w:val="a4"/>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职能职责</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lang w:bidi="ar"/>
        </w:rPr>
      </w:pPr>
      <w:r w:rsidRPr="005C20F1">
        <w:rPr>
          <w:rFonts w:ascii="方正仿宋_GBK" w:eastAsia="方正仿宋_GBK" w:hAnsi="仿宋_GB2312" w:cs="仿宋_GB2312" w:hint="eastAsia"/>
          <w:sz w:val="32"/>
          <w:szCs w:val="32"/>
          <w:lang w:bidi="ar"/>
        </w:rPr>
        <w:t>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rsidR="000D0D46" w:rsidRPr="005C20F1" w:rsidRDefault="005C20F1" w:rsidP="005C20F1">
      <w:pPr>
        <w:pStyle w:val="a3"/>
        <w:widowControl/>
        <w:numPr>
          <w:ilvl w:val="0"/>
          <w:numId w:val="1"/>
        </w:numPr>
        <w:spacing w:beforeAutospacing="0" w:afterAutospacing="0" w:line="600" w:lineRule="exact"/>
        <w:ind w:left="0" w:firstLineChars="200" w:firstLine="643"/>
        <w:jc w:val="both"/>
        <w:rPr>
          <w:rStyle w:val="a4"/>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机构设置</w:t>
      </w:r>
    </w:p>
    <w:p w:rsidR="000D0D46" w:rsidRPr="005C20F1" w:rsidRDefault="005C20F1" w:rsidP="005C20F1">
      <w:pPr>
        <w:spacing w:line="600" w:lineRule="exact"/>
        <w:ind w:firstLineChars="200" w:firstLine="640"/>
        <w:rPr>
          <w:rFonts w:ascii="方正仿宋_GBK" w:eastAsia="方正仿宋_GBK" w:hAnsi="仿宋_GB2312" w:cs="仿宋_GB2312"/>
          <w:kern w:val="0"/>
          <w:sz w:val="32"/>
          <w:szCs w:val="32"/>
          <w:lang w:bidi="ar"/>
        </w:rPr>
      </w:pPr>
      <w:proofErr w:type="gramStart"/>
      <w:r w:rsidRPr="005C20F1">
        <w:rPr>
          <w:rFonts w:ascii="方正仿宋_GBK" w:eastAsia="方正仿宋_GBK" w:hAnsi="仿宋_GB2312" w:cs="仿宋_GB2312" w:hint="eastAsia"/>
          <w:kern w:val="0"/>
          <w:sz w:val="32"/>
          <w:szCs w:val="32"/>
          <w:lang w:bidi="ar"/>
        </w:rPr>
        <w:t>走马镇</w:t>
      </w:r>
      <w:proofErr w:type="gramEnd"/>
      <w:r w:rsidRPr="005C20F1">
        <w:rPr>
          <w:rFonts w:ascii="方正仿宋_GBK" w:eastAsia="方正仿宋_GBK" w:hAnsi="仿宋_GB2312" w:cs="仿宋_GB2312" w:hint="eastAsia"/>
          <w:kern w:val="0"/>
          <w:sz w:val="32"/>
          <w:szCs w:val="32"/>
          <w:lang w:bidi="ar"/>
        </w:rPr>
        <w:t>现有行政机构1个，内设党政、党建工作、财政、规划建设管理环保、民政和社会事务、综合行政执法、平安建设、应急管理9个办公室。事业机构6个，即农业服务中心、文化服务中心、劳动就业和社会保障服务所、退役军人服务站、综合执法行政大队、社会管理信息服务中心6个机构。</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（三）单位构成</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lang w:bidi="ar"/>
        </w:rPr>
      </w:pPr>
      <w:r w:rsidRPr="005C20F1">
        <w:rPr>
          <w:rFonts w:ascii="方正仿宋_GBK" w:eastAsia="方正仿宋_GBK" w:hAnsi="仿宋_GB2312" w:cs="仿宋_GB2312" w:hint="eastAsia"/>
          <w:sz w:val="32"/>
          <w:szCs w:val="32"/>
        </w:rPr>
        <w:t>从预算单位构成看，纳入本部门2022年度决算编制的二级预算单位主要包括</w:t>
      </w:r>
      <w:r w:rsidRPr="005C20F1">
        <w:rPr>
          <w:rFonts w:ascii="方正仿宋_GBK" w:eastAsia="方正仿宋_GBK" w:hAnsi="仿宋_GB2312" w:cs="仿宋_GB2312" w:hint="eastAsia"/>
          <w:sz w:val="32"/>
          <w:szCs w:val="32"/>
          <w:lang w:bidi="ar"/>
        </w:rPr>
        <w:t>农业服务中心、文化服务中心、劳动就业和社会保障服务所、退役军人服务站、综合执法行政大队、社会管理信息服务中心。</w:t>
      </w:r>
    </w:p>
    <w:p w:rsidR="000D0D46" w:rsidRPr="005C20F1" w:rsidRDefault="005C20F1" w:rsidP="005C20F1">
      <w:pPr>
        <w:pStyle w:val="a3"/>
        <w:widowControl/>
        <w:spacing w:beforeAutospacing="0" w:afterAutospacing="0" w:line="600" w:lineRule="exact"/>
        <w:ind w:firstLineChars="200" w:firstLine="640"/>
        <w:jc w:val="both"/>
        <w:rPr>
          <w:rStyle w:val="a4"/>
          <w:rFonts w:ascii="方正黑体_GBK" w:eastAsia="方正黑体_GBK"/>
        </w:rPr>
      </w:pPr>
      <w:r w:rsidRPr="005C20F1">
        <w:rPr>
          <w:rStyle w:val="a4"/>
          <w:rFonts w:ascii="方正黑体_GBK" w:eastAsia="方正黑体_GBK" w:hAnsi="仿宋_GB2312" w:cs="仿宋_GB2312" w:hint="eastAsia"/>
          <w:b w:val="0"/>
          <w:sz w:val="32"/>
          <w:szCs w:val="32"/>
        </w:rPr>
        <w:t>二、部门决算情况说明</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（一）收入支出决算总体情况说明</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lastRenderedPageBreak/>
        <w:t>1.总体情况</w:t>
      </w:r>
      <w:r w:rsidRPr="005C20F1">
        <w:rPr>
          <w:rFonts w:ascii="方正仿宋_GBK" w:eastAsia="方正仿宋_GBK" w:hAnsi="仿宋_GB2312" w:cs="仿宋_GB2312" w:hint="eastAsia"/>
          <w:sz w:val="32"/>
          <w:szCs w:val="32"/>
        </w:rPr>
        <w:t>。2022年度收入总计9,315.15万元，支出总计</w:t>
      </w:r>
      <w:r>
        <w:rPr>
          <w:rFonts w:ascii="方正仿宋_GBK" w:eastAsia="方正仿宋_GBK" w:hAnsi="仿宋_GB2312" w:cs="仿宋_GB2312" w:hint="eastAsia"/>
          <w:sz w:val="32"/>
          <w:szCs w:val="32"/>
        </w:rPr>
        <w:t>9,315.15</w:t>
      </w:r>
      <w:r w:rsidRPr="005C20F1">
        <w:rPr>
          <w:rFonts w:ascii="方正仿宋_GBK" w:eastAsia="方正仿宋_GBK" w:hAnsi="仿宋_GB2312" w:cs="仿宋_GB2312" w:hint="eastAsia"/>
          <w:sz w:val="32"/>
          <w:szCs w:val="32"/>
        </w:rPr>
        <w:t>万元。收支较上年决算数减少1,338.15万元，下降12.6%，主要原因是减少了特色小城镇建设专项资金等项目资金。</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2.收入情况。</w:t>
      </w:r>
      <w:r w:rsidRPr="005C20F1">
        <w:rPr>
          <w:rFonts w:ascii="方正仿宋_GBK" w:eastAsia="方正仿宋_GBK" w:hAnsi="仿宋_GB2312" w:cs="仿宋_GB2312" w:hint="eastAsia"/>
          <w:sz w:val="32"/>
          <w:szCs w:val="32"/>
        </w:rPr>
        <w:t>2022年度收入合计9,315.15万元，收支较上年决算数减少1,338.15万元，下降12.6%，主要原因是减少了特色小城镇建设专项资金等项目资金。其中：财政拨款收入9,315.15万元，占100%。</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3.支出情况。</w:t>
      </w:r>
      <w:r w:rsidRPr="005C20F1">
        <w:rPr>
          <w:rFonts w:ascii="方正仿宋_GBK" w:eastAsia="方正仿宋_GBK" w:hAnsi="仿宋_GB2312" w:cs="仿宋_GB2312" w:hint="eastAsia"/>
          <w:sz w:val="32"/>
          <w:szCs w:val="32"/>
        </w:rPr>
        <w:t>2022年度支出合计9,315.15万元，较上年决算数减少1,338.15万元，下降12.6%，主要原因是减少了特色小城镇建设专项资金等项目资金。其中：基本支出2,246.47万元，占24.1%；项目支出7,068.68万元，占75.9%.</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highlight w:val="yellow"/>
        </w:rPr>
      </w:pPr>
      <w:r w:rsidRPr="005C20F1">
        <w:rPr>
          <w:rStyle w:val="a4"/>
          <w:rFonts w:ascii="方正仿宋_GBK" w:eastAsia="方正仿宋_GBK" w:hAnsi="仿宋_GB2312" w:cs="仿宋_GB2312" w:hint="eastAsia"/>
          <w:sz w:val="32"/>
          <w:szCs w:val="32"/>
        </w:rPr>
        <w:t>4.结转结余情况。</w:t>
      </w:r>
      <w:r w:rsidRPr="005C20F1">
        <w:rPr>
          <w:rFonts w:ascii="方正仿宋_GBK" w:eastAsia="方正仿宋_GBK" w:hAnsi="仿宋_GB2312" w:cs="仿宋_GB2312" w:hint="eastAsia"/>
          <w:sz w:val="32"/>
          <w:szCs w:val="32"/>
        </w:rPr>
        <w:t>2022年度年末结转和结余0万元。</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（二）财政拨款收入支出决算总体情况说明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2022年度财政拨款收、支总计9,315.15万元。与20201年相比，财政拨款收、支总计各减少1,338.15万元，下降12.6%。主要原因是主要原因是减少了特色小城镇建设专项资金等项目资金。</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（三）一般公共预算财政拨款支出决算情况说明</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1.收入情况。</w:t>
      </w:r>
      <w:r w:rsidRPr="005C20F1">
        <w:rPr>
          <w:rFonts w:ascii="方正仿宋_GBK" w:eastAsia="方正仿宋_GBK" w:hAnsi="仿宋_GB2312" w:cs="仿宋_GB2312" w:hint="eastAsia"/>
          <w:sz w:val="32"/>
          <w:szCs w:val="32"/>
        </w:rPr>
        <w:t>2022年度一般公共预算财政拨款收入8,810.86万元，较上年决算数减少96.05万元，下降1.1%。主要原因是主要原因是减少了市政维护专项资金等项目资金。</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lastRenderedPageBreak/>
        <w:t>2.支出情况。</w:t>
      </w:r>
      <w:r w:rsidRPr="005C20F1">
        <w:rPr>
          <w:rFonts w:ascii="方正仿宋_GBK" w:eastAsia="方正仿宋_GBK" w:hAnsi="仿宋_GB2312" w:cs="仿宋_GB2312" w:hint="eastAsia"/>
          <w:sz w:val="32"/>
          <w:szCs w:val="32"/>
        </w:rPr>
        <w:t>2022年度一般公共预算财政拨款支出8,810.86万元，较上年决算数减少96.05万元，下降1.1%。主要原因是主要原因是减少了市政维护专项资金等项目资金。</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3.结转结余情况。</w:t>
      </w:r>
      <w:r w:rsidRPr="005C20F1">
        <w:rPr>
          <w:rFonts w:ascii="方正仿宋_GBK" w:eastAsia="方正仿宋_GBK" w:hAnsi="仿宋_GB2312" w:cs="仿宋_GB2312" w:hint="eastAsia"/>
          <w:sz w:val="32"/>
          <w:szCs w:val="32"/>
        </w:rPr>
        <w:t>2022年度年末一般公共预算财政拨款结转和结余0万元。</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4.比较情况</w:t>
      </w:r>
      <w:r w:rsidRPr="005C20F1">
        <w:rPr>
          <w:rFonts w:ascii="方正仿宋_GBK" w:eastAsia="方正仿宋_GBK" w:hAnsi="仿宋_GB2312" w:cs="仿宋_GB2312" w:hint="eastAsia"/>
          <w:sz w:val="32"/>
          <w:szCs w:val="32"/>
        </w:rPr>
        <w:t>。本部门2022年度一般公共预算财政拨款支出主要用于以下几个方面：</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（1）一般公共服务支出3,166.30万元，占35.9%，较年初预算数减少327.12万元，下降9.4%，主要原因是减少了办公费开支。</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（2）国防支出12.57万元，占0.1%，较年初预算数减少3.43万元，下降21.4%，主要原因是减少了装备购置数量。</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highlight w:val="yellow"/>
        </w:rPr>
      </w:pPr>
      <w:r w:rsidRPr="005C20F1">
        <w:rPr>
          <w:rFonts w:ascii="方正仿宋_GBK" w:eastAsia="方正仿宋_GBK" w:hAnsi="仿宋_GB2312" w:cs="仿宋_GB2312" w:hint="eastAsia"/>
          <w:sz w:val="32"/>
          <w:szCs w:val="32"/>
        </w:rPr>
        <w:t>（3）文化旅游体育与传媒支出244.37万元，占2.8%，较年初预算数增加60.93万元，增长33.2%，主要原因是增加了“走马杯”讲好中国故事曲艺展演活动等支出。</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（4）社会保障与就业支出1,786.14万元，占20.3%，较年初预算数增加1,288.82万元，增长259.2%，主要原因是年中专</w:t>
      </w:r>
      <w:proofErr w:type="gramStart"/>
      <w:r w:rsidRPr="005C20F1">
        <w:rPr>
          <w:rFonts w:ascii="方正仿宋_GBK" w:eastAsia="方正仿宋_GBK" w:hAnsi="仿宋_GB2312" w:cs="仿宋_GB2312" w:hint="eastAsia"/>
          <w:sz w:val="32"/>
          <w:szCs w:val="32"/>
        </w:rPr>
        <w:t>级资金</w:t>
      </w:r>
      <w:proofErr w:type="gramEnd"/>
      <w:r w:rsidRPr="005C20F1">
        <w:rPr>
          <w:rFonts w:ascii="方正仿宋_GBK" w:eastAsia="方正仿宋_GBK" w:hAnsi="仿宋_GB2312" w:cs="仿宋_GB2312" w:hint="eastAsia"/>
          <w:sz w:val="32"/>
          <w:szCs w:val="32"/>
        </w:rPr>
        <w:t>预算调剂。</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（5）卫生健康支出947.55万元，占10.8%，较年初预算数增加888.15万元，增长1495.2%，主要原因是增加了2022年计划生育</w:t>
      </w:r>
      <w:proofErr w:type="gramStart"/>
      <w:r w:rsidRPr="005C20F1">
        <w:rPr>
          <w:rFonts w:ascii="方正仿宋_GBK" w:eastAsia="方正仿宋_GBK" w:hAnsi="仿宋_GB2312" w:cs="仿宋_GB2312" w:hint="eastAsia"/>
          <w:sz w:val="32"/>
          <w:szCs w:val="32"/>
        </w:rPr>
        <w:t>特扶转移</w:t>
      </w:r>
      <w:proofErr w:type="gramEnd"/>
      <w:r w:rsidRPr="005C20F1">
        <w:rPr>
          <w:rFonts w:ascii="方正仿宋_GBK" w:eastAsia="方正仿宋_GBK" w:hAnsi="仿宋_GB2312" w:cs="仿宋_GB2312" w:hint="eastAsia"/>
          <w:sz w:val="32"/>
          <w:szCs w:val="32"/>
        </w:rPr>
        <w:t>支付等专项资金支出。</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lastRenderedPageBreak/>
        <w:t>（6）城乡社区支出909.88万元，占10.3%，较年初预算数增加473.40万元，增长108.5%，主要原因是增加了特色小镇支出。</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（7）农林水支出779.43万元，占8.8%，较年初预算数增加399.26万元，增长105%%，主要原因是增加了农村综合改革等专项资金支出。</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trike/>
          <w:sz w:val="32"/>
          <w:szCs w:val="32"/>
        </w:rPr>
      </w:pPr>
      <w:r w:rsidRPr="005C20F1">
        <w:rPr>
          <w:rFonts w:ascii="方正仿宋_GBK" w:eastAsia="方正仿宋_GBK" w:hAnsi="仿宋_GB2312" w:cs="仿宋_GB2312" w:hint="eastAsia"/>
          <w:sz w:val="32"/>
          <w:szCs w:val="32"/>
        </w:rPr>
        <w:t>（8）公共安全支出7.28万元，占0.1%，较年初预算数增加7.28万元，增长100%，主要原因是年初未预算。</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（9）自然资源海洋气象等支出81.04万元，占0.9%，较年初预算数增加81.04万元，增长100%，年初未预算。</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（10）住房保障支出97.32万元，占1.1%，较年初预算数增加36.13万元，增长59%，主要原因是住房公积金支出年初预算不足。</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（11）灾害防治及应急管理支出108.48万元，占1.2%，较年初预算数增加46.80万元，增长75.9%，主要原因是增加了走马古镇专职消防队员经费支出。</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（12）科学技术支出0.80万元，占0%，较年初预算数增加0.80万元，增长100%，主要原因是追加科技创新专项资金。</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（13）节能环保支出216.77万元，占2.5%，较年初预算数增加216.77万元，增长100%，主要原因是追加了生活垃圾处理异地补偿缴费。</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lastRenderedPageBreak/>
        <w:t>（14）交通运输支出452.94万元，占5.1%，较年初预算数增加452.94万元，增长100%，主要原因是增加了车辆购置税用于公路等基础设施建设支出。</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（四）一般公共预算财政拨款基本支出决算情况说明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一般公共财政拨款基本支出2,246.47万元。其中：人员经费1,803.05万元，较上年决算数减少552.91万元，下降23.5%，主要原因是预算口径发生变化。人员经费用途主要包括基本工资、津贴补贴、奖金、社会保障缴费等。公用经费443.42万元，较上年决算数减少327.03万元，下降42.4%，主要原因是进一步压缩公用经费使用。公用经费用途主要包括办公费、印刷费、邮电费、差旅费、机关维修（护）费。</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（五）政府性基金预算收支决算情况说明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2022年度政府性基金预算财政拨款年初结转结余0万元，年末结转结余</w:t>
      </w:r>
      <w:bookmarkStart w:id="0" w:name="_GoBack"/>
      <w:bookmarkEnd w:id="0"/>
      <w:r w:rsidRPr="005C20F1">
        <w:rPr>
          <w:rFonts w:ascii="方正仿宋_GBK" w:eastAsia="方正仿宋_GBK" w:hAnsi="仿宋_GB2312" w:cs="仿宋_GB2312" w:hint="eastAsia"/>
          <w:sz w:val="32"/>
          <w:szCs w:val="32"/>
        </w:rPr>
        <w:t>0万元。本年收入504.29万元，较上年决算数减少1,242.00万元，下降71.1%，主要原因是特色小镇等专项资金拨款收入金额减少。年支出504.29万元，较上年决算数减少1,242.00万元，下降71.1%，主要原因是特色小镇资金等专项支出减少。</w:t>
      </w:r>
    </w:p>
    <w:p w:rsidR="000D0D46" w:rsidRPr="005C20F1" w:rsidRDefault="005C20F1" w:rsidP="005C20F1">
      <w:pPr>
        <w:pStyle w:val="a3"/>
        <w:widowControl/>
        <w:numPr>
          <w:ilvl w:val="0"/>
          <w:numId w:val="2"/>
        </w:numPr>
        <w:spacing w:beforeAutospacing="0" w:afterAutospacing="0" w:line="600" w:lineRule="exact"/>
        <w:ind w:firstLineChars="200" w:firstLine="643"/>
        <w:jc w:val="both"/>
        <w:rPr>
          <w:rStyle w:val="a4"/>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国有资本经营预算财政拨款支出决算情况说明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本部门2022年度无国有资本经营预算财政拨款支出。</w:t>
      </w:r>
    </w:p>
    <w:p w:rsidR="000D0D46" w:rsidRPr="005C20F1" w:rsidRDefault="005C20F1" w:rsidP="005C20F1">
      <w:pPr>
        <w:pStyle w:val="a3"/>
        <w:widowControl/>
        <w:spacing w:beforeAutospacing="0" w:afterAutospacing="0" w:line="600" w:lineRule="exact"/>
        <w:ind w:firstLineChars="200" w:firstLine="640"/>
        <w:jc w:val="both"/>
        <w:rPr>
          <w:rStyle w:val="a4"/>
          <w:rFonts w:ascii="方正黑体_GBK" w:eastAsia="方正黑体_GBK" w:hAnsi="仿宋_GB2312" w:cs="仿宋_GB2312"/>
          <w:b w:val="0"/>
          <w:sz w:val="32"/>
          <w:szCs w:val="32"/>
        </w:rPr>
      </w:pPr>
      <w:r>
        <w:rPr>
          <w:rStyle w:val="a4"/>
          <w:rFonts w:ascii="方正黑体_GBK" w:eastAsia="方正黑体_GBK" w:hAnsi="仿宋_GB2312" w:cs="仿宋_GB2312" w:hint="eastAsia"/>
          <w:b w:val="0"/>
          <w:sz w:val="32"/>
          <w:szCs w:val="32"/>
        </w:rPr>
        <w:t>三、</w:t>
      </w:r>
      <w:r w:rsidRPr="005C20F1">
        <w:rPr>
          <w:rStyle w:val="a4"/>
          <w:rFonts w:ascii="方正黑体_GBK" w:eastAsia="方正黑体_GBK" w:hAnsi="仿宋_GB2312" w:cs="仿宋_GB2312" w:hint="eastAsia"/>
          <w:b w:val="0"/>
          <w:sz w:val="32"/>
          <w:szCs w:val="32"/>
        </w:rPr>
        <w:t>“三公”经费情况说明</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lastRenderedPageBreak/>
        <w:t>（一）“三公”经费支出总体情况说明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2022年度“三公”经费支出共计39.76万元，较年初预算数减少0.69万元，下降1.7%，较上年支出数增加7.12万元，主要原因是本年按批复购置公务用车一台。</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（二）“三公”经费分项支出情况</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2022年度本部门未发生因公出国（境）支出。</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2022年度本部门发生</w:t>
      </w:r>
      <w:r>
        <w:rPr>
          <w:rFonts w:ascii="方正仿宋_GBK" w:eastAsia="方正仿宋_GBK" w:hAnsi="仿宋_GB2312" w:cs="仿宋_GB2312" w:hint="eastAsia"/>
          <w:sz w:val="32"/>
          <w:szCs w:val="32"/>
        </w:rPr>
        <w:t>公</w:t>
      </w:r>
      <w:r w:rsidRPr="005C20F1">
        <w:rPr>
          <w:rFonts w:ascii="方正仿宋_GBK" w:eastAsia="方正仿宋_GBK" w:hAnsi="仿宋_GB2312" w:cs="仿宋_GB2312" w:hint="eastAsia"/>
          <w:sz w:val="32"/>
          <w:szCs w:val="32"/>
        </w:rPr>
        <w:t>务车购置支出14.78万元，费用支出较年初预算数减少0.67万元，下降4.3%，主要原因是购置费用低于上年。</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公务车运行维护费24.98万元，主要用于公车加油、路桥、保险和维修费等。费用支出较年初预算数减少0.02万元，下降0.1%</w:t>
      </w:r>
      <w:r>
        <w:rPr>
          <w:rFonts w:ascii="方正仿宋_GBK" w:eastAsia="方正仿宋_GBK" w:hAnsi="仿宋_GB2312" w:cs="仿宋_GB2312" w:hint="eastAsia"/>
          <w:sz w:val="32"/>
          <w:szCs w:val="32"/>
        </w:rPr>
        <w:t>，</w:t>
      </w:r>
      <w:r w:rsidRPr="005C20F1">
        <w:rPr>
          <w:rFonts w:ascii="方正仿宋_GBK" w:eastAsia="方正仿宋_GBK" w:hAnsi="仿宋_GB2312" w:cs="仿宋_GB2312" w:hint="eastAsia"/>
          <w:sz w:val="32"/>
          <w:szCs w:val="32"/>
        </w:rPr>
        <w:t>主要原因是加油车改为了电动车，降低了加油支出和维修支出。</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2022年度本部门未发生公务接待费支出。</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（三）“三公”经费实物量情况</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2022年度本部门因公出国（境）共计0个团组，0人；公务用车购置1辆，公务车保有量为4辆；国内公务接待0批次0人。2022年本部门人均接待费0元，车均购置费14.78万元，车均维护费6.25万元。</w:t>
      </w:r>
    </w:p>
    <w:p w:rsidR="000D0D46" w:rsidRPr="005C20F1" w:rsidRDefault="005C20F1" w:rsidP="005C20F1">
      <w:pPr>
        <w:pStyle w:val="a3"/>
        <w:widowControl/>
        <w:spacing w:beforeAutospacing="0" w:afterAutospacing="0" w:line="600" w:lineRule="exact"/>
        <w:ind w:firstLineChars="200" w:firstLine="640"/>
        <w:jc w:val="both"/>
        <w:rPr>
          <w:rStyle w:val="a4"/>
          <w:rFonts w:ascii="方正黑体_GBK" w:eastAsia="方正黑体_GBK"/>
        </w:rPr>
      </w:pPr>
      <w:r w:rsidRPr="005C20F1">
        <w:rPr>
          <w:rStyle w:val="a4"/>
          <w:rFonts w:ascii="方正黑体_GBK" w:eastAsia="方正黑体_GBK" w:hAnsi="仿宋_GB2312" w:cs="仿宋_GB2312" w:hint="eastAsia"/>
          <w:b w:val="0"/>
          <w:sz w:val="32"/>
          <w:szCs w:val="32"/>
        </w:rPr>
        <w:t>四、其他需要说明的事项</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（一）机关运行经费情况说明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lastRenderedPageBreak/>
        <w:t>2022年度本部门机关运行经费支出242.35万元，机关运行经费主要用于开支办公费、印刷费、邮电费、差旅费、机关维修（护）费。机关运行经费较上年决算数减少286.15万元，下降54.1%，主要原因是创建节约型机关，机关各项公用支出下降。</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本年度会议费支出32.97万元，较上年决算数增加20.97万元，增长174.8%，主要原因是会议频次增加。本年度培训费支出4.88万元，较上年决算数减少5.12万元，下降51.2%，主要原因是培训次数比去年减少。</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（二）国有资产占用情况说明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截至2022年12月31日，本部门共有车辆12辆，其中，副部（省）级及以上领导用车0辆、主要领导干部用车0辆、机要通信用车1辆、应急保障用车11辆、执法执勤用车0辆，特种专业技术用车0辆，离退休干部用车0辆，其他用车0</w:t>
      </w:r>
      <w:r>
        <w:rPr>
          <w:rFonts w:ascii="方正仿宋_GBK" w:eastAsia="方正仿宋_GBK" w:hAnsi="仿宋_GB2312" w:cs="仿宋_GB2312" w:hint="eastAsia"/>
          <w:sz w:val="32"/>
          <w:szCs w:val="32"/>
        </w:rPr>
        <w:t>辆，</w:t>
      </w:r>
      <w:r w:rsidRPr="005C20F1">
        <w:rPr>
          <w:rFonts w:ascii="方正仿宋_GBK" w:eastAsia="方正仿宋_GBK" w:hAnsi="仿宋_GB2312" w:cs="仿宋_GB2312" w:hint="eastAsia"/>
          <w:sz w:val="32"/>
          <w:szCs w:val="32"/>
        </w:rPr>
        <w:t>单价</w:t>
      </w:r>
      <w:r>
        <w:rPr>
          <w:rFonts w:ascii="方正仿宋_GBK" w:eastAsia="方正仿宋_GBK" w:hAnsi="仿宋_GB2312" w:cs="仿宋_GB2312" w:hint="eastAsia"/>
          <w:sz w:val="32"/>
          <w:szCs w:val="32"/>
        </w:rPr>
        <w:t>100</w:t>
      </w:r>
      <w:r w:rsidRPr="005C20F1">
        <w:rPr>
          <w:rFonts w:ascii="方正仿宋_GBK" w:eastAsia="方正仿宋_GBK" w:hAnsi="仿宋_GB2312" w:cs="仿宋_GB2312" w:hint="eastAsia"/>
          <w:sz w:val="32"/>
          <w:szCs w:val="32"/>
        </w:rPr>
        <w:t>万元（含）以上专用设备0台（套）。</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（三）政府采购支出情况说明</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2022年度本部门政府采购支出总额14.78万元，其中：政府采购货物支出14.78万元、政府采购工程支出0万元、政府采购服务支出0万元。授予中小企业合同金额0万元，占政府采购支出总额的0%，其中：授予小微企业合同金额0万元，占政府采购支出总额的0%。</w:t>
      </w:r>
    </w:p>
    <w:p w:rsidR="000D0D46" w:rsidRPr="005C20F1" w:rsidRDefault="005C20F1" w:rsidP="005C20F1">
      <w:pPr>
        <w:pStyle w:val="a3"/>
        <w:widowControl/>
        <w:spacing w:beforeAutospacing="0" w:afterAutospacing="0" w:line="600" w:lineRule="exact"/>
        <w:ind w:firstLineChars="200" w:firstLine="640"/>
        <w:jc w:val="both"/>
        <w:rPr>
          <w:rStyle w:val="a4"/>
          <w:rFonts w:ascii="方正黑体_GBK" w:eastAsia="方正黑体_GBK"/>
        </w:rPr>
      </w:pPr>
      <w:r w:rsidRPr="005C20F1">
        <w:rPr>
          <w:rStyle w:val="a4"/>
          <w:rFonts w:ascii="方正黑体_GBK" w:eastAsia="方正黑体_GBK" w:hAnsi="仿宋_GB2312" w:cs="仿宋_GB2312" w:hint="eastAsia"/>
          <w:b w:val="0"/>
          <w:sz w:val="32"/>
          <w:szCs w:val="32"/>
        </w:rPr>
        <w:t>五、预算绩效管理情况说明</w:t>
      </w:r>
    </w:p>
    <w:p w:rsidR="000D0D46" w:rsidRPr="005C20F1" w:rsidRDefault="005C20F1" w:rsidP="005C20F1">
      <w:pPr>
        <w:pStyle w:val="a3"/>
        <w:widowControl/>
        <w:spacing w:beforeAutospacing="0" w:afterAutospacing="0" w:line="600" w:lineRule="exact"/>
        <w:ind w:firstLineChars="200" w:firstLine="643"/>
        <w:jc w:val="both"/>
        <w:rPr>
          <w:rStyle w:val="a4"/>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lastRenderedPageBreak/>
        <w:t>（一）预算绩效管理工作开展情况</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根据预算绩效管理要求，本单位对部门整体和所有项目开展了绩效自评。其中，以填报目标自评表形式开展自评104项，涉及资金7,068.68万元,从评价情况来看，总体支出按照了绩效评价要求，合理开展了各项支出。</w:t>
      </w:r>
    </w:p>
    <w:p w:rsidR="000D0D46" w:rsidRPr="005C20F1" w:rsidRDefault="005C20F1" w:rsidP="005C20F1">
      <w:pPr>
        <w:pStyle w:val="a3"/>
        <w:widowControl/>
        <w:spacing w:beforeAutospacing="0" w:afterAutospacing="0" w:line="600" w:lineRule="exact"/>
        <w:ind w:firstLineChars="200" w:firstLine="643"/>
        <w:jc w:val="both"/>
        <w:rPr>
          <w:rStyle w:val="a4"/>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（二）绩效自评结果</w:t>
      </w:r>
    </w:p>
    <w:p w:rsidR="000D0D46" w:rsidRPr="005C20F1" w:rsidRDefault="005C20F1" w:rsidP="005C20F1">
      <w:pPr>
        <w:pStyle w:val="a3"/>
        <w:widowControl/>
        <w:spacing w:beforeAutospacing="0" w:afterAutospacing="0" w:line="600" w:lineRule="exact"/>
        <w:ind w:firstLineChars="200" w:firstLine="640"/>
        <w:jc w:val="both"/>
        <w:rPr>
          <w:rStyle w:val="a4"/>
          <w:rFonts w:ascii="方正仿宋_GBK" w:eastAsia="方正仿宋_GBK" w:hAnsi="仿宋_GB2312" w:cs="仿宋_GB2312"/>
          <w:b w:val="0"/>
          <w:bCs/>
          <w:sz w:val="32"/>
          <w:szCs w:val="32"/>
        </w:rPr>
      </w:pPr>
      <w:r w:rsidRPr="005C20F1">
        <w:rPr>
          <w:rStyle w:val="a4"/>
          <w:rFonts w:ascii="方正仿宋_GBK" w:eastAsia="方正仿宋_GBK" w:hAnsi="仿宋_GB2312" w:cs="仿宋_GB2312" w:hint="eastAsia"/>
          <w:b w:val="0"/>
          <w:bCs/>
          <w:sz w:val="32"/>
          <w:szCs w:val="32"/>
        </w:rPr>
        <w:t>详见附件。</w:t>
      </w:r>
    </w:p>
    <w:p w:rsidR="000D0D46" w:rsidRPr="005C20F1" w:rsidRDefault="005C20F1" w:rsidP="005C20F1">
      <w:pPr>
        <w:pStyle w:val="a3"/>
        <w:widowControl/>
        <w:spacing w:beforeAutospacing="0" w:afterAutospacing="0" w:line="600" w:lineRule="exact"/>
        <w:ind w:firstLineChars="200" w:firstLine="640"/>
        <w:jc w:val="both"/>
        <w:rPr>
          <w:rStyle w:val="a4"/>
          <w:rFonts w:ascii="方正黑体_GBK" w:eastAsia="方正黑体_GBK"/>
        </w:rPr>
      </w:pPr>
      <w:r w:rsidRPr="005C20F1">
        <w:rPr>
          <w:rStyle w:val="a4"/>
          <w:rFonts w:ascii="方正黑体_GBK" w:eastAsia="方正黑体_GBK" w:hAnsi="仿宋_GB2312" w:cs="仿宋_GB2312" w:hint="eastAsia"/>
          <w:b w:val="0"/>
          <w:sz w:val="32"/>
          <w:szCs w:val="32"/>
        </w:rPr>
        <w:t>六、专业名词解释</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（一）财政拨款收入</w:t>
      </w:r>
      <w:r w:rsidRPr="005C20F1">
        <w:rPr>
          <w:rFonts w:ascii="方正仿宋_GBK" w:eastAsia="方正仿宋_GBK" w:hAnsi="仿宋_GB2312" w:cs="仿宋_GB2312" w:hint="eastAsia"/>
          <w:sz w:val="32"/>
          <w:szCs w:val="32"/>
        </w:rPr>
        <w:t>：指本年度从本级财政部门取得的财政拨款，包括一般公共预算财政拨款和政府性基金预算财政拨款。</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（二）事业收入</w:t>
      </w:r>
      <w:r w:rsidRPr="005C20F1">
        <w:rPr>
          <w:rFonts w:ascii="方正仿宋_GBK" w:eastAsia="方正仿宋_GBK" w:hAnsi="仿宋_GB2312" w:cs="仿宋_GB2312" w:hint="eastAsia"/>
          <w:sz w:val="32"/>
          <w:szCs w:val="32"/>
        </w:rPr>
        <w:t>：指事业单位开展专业业务活动及其辅助活动取得的现金流入；事业单位收到的财政专户实际核拨的教育收费等资金在此反映。</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（三）经营收入</w:t>
      </w:r>
      <w:r w:rsidRPr="005C20F1">
        <w:rPr>
          <w:rFonts w:ascii="方正仿宋_GBK" w:eastAsia="方正仿宋_GBK" w:hAnsi="仿宋_GB2312" w:cs="仿宋_GB2312" w:hint="eastAsia"/>
          <w:sz w:val="32"/>
          <w:szCs w:val="32"/>
        </w:rPr>
        <w:t>：指事业单位在专业业务活动及其辅助活动之外开展非独立核算经营活动取得的现金流入。</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（四）其他收入</w:t>
      </w:r>
      <w:r w:rsidRPr="005C20F1">
        <w:rPr>
          <w:rFonts w:ascii="方正仿宋_GBK" w:eastAsia="方正仿宋_GBK" w:hAnsi="仿宋_GB2312" w:cs="仿宋_GB2312"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w:t>
      </w:r>
      <w:r w:rsidRPr="005C20F1">
        <w:rPr>
          <w:rFonts w:ascii="方正仿宋_GBK" w:eastAsia="方正仿宋_GBK" w:hAnsi="仿宋_GB2312" w:cs="仿宋_GB2312" w:hint="eastAsia"/>
          <w:sz w:val="32"/>
          <w:szCs w:val="32"/>
        </w:rPr>
        <w:lastRenderedPageBreak/>
        <w:t>外的同级单位取得的经费、从非本级财政部门取得的经费，以及行政单位收到的财政专户管理资金反映在本项内。</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（五）使用非财政拨款结余</w:t>
      </w:r>
      <w:r w:rsidRPr="005C20F1">
        <w:rPr>
          <w:rFonts w:ascii="方正仿宋_GBK" w:eastAsia="方正仿宋_GBK" w:hAnsi="仿宋_GB2312" w:cs="仿宋_GB2312" w:hint="eastAsia"/>
          <w:sz w:val="32"/>
          <w:szCs w:val="32"/>
        </w:rPr>
        <w:t>：指单位在当年的“财政拨款收入”、“事业收入”、“经营收入”、“其他收入”等不足以安排当年支出的情况下，使用以前年度积累的非财政拨款结余弥补本年度收支缺口的资金。</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（六）年初结转和结余</w:t>
      </w:r>
      <w:r w:rsidRPr="005C20F1">
        <w:rPr>
          <w:rFonts w:ascii="方正仿宋_GBK" w:eastAsia="方正仿宋_GBK" w:hAnsi="仿宋_GB2312" w:cs="仿宋_GB2312" w:hint="eastAsia"/>
          <w:sz w:val="32"/>
          <w:szCs w:val="32"/>
        </w:rPr>
        <w:t>：指单位上年结转本年使用的基本支出结转、项目支出结转和结余、经营结余。</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（七）结余分配</w:t>
      </w:r>
      <w:r w:rsidRPr="005C20F1">
        <w:rPr>
          <w:rFonts w:ascii="方正仿宋_GBK" w:eastAsia="方正仿宋_GBK" w:hAnsi="仿宋_GB2312" w:cs="仿宋_GB2312" w:hint="eastAsia"/>
          <w:sz w:val="32"/>
          <w:szCs w:val="32"/>
        </w:rPr>
        <w:t>：指单位按照国家有关规定，缴纳所得税、提取专用基金、转入非财政拨款结余等当年结余的分配情况。</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（八）年末结转和结余</w:t>
      </w:r>
      <w:r w:rsidRPr="005C20F1">
        <w:rPr>
          <w:rFonts w:ascii="方正仿宋_GBK" w:eastAsia="方正仿宋_GBK" w:hAnsi="仿宋_GB2312" w:cs="仿宋_GB2312" w:hint="eastAsia"/>
          <w:sz w:val="32"/>
          <w:szCs w:val="32"/>
        </w:rPr>
        <w:t>：指单位结转下年的基本支出结转、项目支出结转和结余、经营结余。</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（九）基本支出</w:t>
      </w:r>
      <w:r w:rsidRPr="005C20F1">
        <w:rPr>
          <w:rFonts w:ascii="方正仿宋_GBK" w:eastAsia="方正仿宋_GBK" w:hAnsi="仿宋_GB2312" w:cs="仿宋_GB2312"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（十）项目支出</w:t>
      </w:r>
      <w:r w:rsidRPr="005C20F1">
        <w:rPr>
          <w:rFonts w:ascii="方正仿宋_GBK" w:eastAsia="方正仿宋_GBK" w:hAnsi="仿宋_GB2312" w:cs="仿宋_GB2312" w:hint="eastAsia"/>
          <w:sz w:val="32"/>
          <w:szCs w:val="32"/>
        </w:rPr>
        <w:t>：指在基本支出之外为完成特定行政任务和事业发展目标所发生的支出。</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（十一）经营支出</w:t>
      </w:r>
      <w:r w:rsidRPr="005C20F1">
        <w:rPr>
          <w:rFonts w:ascii="方正仿宋_GBK" w:eastAsia="方正仿宋_GBK" w:hAnsi="仿宋_GB2312" w:cs="仿宋_GB2312" w:hint="eastAsia"/>
          <w:sz w:val="32"/>
          <w:szCs w:val="32"/>
        </w:rPr>
        <w:t>：指事业单位在专业业务活动及其辅助活动之外开展非独立核算经营活动发生的支出。</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lastRenderedPageBreak/>
        <w:t>（十二）“三公”经费</w:t>
      </w:r>
      <w:r w:rsidRPr="005C20F1">
        <w:rPr>
          <w:rFonts w:ascii="方正仿宋_GBK" w:eastAsia="方正仿宋_GBK" w:hAnsi="仿宋_GB2312" w:cs="仿宋_GB2312"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（十三）机关运行经费</w:t>
      </w:r>
      <w:r w:rsidRPr="005C20F1">
        <w:rPr>
          <w:rFonts w:ascii="方正仿宋_GBK" w:eastAsia="方正仿宋_GBK" w:hAnsi="仿宋_GB2312" w:cs="仿宋_GB2312" w:hint="eastAsia"/>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（十四）工资福利支出（支出经济分类科目类级）</w:t>
      </w:r>
      <w:r w:rsidRPr="005C20F1">
        <w:rPr>
          <w:rFonts w:ascii="方正仿宋_GBK" w:eastAsia="方正仿宋_GBK" w:hAnsi="仿宋_GB2312" w:cs="仿宋_GB2312" w:hint="eastAsia"/>
          <w:sz w:val="32"/>
          <w:szCs w:val="32"/>
        </w:rPr>
        <w:t>：反映单位开支的在职职工和编制外长期聘用人员的各类劳动报酬，以及为上述人员缴纳的各项社会保险费等。</w:t>
      </w:r>
    </w:p>
    <w:p w:rsidR="000D0D46"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（十五）商品和服务支出（支出经济分类科目类级）</w:t>
      </w:r>
      <w:r w:rsidRPr="005C20F1">
        <w:rPr>
          <w:rFonts w:ascii="方正仿宋_GBK" w:eastAsia="方正仿宋_GBK" w:hAnsi="仿宋_GB2312" w:cs="仿宋_GB2312" w:hint="eastAsia"/>
          <w:sz w:val="32"/>
          <w:szCs w:val="32"/>
        </w:rPr>
        <w:t>：反映单位购买商品和服务的支出（不包括用于购置固定资产的支出、战略性和应急储备支出）。</w:t>
      </w:r>
    </w:p>
    <w:p w:rsidR="005C20F1"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（十六）对个人和家庭的补助（支出经济分类科目类级）</w:t>
      </w:r>
      <w:r w:rsidRPr="005C20F1">
        <w:rPr>
          <w:rFonts w:ascii="方正仿宋_GBK" w:eastAsia="方正仿宋_GBK" w:hAnsi="仿宋_GB2312" w:cs="仿宋_GB2312" w:hint="eastAsia"/>
          <w:sz w:val="32"/>
          <w:szCs w:val="32"/>
        </w:rPr>
        <w:t>：</w:t>
      </w:r>
    </w:p>
    <w:p w:rsidR="000D0D46" w:rsidRPr="005C20F1" w:rsidRDefault="005C20F1" w:rsidP="005C20F1">
      <w:pPr>
        <w:pStyle w:val="a3"/>
        <w:widowControl/>
        <w:spacing w:beforeAutospacing="0" w:afterAutospacing="0" w:line="600" w:lineRule="exact"/>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lastRenderedPageBreak/>
        <w:t>反映用于对个人和家庭的补助支出。</w:t>
      </w:r>
    </w:p>
    <w:p w:rsidR="000D0D46" w:rsidRPr="005C20F1" w:rsidRDefault="005C20F1" w:rsidP="005C20F1">
      <w:pPr>
        <w:pStyle w:val="a3"/>
        <w:widowControl/>
        <w:spacing w:beforeAutospacing="0" w:afterAutospacing="0" w:line="600" w:lineRule="exact"/>
        <w:ind w:firstLineChars="200" w:firstLine="643"/>
        <w:jc w:val="both"/>
        <w:rPr>
          <w:rFonts w:ascii="方正仿宋_GBK" w:eastAsia="方正仿宋_GBK" w:hAnsi="仿宋_GB2312" w:cs="仿宋_GB2312"/>
          <w:sz w:val="32"/>
          <w:szCs w:val="32"/>
        </w:rPr>
      </w:pPr>
      <w:r w:rsidRPr="005C20F1">
        <w:rPr>
          <w:rStyle w:val="a4"/>
          <w:rFonts w:ascii="方正仿宋_GBK" w:eastAsia="方正仿宋_GBK" w:hAnsi="仿宋_GB2312" w:cs="仿宋_GB2312" w:hint="eastAsia"/>
          <w:sz w:val="32"/>
          <w:szCs w:val="32"/>
        </w:rPr>
        <w:t>（十七）其他资本性支出（支出经济分类科目类级）</w:t>
      </w:r>
      <w:r w:rsidRPr="005C20F1">
        <w:rPr>
          <w:rFonts w:ascii="方正仿宋_GBK" w:eastAsia="方正仿宋_GBK" w:hAnsi="仿宋_GB2312" w:cs="仿宋_GB2312" w:hint="eastAsia"/>
          <w:sz w:val="32"/>
          <w:szCs w:val="32"/>
        </w:rPr>
        <w:t>：反映</w:t>
      </w:r>
      <w:proofErr w:type="gramStart"/>
      <w:r w:rsidRPr="005C20F1">
        <w:rPr>
          <w:rFonts w:ascii="方正仿宋_GBK" w:eastAsia="方正仿宋_GBK" w:hAnsi="仿宋_GB2312" w:cs="仿宋_GB2312" w:hint="eastAsia"/>
          <w:sz w:val="32"/>
          <w:szCs w:val="32"/>
        </w:rPr>
        <w:t>非各级</w:t>
      </w:r>
      <w:proofErr w:type="gramEnd"/>
      <w:r w:rsidRPr="005C20F1">
        <w:rPr>
          <w:rFonts w:ascii="方正仿宋_GBK" w:eastAsia="方正仿宋_GBK" w:hAnsi="仿宋_GB2312" w:cs="仿宋_GB2312" w:hint="eastAsia"/>
          <w:sz w:val="32"/>
          <w:szCs w:val="32"/>
        </w:rPr>
        <w:t>发展与改革部门集中安排的用于购置固定资产、战略性和应急性储备、土地和无形资产，以及构建基础设施、大型修缮和财政支持企业更新改造所发生的支出。</w:t>
      </w:r>
    </w:p>
    <w:p w:rsidR="000D0D46" w:rsidRPr="005C20F1" w:rsidRDefault="005C20F1" w:rsidP="005C20F1">
      <w:pPr>
        <w:pStyle w:val="a3"/>
        <w:widowControl/>
        <w:spacing w:beforeAutospacing="0" w:afterAutospacing="0" w:line="600" w:lineRule="exact"/>
        <w:ind w:firstLineChars="200" w:firstLine="640"/>
        <w:jc w:val="both"/>
        <w:rPr>
          <w:rStyle w:val="a4"/>
          <w:rFonts w:ascii="方正黑体_GBK" w:eastAsia="方正黑体_GBK"/>
        </w:rPr>
      </w:pPr>
      <w:r w:rsidRPr="005C20F1">
        <w:rPr>
          <w:rStyle w:val="a4"/>
          <w:rFonts w:ascii="方正黑体_GBK" w:eastAsia="方正黑体_GBK" w:hAnsi="仿宋_GB2312" w:cs="仿宋_GB2312" w:hint="eastAsia"/>
          <w:b w:val="0"/>
          <w:sz w:val="32"/>
          <w:szCs w:val="32"/>
        </w:rPr>
        <w:t>七、决算公开联系方式及信息反馈渠道</w:t>
      </w:r>
    </w:p>
    <w:p w:rsidR="000D0D46" w:rsidRPr="005C20F1" w:rsidRDefault="005C20F1" w:rsidP="005C20F1">
      <w:pPr>
        <w:pStyle w:val="a3"/>
        <w:widowControl/>
        <w:spacing w:beforeAutospacing="0" w:afterAutospacing="0" w:line="600" w:lineRule="exact"/>
        <w:ind w:firstLineChars="200" w:firstLine="640"/>
        <w:jc w:val="both"/>
        <w:rPr>
          <w:rFonts w:ascii="方正仿宋_GBK" w:eastAsia="方正仿宋_GBK" w:hAnsi="仿宋_GB2312" w:cs="仿宋_GB2312"/>
          <w:sz w:val="32"/>
          <w:szCs w:val="32"/>
        </w:rPr>
      </w:pPr>
      <w:r w:rsidRPr="005C20F1">
        <w:rPr>
          <w:rFonts w:ascii="方正仿宋_GBK" w:eastAsia="方正仿宋_GBK" w:hAnsi="仿宋_GB2312" w:cs="仿宋_GB2312" w:hint="eastAsia"/>
          <w:sz w:val="32"/>
          <w:szCs w:val="32"/>
        </w:rPr>
        <w:t>本单位决算公开信息反馈和联系方式：023-68672118</w:t>
      </w:r>
    </w:p>
    <w:p w:rsidR="000D0D46" w:rsidRPr="005C20F1" w:rsidRDefault="000D0D46" w:rsidP="005C20F1">
      <w:pPr>
        <w:spacing w:line="600" w:lineRule="exact"/>
        <w:ind w:firstLineChars="200" w:firstLine="640"/>
        <w:rPr>
          <w:rFonts w:ascii="方正仿宋_GBK" w:eastAsia="方正仿宋_GBK" w:hAnsi="仿宋_GB2312" w:cs="仿宋_GB2312"/>
          <w:sz w:val="32"/>
          <w:szCs w:val="32"/>
        </w:rPr>
      </w:pPr>
    </w:p>
    <w:p w:rsidR="000D0D46" w:rsidRPr="005C20F1" w:rsidRDefault="000D0D46" w:rsidP="005C20F1">
      <w:pPr>
        <w:spacing w:line="600" w:lineRule="exact"/>
        <w:ind w:firstLineChars="200" w:firstLine="640"/>
        <w:rPr>
          <w:rFonts w:ascii="方正仿宋_GBK" w:eastAsia="方正仿宋_GBK" w:hAnsi="仿宋_GB2312" w:cs="仿宋_GB2312"/>
          <w:sz w:val="32"/>
          <w:szCs w:val="32"/>
        </w:rPr>
      </w:pPr>
    </w:p>
    <w:p w:rsidR="000D0D46" w:rsidRPr="005C20F1" w:rsidRDefault="000D0D46" w:rsidP="005C20F1">
      <w:pPr>
        <w:spacing w:line="600" w:lineRule="exact"/>
        <w:ind w:firstLineChars="200" w:firstLine="640"/>
        <w:rPr>
          <w:rFonts w:ascii="方正仿宋_GBK" w:eastAsia="方正仿宋_GBK" w:hAnsi="仿宋_GB2312" w:cs="仿宋_GB2312"/>
          <w:sz w:val="32"/>
          <w:szCs w:val="32"/>
        </w:rPr>
      </w:pPr>
    </w:p>
    <w:sectPr w:rsidR="000D0D46" w:rsidRPr="005C20F1" w:rsidSect="005C20F1">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43149"/>
    <w:multiLevelType w:val="singleLevel"/>
    <w:tmpl w:val="98D43149"/>
    <w:lvl w:ilvl="0">
      <w:start w:val="3"/>
      <w:numFmt w:val="chineseCounting"/>
      <w:suff w:val="nothing"/>
      <w:lvlText w:val="%1、"/>
      <w:lvlJc w:val="left"/>
      <w:rPr>
        <w:rFonts w:hint="eastAsia"/>
      </w:rPr>
    </w:lvl>
  </w:abstractNum>
  <w:abstractNum w:abstractNumId="1">
    <w:nsid w:val="150F8D96"/>
    <w:multiLevelType w:val="singleLevel"/>
    <w:tmpl w:val="150F8D96"/>
    <w:lvl w:ilvl="0">
      <w:start w:val="6"/>
      <w:numFmt w:val="chineseCounting"/>
      <w:suff w:val="nothing"/>
      <w:lvlText w:val="（%1）"/>
      <w:lvlJc w:val="left"/>
      <w:rPr>
        <w:rFonts w:hint="eastAsia"/>
      </w:rPr>
    </w:lvl>
  </w:abstractNum>
  <w:abstractNum w:abstractNumId="2">
    <w:nsid w:val="2C4E42A2"/>
    <w:multiLevelType w:val="singleLevel"/>
    <w:tmpl w:val="2C4E42A2"/>
    <w:lvl w:ilvl="0">
      <w:start w:val="1"/>
      <w:numFmt w:val="chineseCounting"/>
      <w:suff w:val="nothing"/>
      <w:lvlText w:val="（%1）"/>
      <w:lvlJc w:val="left"/>
      <w:pPr>
        <w:ind w:left="315"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ZGVkYzM3Njg0MDQwNjJkMDFmZTI2ZDE2Y2Q2OWQifQ=="/>
  </w:docVars>
  <w:rsids>
    <w:rsidRoot w:val="140A600A"/>
    <w:rsid w:val="000D0D46"/>
    <w:rsid w:val="0050638A"/>
    <w:rsid w:val="005C20F1"/>
    <w:rsid w:val="007D14AB"/>
    <w:rsid w:val="00967925"/>
    <w:rsid w:val="029C70E7"/>
    <w:rsid w:val="036912A8"/>
    <w:rsid w:val="039306A9"/>
    <w:rsid w:val="03F14816"/>
    <w:rsid w:val="03F66179"/>
    <w:rsid w:val="042E253E"/>
    <w:rsid w:val="04884AA2"/>
    <w:rsid w:val="051A5406"/>
    <w:rsid w:val="058D6D9F"/>
    <w:rsid w:val="06F82E2E"/>
    <w:rsid w:val="08A67EEA"/>
    <w:rsid w:val="096C6869"/>
    <w:rsid w:val="0B4B7053"/>
    <w:rsid w:val="0C6B00A2"/>
    <w:rsid w:val="0CE36641"/>
    <w:rsid w:val="0D23258A"/>
    <w:rsid w:val="0DC0438F"/>
    <w:rsid w:val="0E620C88"/>
    <w:rsid w:val="0EBC4BEA"/>
    <w:rsid w:val="0EF1106C"/>
    <w:rsid w:val="0EF80E8F"/>
    <w:rsid w:val="0FBC1886"/>
    <w:rsid w:val="106B622C"/>
    <w:rsid w:val="1104279D"/>
    <w:rsid w:val="133B4F65"/>
    <w:rsid w:val="140A600A"/>
    <w:rsid w:val="14B13798"/>
    <w:rsid w:val="16324CC7"/>
    <w:rsid w:val="16B47D0A"/>
    <w:rsid w:val="17E104FE"/>
    <w:rsid w:val="17E3217F"/>
    <w:rsid w:val="18137BA1"/>
    <w:rsid w:val="18747FD5"/>
    <w:rsid w:val="199930B7"/>
    <w:rsid w:val="19DF6FAB"/>
    <w:rsid w:val="1B7F4150"/>
    <w:rsid w:val="1B8558EE"/>
    <w:rsid w:val="1C35069C"/>
    <w:rsid w:val="1C582DF1"/>
    <w:rsid w:val="1CF76BAC"/>
    <w:rsid w:val="1DC553F5"/>
    <w:rsid w:val="1E75793A"/>
    <w:rsid w:val="1F1545CE"/>
    <w:rsid w:val="1F340B6A"/>
    <w:rsid w:val="1FA01746"/>
    <w:rsid w:val="20056536"/>
    <w:rsid w:val="207B6F7D"/>
    <w:rsid w:val="20A8601A"/>
    <w:rsid w:val="20BC7355"/>
    <w:rsid w:val="23FE3883"/>
    <w:rsid w:val="241F3C66"/>
    <w:rsid w:val="24F35209"/>
    <w:rsid w:val="2500187D"/>
    <w:rsid w:val="27C73F40"/>
    <w:rsid w:val="2975419D"/>
    <w:rsid w:val="2A0868AF"/>
    <w:rsid w:val="2ACF1F69"/>
    <w:rsid w:val="2B5665AB"/>
    <w:rsid w:val="2B786A7E"/>
    <w:rsid w:val="2B8107A6"/>
    <w:rsid w:val="2CE42DAD"/>
    <w:rsid w:val="2F002FC5"/>
    <w:rsid w:val="2FAB079C"/>
    <w:rsid w:val="2FF975F4"/>
    <w:rsid w:val="302410F5"/>
    <w:rsid w:val="305C23F3"/>
    <w:rsid w:val="306129FD"/>
    <w:rsid w:val="3132245B"/>
    <w:rsid w:val="32406DD6"/>
    <w:rsid w:val="33072028"/>
    <w:rsid w:val="33C2348C"/>
    <w:rsid w:val="39A013B9"/>
    <w:rsid w:val="3BAD6294"/>
    <w:rsid w:val="3C3F6EEB"/>
    <w:rsid w:val="3C7A4118"/>
    <w:rsid w:val="3DDD597E"/>
    <w:rsid w:val="3E2C5E4E"/>
    <w:rsid w:val="3FB234FC"/>
    <w:rsid w:val="3FC550DD"/>
    <w:rsid w:val="402D4800"/>
    <w:rsid w:val="420A5B11"/>
    <w:rsid w:val="423D1BAA"/>
    <w:rsid w:val="42B65421"/>
    <w:rsid w:val="43133E8F"/>
    <w:rsid w:val="44966044"/>
    <w:rsid w:val="44CC64C2"/>
    <w:rsid w:val="45A73F11"/>
    <w:rsid w:val="45C5113A"/>
    <w:rsid w:val="46BD7176"/>
    <w:rsid w:val="47B86501"/>
    <w:rsid w:val="485F5F7E"/>
    <w:rsid w:val="486F4BA5"/>
    <w:rsid w:val="49337027"/>
    <w:rsid w:val="496E1933"/>
    <w:rsid w:val="49C300DB"/>
    <w:rsid w:val="49E145D5"/>
    <w:rsid w:val="4CA82437"/>
    <w:rsid w:val="4DB105FD"/>
    <w:rsid w:val="4F073684"/>
    <w:rsid w:val="4F7678C8"/>
    <w:rsid w:val="5072147E"/>
    <w:rsid w:val="508064F2"/>
    <w:rsid w:val="50946380"/>
    <w:rsid w:val="510F05CE"/>
    <w:rsid w:val="512606A6"/>
    <w:rsid w:val="51462896"/>
    <w:rsid w:val="519C13FC"/>
    <w:rsid w:val="51AE5000"/>
    <w:rsid w:val="521844C2"/>
    <w:rsid w:val="53D75772"/>
    <w:rsid w:val="53DA5899"/>
    <w:rsid w:val="53EA39FB"/>
    <w:rsid w:val="547E7173"/>
    <w:rsid w:val="552C1FCF"/>
    <w:rsid w:val="55937517"/>
    <w:rsid w:val="55ED5188"/>
    <w:rsid w:val="55F674E2"/>
    <w:rsid w:val="57103286"/>
    <w:rsid w:val="58056CEC"/>
    <w:rsid w:val="59047694"/>
    <w:rsid w:val="59893FE6"/>
    <w:rsid w:val="59BC7FAF"/>
    <w:rsid w:val="5A366BCB"/>
    <w:rsid w:val="5B681B26"/>
    <w:rsid w:val="5C7E5972"/>
    <w:rsid w:val="5CC964E5"/>
    <w:rsid w:val="5E01640F"/>
    <w:rsid w:val="5E087434"/>
    <w:rsid w:val="609547F2"/>
    <w:rsid w:val="612E54F9"/>
    <w:rsid w:val="61437B7E"/>
    <w:rsid w:val="61A0415B"/>
    <w:rsid w:val="62661AD1"/>
    <w:rsid w:val="63822974"/>
    <w:rsid w:val="651E0AB8"/>
    <w:rsid w:val="653B6108"/>
    <w:rsid w:val="655F2F49"/>
    <w:rsid w:val="670562A3"/>
    <w:rsid w:val="67BB003D"/>
    <w:rsid w:val="681169E5"/>
    <w:rsid w:val="687E5DF7"/>
    <w:rsid w:val="688A1562"/>
    <w:rsid w:val="68BC3649"/>
    <w:rsid w:val="68CE059F"/>
    <w:rsid w:val="68D2714F"/>
    <w:rsid w:val="694C60DB"/>
    <w:rsid w:val="69EC2B4B"/>
    <w:rsid w:val="6AD8626A"/>
    <w:rsid w:val="6BB24BF0"/>
    <w:rsid w:val="6CA479DF"/>
    <w:rsid w:val="6D0E4213"/>
    <w:rsid w:val="6D343087"/>
    <w:rsid w:val="6EB56801"/>
    <w:rsid w:val="6F1C025D"/>
    <w:rsid w:val="6F240CF3"/>
    <w:rsid w:val="70B61D45"/>
    <w:rsid w:val="71395726"/>
    <w:rsid w:val="71411AE7"/>
    <w:rsid w:val="71596F70"/>
    <w:rsid w:val="71C50CDB"/>
    <w:rsid w:val="721A6A92"/>
    <w:rsid w:val="72D372E3"/>
    <w:rsid w:val="72E326F3"/>
    <w:rsid w:val="72FA5B9A"/>
    <w:rsid w:val="731F1FC1"/>
    <w:rsid w:val="73F86BA7"/>
    <w:rsid w:val="748064C3"/>
    <w:rsid w:val="749934E6"/>
    <w:rsid w:val="74AA6B3E"/>
    <w:rsid w:val="757E405C"/>
    <w:rsid w:val="7670733A"/>
    <w:rsid w:val="76BD26F7"/>
    <w:rsid w:val="77A36103"/>
    <w:rsid w:val="785E6E4C"/>
    <w:rsid w:val="79BB3A5E"/>
    <w:rsid w:val="7A06261A"/>
    <w:rsid w:val="7B7A2FF3"/>
    <w:rsid w:val="7B7F2BD2"/>
    <w:rsid w:val="7B9053E3"/>
    <w:rsid w:val="7BD15BE3"/>
    <w:rsid w:val="7BE2764E"/>
    <w:rsid w:val="7BF900BA"/>
    <w:rsid w:val="7C1423E9"/>
    <w:rsid w:val="7CEC5AE4"/>
    <w:rsid w:val="7D9A5540"/>
    <w:rsid w:val="7E17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51">
    <w:name w:val="font51"/>
    <w:basedOn w:val="a0"/>
    <w:qFormat/>
    <w:rPr>
      <w:rFonts w:ascii="方正仿宋_GBK" w:eastAsia="方正仿宋_GBK" w:hAnsi="方正仿宋_GBK" w:cs="方正仿宋_GBK" w:hint="default"/>
      <w:color w:val="000000"/>
      <w:sz w:val="24"/>
      <w:szCs w:val="24"/>
      <w:u w:val="none"/>
    </w:rPr>
  </w:style>
  <w:style w:type="character" w:customStyle="1" w:styleId="font81">
    <w:name w:val="font8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方正黑体_GBK" w:eastAsia="方正黑体_GBK" w:hAnsi="方正黑体_GBK" w:cs="方正黑体_GBK" w:hint="default"/>
      <w:color w:val="000000"/>
      <w:sz w:val="24"/>
      <w:szCs w:val="24"/>
      <w:u w:val="none"/>
    </w:rPr>
  </w:style>
  <w:style w:type="character" w:customStyle="1" w:styleId="font91">
    <w:name w:val="font91"/>
    <w:basedOn w:val="a0"/>
    <w:qFormat/>
    <w:rPr>
      <w:rFonts w:ascii="方正黑体_GBK" w:eastAsia="方正黑体_GBK" w:hAnsi="方正黑体_GBK" w:cs="方正黑体_GBK"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51">
    <w:name w:val="font51"/>
    <w:basedOn w:val="a0"/>
    <w:qFormat/>
    <w:rPr>
      <w:rFonts w:ascii="方正仿宋_GBK" w:eastAsia="方正仿宋_GBK" w:hAnsi="方正仿宋_GBK" w:cs="方正仿宋_GBK" w:hint="default"/>
      <w:color w:val="000000"/>
      <w:sz w:val="24"/>
      <w:szCs w:val="24"/>
      <w:u w:val="none"/>
    </w:rPr>
  </w:style>
  <w:style w:type="character" w:customStyle="1" w:styleId="font81">
    <w:name w:val="font8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方正黑体_GBK" w:eastAsia="方正黑体_GBK" w:hAnsi="方正黑体_GBK" w:cs="方正黑体_GBK" w:hint="default"/>
      <w:color w:val="000000"/>
      <w:sz w:val="24"/>
      <w:szCs w:val="24"/>
      <w:u w:val="none"/>
    </w:rPr>
  </w:style>
  <w:style w:type="character" w:customStyle="1" w:styleId="font91">
    <w:name w:val="font91"/>
    <w:basedOn w:val="a0"/>
    <w:qFormat/>
    <w:rPr>
      <w:rFonts w:ascii="方正黑体_GBK" w:eastAsia="方正黑体_GBK" w:hAnsi="方正黑体_GBK" w:cs="方正黑体_GBK"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780</Words>
  <Characters>4450</Characters>
  <Application>Microsoft Office Word</Application>
  <DocSecurity>0</DocSecurity>
  <Lines>37</Lines>
  <Paragraphs>10</Paragraphs>
  <ScaleCrop>false</ScaleCrop>
  <Company>Microsoft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蒋静雯</dc:creator>
  <cp:lastModifiedBy>bear</cp:lastModifiedBy>
  <cp:revision>5</cp:revision>
  <cp:lastPrinted>2021-10-19T06:54:00Z</cp:lastPrinted>
  <dcterms:created xsi:type="dcterms:W3CDTF">2021-10-11T06:30:00Z</dcterms:created>
  <dcterms:modified xsi:type="dcterms:W3CDTF">2023-11-08T08:12:00Z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C32281200FEC4C25A83B3820750033E5</vt:lpwstr>
  </property>
</Properties>
</file>